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meeting, and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meeting, and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45211FCE" w:rsidR="00762EA1" w:rsidRDefault="002276DE" w:rsidP="005D255C">
            <w:pPr>
              <w:spacing w:before="0" w:after="0"/>
            </w:pPr>
            <w:r>
              <w:t>Clinical and Care Professional Leadership Assembly (Shadow)</w:t>
            </w:r>
          </w:p>
        </w:tc>
        <w:tc>
          <w:tcPr>
            <w:tcW w:w="1411" w:type="dxa"/>
          </w:tcPr>
          <w:p w14:paraId="541A5A51" w14:textId="3F886472" w:rsidR="00762EA1" w:rsidRDefault="002276DE" w:rsidP="005D255C">
            <w:pPr>
              <w:spacing w:before="0" w:after="0"/>
            </w:pPr>
            <w:r>
              <w:t>15.06.23</w:t>
            </w:r>
          </w:p>
        </w:tc>
        <w:tc>
          <w:tcPr>
            <w:tcW w:w="2549" w:type="dxa"/>
          </w:tcPr>
          <w:p w14:paraId="4794E74B" w14:textId="65D084FF" w:rsidR="00762EA1" w:rsidRDefault="002276DE" w:rsidP="005D255C">
            <w:pPr>
              <w:spacing w:before="0" w:after="0"/>
            </w:pPr>
            <w:r>
              <w:t>Joe Hannett</w:t>
            </w:r>
            <w:r w:rsidR="009A1AF6">
              <w:t>*</w:t>
            </w:r>
          </w:p>
          <w:p w14:paraId="1207C90B" w14:textId="0B8B0C1F" w:rsidR="001C0E5B" w:rsidRPr="009A1AF6" w:rsidRDefault="001C0E5B" w:rsidP="005D255C">
            <w:pPr>
              <w:spacing w:before="0" w:after="0"/>
              <w:rPr>
                <w:i/>
                <w:iCs/>
              </w:rPr>
            </w:pPr>
            <w:r w:rsidRPr="009A1AF6">
              <w:rPr>
                <w:i/>
                <w:iCs/>
              </w:rPr>
              <w:t>Vicky Shepherd</w:t>
            </w:r>
            <w:r w:rsidR="009A1AF6">
              <w:rPr>
                <w:i/>
                <w:iCs/>
              </w:rPr>
              <w:t>*</w:t>
            </w:r>
          </w:p>
        </w:tc>
        <w:tc>
          <w:tcPr>
            <w:tcW w:w="2560" w:type="dxa"/>
          </w:tcPr>
          <w:p w14:paraId="54FF8B85" w14:textId="77777777" w:rsidR="000C1F31" w:rsidRDefault="002276DE" w:rsidP="005D255C">
            <w:pPr>
              <w:spacing w:before="0" w:after="0"/>
            </w:pPr>
            <w:r>
              <w:t xml:space="preserve">Community Futures. </w:t>
            </w:r>
          </w:p>
          <w:p w14:paraId="4FB868E3" w14:textId="7500E49F" w:rsidR="001C0E5B" w:rsidRPr="009A1AF6" w:rsidRDefault="001C0E5B" w:rsidP="005D255C">
            <w:pPr>
              <w:spacing w:before="0" w:after="0"/>
              <w:rPr>
                <w:i/>
                <w:iCs/>
              </w:rPr>
            </w:pPr>
            <w:r w:rsidRPr="009A1AF6">
              <w:rPr>
                <w:i/>
                <w:iCs/>
              </w:rPr>
              <w:t>Age UK BwD (apols).</w:t>
            </w:r>
          </w:p>
        </w:tc>
      </w:tr>
      <w:tr w:rsidR="00AB3DEF" w14:paraId="4E2B5635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599C3EAA" w14:textId="50CDB78B" w:rsidR="00AB3DEF" w:rsidRDefault="00AB3DEF" w:rsidP="005D255C">
            <w:pPr>
              <w:spacing w:after="0"/>
            </w:pPr>
            <w:r>
              <w:t>Resources / documents?</w:t>
            </w:r>
          </w:p>
        </w:tc>
        <w:tc>
          <w:tcPr>
            <w:tcW w:w="1411" w:type="dxa"/>
          </w:tcPr>
          <w:p w14:paraId="5A1CD4A6" w14:textId="278C638F" w:rsidR="00AB3DEF" w:rsidRDefault="00AB3DEF" w:rsidP="005D255C">
            <w:pPr>
              <w:spacing w:after="0"/>
            </w:pPr>
            <w:r w:rsidRPr="00AB3DEF">
              <w:rPr>
                <w:b/>
                <w:bCs/>
              </w:rPr>
              <w:t>Y</w:t>
            </w:r>
            <w:r>
              <w:t>/N</w:t>
            </w:r>
          </w:p>
        </w:tc>
        <w:tc>
          <w:tcPr>
            <w:tcW w:w="2549" w:type="dxa"/>
          </w:tcPr>
          <w:p w14:paraId="1F16DCCB" w14:textId="5A4C318C" w:rsidR="00AB3DEF" w:rsidRDefault="00A2541D" w:rsidP="005D255C">
            <w:pPr>
              <w:spacing w:after="0"/>
            </w:pPr>
            <w:hyperlink r:id="rId13" w:history="1">
              <w:r w:rsidR="000057CD" w:rsidRPr="000057CD">
                <w:rPr>
                  <w:rStyle w:val="Hyperlink"/>
                </w:rPr>
                <w:t>Link to relevant page on ICB website</w:t>
              </w:r>
            </w:hyperlink>
          </w:p>
        </w:tc>
        <w:tc>
          <w:tcPr>
            <w:tcW w:w="2560" w:type="dxa"/>
          </w:tcPr>
          <w:p w14:paraId="4B210E38" w14:textId="282B1307" w:rsidR="00AB3DEF" w:rsidRPr="00A2541D" w:rsidRDefault="00A2541D" w:rsidP="005D255C">
            <w:pPr>
              <w:spacing w:after="0"/>
              <w:rPr>
                <w:color w:val="FF0000"/>
              </w:rPr>
            </w:pPr>
            <w:hyperlink r:id="rId14" w:history="1">
              <w:r w:rsidR="000057CD" w:rsidRPr="000057CD">
                <w:rPr>
                  <w:rStyle w:val="Hyperlink"/>
                </w:rPr>
                <w:t>Down</w:t>
              </w:r>
              <w:r w:rsidR="000057CD" w:rsidRPr="000057CD">
                <w:rPr>
                  <w:rStyle w:val="Hyperlink"/>
                </w:rPr>
                <w:t>l</w:t>
              </w:r>
              <w:r w:rsidR="000057CD" w:rsidRPr="000057CD">
                <w:rPr>
                  <w:rStyle w:val="Hyperlink"/>
                </w:rPr>
                <w:t>oad CCPL Framework</w:t>
              </w:r>
            </w:hyperlink>
            <w:r>
              <w:rPr>
                <w:rStyle w:val="Hyperlink"/>
                <w:u w:val="none"/>
              </w:rPr>
              <w:t xml:space="preserve"> </w:t>
            </w:r>
            <w:r>
              <w:rPr>
                <w:rStyle w:val="Hyperlink"/>
                <w:b/>
                <w:bCs/>
                <w:color w:val="FF0000"/>
                <w:sz w:val="20"/>
                <w:szCs w:val="22"/>
                <w:u w:val="none"/>
              </w:rPr>
              <w:t>*</w:t>
            </w:r>
            <w:r>
              <w:rPr>
                <w:rStyle w:val="Hyperlink"/>
                <w:b/>
                <w:bCs/>
                <w:color w:val="FF0000"/>
                <w:sz w:val="20"/>
                <w:szCs w:val="22"/>
                <w:u w:val="none"/>
              </w:rPr>
              <w:t>Th</w:t>
            </w:r>
            <w:r w:rsidRPr="00A2541D">
              <w:rPr>
                <w:rStyle w:val="Hyperlink"/>
                <w:b/>
                <w:bCs/>
                <w:color w:val="FF0000"/>
                <w:sz w:val="20"/>
                <w:szCs w:val="22"/>
                <w:u w:val="none"/>
              </w:rPr>
              <w:t>is will force a download</w:t>
            </w:r>
            <w:r>
              <w:rPr>
                <w:rStyle w:val="Hyperlink"/>
                <w:b/>
                <w:bCs/>
                <w:color w:val="FF0000"/>
                <w:sz w:val="20"/>
                <w:szCs w:val="22"/>
                <w:u w:val="none"/>
              </w:rPr>
              <w:t>*</w:t>
            </w:r>
            <w:r w:rsidRPr="00A2541D">
              <w:rPr>
                <w:rStyle w:val="Hyperlink"/>
                <w:b/>
                <w:bCs/>
                <w:color w:val="FF0000"/>
                <w:sz w:val="20"/>
                <w:szCs w:val="22"/>
                <w:u w:val="none"/>
              </w:rPr>
              <w:t>.</w:t>
            </w:r>
            <w:r w:rsidRPr="00A2541D">
              <w:t xml:space="preserve"> </w:t>
            </w: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5E664D83" w14:textId="3B3E4C3F" w:rsidR="001C0E5B" w:rsidRPr="004B005C" w:rsidRDefault="004B005C" w:rsidP="004B005C">
            <w:pPr>
              <w:spacing w:after="160" w:line="252" w:lineRule="auto"/>
              <w:rPr>
                <w:rFonts w:eastAsia="Times New Roman"/>
              </w:rPr>
            </w:pPr>
            <w:r w:rsidRPr="004B005C">
              <w:rPr>
                <w:rFonts w:eastAsia="Times New Roman"/>
                <w:b/>
                <w:bCs/>
              </w:rPr>
              <w:t>1</w:t>
            </w:r>
            <w:r>
              <w:rPr>
                <w:rFonts w:eastAsia="Times New Roman"/>
              </w:rPr>
              <w:t xml:space="preserve">. </w:t>
            </w:r>
            <w:r w:rsidR="004629DF" w:rsidRPr="004B005C">
              <w:rPr>
                <w:rFonts w:eastAsia="Times New Roman"/>
              </w:rPr>
              <w:t>Understanding the Assembly</w:t>
            </w:r>
            <w:r w:rsidR="000057CD" w:rsidRPr="004B005C">
              <w:rPr>
                <w:rFonts w:eastAsia="Times New Roman"/>
              </w:rPr>
              <w:t xml:space="preserve">. </w:t>
            </w:r>
            <w:r w:rsidR="000057CD" w:rsidRPr="004B005C">
              <w:rPr>
                <w:rFonts w:eastAsia="Times New Roman"/>
                <w:b/>
                <w:bCs/>
              </w:rPr>
              <w:t>2</w:t>
            </w:r>
            <w:r w:rsidR="000057CD" w:rsidRPr="004B005C">
              <w:rPr>
                <w:rFonts w:eastAsia="Times New Roman"/>
              </w:rPr>
              <w:t xml:space="preserve">. </w:t>
            </w:r>
            <w:r w:rsidR="004629DF" w:rsidRPr="004B005C">
              <w:rPr>
                <w:rFonts w:eastAsia="Times New Roman"/>
              </w:rPr>
              <w:t>Attendance.</w:t>
            </w:r>
            <w:r w:rsidR="000057CD" w:rsidRPr="004B005C">
              <w:rPr>
                <w:rFonts w:eastAsia="Times New Roman"/>
              </w:rPr>
              <w:t xml:space="preserve"> </w:t>
            </w:r>
            <w:r w:rsidR="000057CD" w:rsidRPr="004B005C">
              <w:rPr>
                <w:rFonts w:eastAsia="Times New Roman"/>
                <w:b/>
                <w:bCs/>
              </w:rPr>
              <w:t>3</w:t>
            </w:r>
            <w:r w:rsidR="000057CD" w:rsidRPr="004B005C">
              <w:rPr>
                <w:rFonts w:eastAsia="Times New Roman"/>
              </w:rPr>
              <w:t xml:space="preserve">. </w:t>
            </w:r>
            <w:r w:rsidR="004629DF" w:rsidRPr="004B005C">
              <w:rPr>
                <w:rFonts w:eastAsia="Times New Roman"/>
              </w:rPr>
              <w:t>Role of the Assembly.</w:t>
            </w:r>
            <w:r w:rsidR="000057CD" w:rsidRPr="004B005C">
              <w:rPr>
                <w:rFonts w:eastAsia="Times New Roman"/>
              </w:rPr>
              <w:t xml:space="preserve"> </w:t>
            </w:r>
            <w:r w:rsidR="000057CD" w:rsidRPr="004B005C">
              <w:rPr>
                <w:rFonts w:eastAsia="Times New Roman"/>
                <w:b/>
                <w:bCs/>
              </w:rPr>
              <w:t>4.</w:t>
            </w:r>
            <w:r w:rsidR="000057CD" w:rsidRPr="004B005C">
              <w:rPr>
                <w:rFonts w:eastAsia="Times New Roman"/>
              </w:rPr>
              <w:t xml:space="preserve"> </w:t>
            </w:r>
            <w:r w:rsidR="004629DF" w:rsidRPr="004B005C">
              <w:rPr>
                <w:rFonts w:eastAsia="Times New Roman"/>
              </w:rPr>
              <w:t>Terms of Reference.</w:t>
            </w:r>
            <w:r w:rsidR="000057CD" w:rsidRPr="004B005C">
              <w:rPr>
                <w:rFonts w:eastAsia="Times New Roman"/>
              </w:rPr>
              <w:t xml:space="preserve"> </w:t>
            </w:r>
            <w:r w:rsidR="000057CD" w:rsidRPr="004B005C">
              <w:rPr>
                <w:rFonts w:eastAsia="Times New Roman"/>
                <w:b/>
                <w:bCs/>
              </w:rPr>
              <w:t>5</w:t>
            </w:r>
            <w:r w:rsidR="000057CD" w:rsidRPr="004B005C">
              <w:rPr>
                <w:rFonts w:eastAsia="Times New Roman"/>
              </w:rPr>
              <w:t>. Suggested f</w:t>
            </w:r>
            <w:r w:rsidR="004629DF" w:rsidRPr="004B005C">
              <w:rPr>
                <w:rFonts w:eastAsia="Times New Roman"/>
              </w:rPr>
              <w:t>irst ‘</w:t>
            </w:r>
            <w:r w:rsidR="004629DF" w:rsidRPr="004B005C">
              <w:rPr>
                <w:rFonts w:eastAsia="Times New Roman"/>
                <w:i/>
                <w:iCs/>
              </w:rPr>
              <w:t>question’</w:t>
            </w:r>
            <w:r w:rsidR="004629DF" w:rsidRPr="004B005C">
              <w:rPr>
                <w:rFonts w:eastAsia="Times New Roman"/>
              </w:rPr>
              <w:t xml:space="preserve"> </w:t>
            </w:r>
            <w:r w:rsidR="001C0E5B" w:rsidRPr="004B005C">
              <w:rPr>
                <w:rFonts w:eastAsia="Times New Roman"/>
              </w:rPr>
              <w:t xml:space="preserve">for each Assembly </w:t>
            </w:r>
            <w:r w:rsidR="004629DF" w:rsidRPr="004B005C">
              <w:rPr>
                <w:rFonts w:eastAsia="Times New Roman"/>
              </w:rPr>
              <w:t>to address</w:t>
            </w:r>
            <w:r w:rsidR="000057CD" w:rsidRPr="004B005C">
              <w:rPr>
                <w:rFonts w:eastAsia="Times New Roman"/>
              </w:rPr>
              <w:t>.</w:t>
            </w:r>
            <w:r w:rsidRPr="004B005C">
              <w:rPr>
                <w:rFonts w:eastAsia="Times New Roman"/>
              </w:rPr>
              <w:t xml:space="preserve"> </w:t>
            </w:r>
            <w:r w:rsidR="000057CD" w:rsidRPr="004B005C">
              <w:rPr>
                <w:rFonts w:eastAsia="Times New Roman"/>
                <w:b/>
                <w:bCs/>
              </w:rPr>
              <w:t>6</w:t>
            </w:r>
            <w:r w:rsidR="000057CD" w:rsidRPr="004B005C">
              <w:rPr>
                <w:rFonts w:eastAsia="Times New Roman"/>
              </w:rPr>
              <w:t xml:space="preserve">. </w:t>
            </w:r>
            <w:r w:rsidR="001C0E5B" w:rsidRPr="004B005C">
              <w:rPr>
                <w:rFonts w:eastAsia="Times New Roman"/>
              </w:rPr>
              <w:t xml:space="preserve">Recommendations. </w:t>
            </w:r>
          </w:p>
          <w:p w14:paraId="7938BED3" w14:textId="667D3B5E" w:rsidR="000057CD" w:rsidRDefault="001C0E5B" w:rsidP="00AB3DEF">
            <w:pPr>
              <w:spacing w:before="0" w:after="160" w:line="252" w:lineRule="auto"/>
              <w:rPr>
                <w:rFonts w:eastAsia="Times New Roman"/>
              </w:rPr>
            </w:pPr>
            <w:r w:rsidRPr="004B005C">
              <w:rPr>
                <w:rFonts w:eastAsia="Times New Roman"/>
                <w:b/>
                <w:bCs/>
              </w:rPr>
              <w:t>1</w:t>
            </w:r>
            <w:r w:rsidRPr="00AB3DEF">
              <w:rPr>
                <w:rFonts w:eastAsia="Times New Roman"/>
              </w:rPr>
              <w:t xml:space="preserve">. </w:t>
            </w:r>
            <w:r w:rsidR="004B005C" w:rsidRPr="004B005C">
              <w:rPr>
                <w:rFonts w:eastAsia="Times New Roman"/>
                <w:b/>
                <w:bCs/>
              </w:rPr>
              <w:t>Understanding the Assembly.</w:t>
            </w:r>
            <w:r w:rsidR="004B005C">
              <w:rPr>
                <w:rFonts w:eastAsia="Times New Roman"/>
              </w:rPr>
              <w:t xml:space="preserve"> </w:t>
            </w:r>
            <w:r w:rsidR="00AB3DEF" w:rsidRPr="00AB3DEF">
              <w:rPr>
                <w:rFonts w:eastAsia="Times New Roman"/>
              </w:rPr>
              <w:t xml:space="preserve">This is a </w:t>
            </w:r>
            <w:r w:rsidR="000057CD">
              <w:rPr>
                <w:rFonts w:eastAsia="Times New Roman"/>
              </w:rPr>
              <w:t xml:space="preserve">key part </w:t>
            </w:r>
            <w:r w:rsidR="00AB3DEF" w:rsidRPr="00AB3DEF">
              <w:rPr>
                <w:rFonts w:eastAsia="Times New Roman"/>
              </w:rPr>
              <w:t>of the ICB, with resources</w:t>
            </w:r>
            <w:r w:rsidR="00E77B4B">
              <w:rPr>
                <w:rFonts w:eastAsia="Times New Roman"/>
              </w:rPr>
              <w:t xml:space="preserve"> and delegated authority to provide advice to the ICB</w:t>
            </w:r>
            <w:r w:rsidR="009A1AF6">
              <w:rPr>
                <w:rFonts w:eastAsia="Times New Roman"/>
              </w:rPr>
              <w:t xml:space="preserve"> </w:t>
            </w:r>
            <w:r w:rsidR="009A1AF6" w:rsidRPr="004B005C">
              <w:rPr>
                <w:rFonts w:eastAsia="Times New Roman"/>
                <w:sz w:val="20"/>
                <w:szCs w:val="22"/>
              </w:rPr>
              <w:t>(</w:t>
            </w:r>
            <w:r w:rsidR="009A1AF6" w:rsidRPr="009A1AF6">
              <w:rPr>
                <w:rFonts w:eastAsia="Times New Roman"/>
                <w:sz w:val="20"/>
                <w:szCs w:val="22"/>
              </w:rPr>
              <w:t>see framework link above)</w:t>
            </w:r>
            <w:r w:rsidR="009A1AF6">
              <w:rPr>
                <w:rFonts w:eastAsia="Times New Roman"/>
                <w:sz w:val="20"/>
                <w:szCs w:val="22"/>
              </w:rPr>
              <w:t>.</w:t>
            </w:r>
          </w:p>
          <w:p w14:paraId="59ABE5E7" w14:textId="76A13040" w:rsidR="000057CD" w:rsidRDefault="000057CD" w:rsidP="004B005C">
            <w:pPr>
              <w:pStyle w:val="ListParagraph"/>
              <w:numPr>
                <w:ilvl w:val="0"/>
                <w:numId w:val="25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t>“</w:t>
            </w:r>
            <w:r w:rsidRPr="000057CD">
              <w:rPr>
                <w:rFonts w:eastAsia="Times New Roman"/>
                <w:color w:val="272359" w:themeColor="text1"/>
              </w:rPr>
              <w:t>One of our key commitments is to include a diverse range of clinicians and care professionals’ voices within our decision-making processes</w:t>
            </w:r>
            <w:r>
              <w:rPr>
                <w:rFonts w:eastAsia="Times New Roman"/>
                <w:color w:val="272359" w:themeColor="text1"/>
              </w:rPr>
              <w:t>…”</w:t>
            </w:r>
            <w:r w:rsidR="004B005C">
              <w:rPr>
                <w:rFonts w:eastAsia="Times New Roman"/>
                <w:color w:val="272359" w:themeColor="text1"/>
              </w:rPr>
              <w:t xml:space="preserve"> </w:t>
            </w:r>
            <w:r w:rsidR="004B005C" w:rsidRPr="004B005C">
              <w:rPr>
                <w:rFonts w:eastAsia="Times New Roman"/>
                <w:i/>
                <w:iCs/>
                <w:color w:val="272359" w:themeColor="text1"/>
              </w:rPr>
              <w:t>Dr. David Levy.</w:t>
            </w:r>
            <w:r w:rsidR="004B005C">
              <w:rPr>
                <w:rFonts w:eastAsia="Times New Roman"/>
                <w:color w:val="272359" w:themeColor="text1"/>
              </w:rPr>
              <w:t xml:space="preserve"> </w:t>
            </w:r>
          </w:p>
          <w:p w14:paraId="20321682" w14:textId="50F183C7" w:rsidR="000057CD" w:rsidRPr="004B005C" w:rsidRDefault="000057CD" w:rsidP="004B005C">
            <w:pPr>
              <w:pStyle w:val="ListParagraph"/>
              <w:numPr>
                <w:ilvl w:val="0"/>
                <w:numId w:val="25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  <w:sz w:val="20"/>
                <w:szCs w:val="22"/>
              </w:rPr>
            </w:pPr>
            <w:r>
              <w:rPr>
                <w:rFonts w:eastAsia="Times New Roman"/>
                <w:color w:val="272359" w:themeColor="text1"/>
              </w:rPr>
              <w:t>The CCPL</w:t>
            </w:r>
            <w:r w:rsidR="00AB3DEF" w:rsidRPr="000057CD">
              <w:rPr>
                <w:rFonts w:eastAsia="Times New Roman"/>
                <w:color w:val="272359" w:themeColor="text1"/>
              </w:rPr>
              <w:t xml:space="preserve"> will have </w:t>
            </w:r>
            <w:r w:rsidR="00AB3DEF" w:rsidRPr="000057CD">
              <w:rPr>
                <w:rFonts w:eastAsia="Times New Roman"/>
                <w:b/>
                <w:bCs/>
                <w:color w:val="272359" w:themeColor="text1"/>
              </w:rPr>
              <w:t>Place</w:t>
            </w:r>
            <w:r w:rsidR="00AB3DEF" w:rsidRPr="000057CD">
              <w:rPr>
                <w:rFonts w:eastAsia="Times New Roman"/>
                <w:color w:val="272359" w:themeColor="text1"/>
              </w:rPr>
              <w:t xml:space="preserve"> and </w:t>
            </w:r>
            <w:r w:rsidR="00AB3DEF" w:rsidRPr="000057CD">
              <w:rPr>
                <w:rFonts w:eastAsia="Times New Roman"/>
                <w:b/>
                <w:bCs/>
                <w:color w:val="272359" w:themeColor="text1"/>
              </w:rPr>
              <w:t>System</w:t>
            </w:r>
            <w:r w:rsidR="00AB3DEF" w:rsidRPr="000057CD">
              <w:rPr>
                <w:rFonts w:eastAsia="Times New Roman"/>
                <w:color w:val="272359" w:themeColor="text1"/>
              </w:rPr>
              <w:t xml:space="preserve"> leads</w:t>
            </w:r>
            <w:r w:rsidR="004B005C">
              <w:rPr>
                <w:rFonts w:eastAsia="Times New Roman"/>
                <w:color w:val="272359" w:themeColor="text1"/>
              </w:rPr>
              <w:t xml:space="preserve">, </w:t>
            </w:r>
            <w:r w:rsidR="00AB3DEF" w:rsidRPr="000057CD">
              <w:rPr>
                <w:rFonts w:eastAsia="Times New Roman"/>
                <w:color w:val="272359" w:themeColor="text1"/>
              </w:rPr>
              <w:t>some already recruited, with specialism</w:t>
            </w:r>
            <w:r>
              <w:rPr>
                <w:rFonts w:eastAsia="Times New Roman"/>
                <w:color w:val="272359" w:themeColor="text1"/>
              </w:rPr>
              <w:t>s</w:t>
            </w:r>
            <w:r w:rsidR="00AB3DEF" w:rsidRPr="000057CD">
              <w:rPr>
                <w:rFonts w:eastAsia="Times New Roman"/>
                <w:color w:val="272359" w:themeColor="text1"/>
              </w:rPr>
              <w:t xml:space="preserve"> </w:t>
            </w:r>
            <w:r w:rsidR="00AB3DEF" w:rsidRPr="004B005C">
              <w:rPr>
                <w:rFonts w:eastAsia="Times New Roman"/>
                <w:color w:val="272359" w:themeColor="text1"/>
                <w:sz w:val="20"/>
                <w:szCs w:val="22"/>
              </w:rPr>
              <w:t>(</w:t>
            </w:r>
            <w:r w:rsidRPr="009A1AF6">
              <w:rPr>
                <w:rFonts w:eastAsia="Times New Roman"/>
                <w:b/>
                <w:bCs/>
                <w:color w:val="272359" w:themeColor="text1"/>
                <w:sz w:val="20"/>
                <w:szCs w:val="22"/>
              </w:rPr>
              <w:t>see framework link above – pgs. 12-20</w:t>
            </w:r>
            <w:r w:rsidR="00AB3DEF" w:rsidRPr="004B005C">
              <w:rPr>
                <w:rFonts w:eastAsia="Times New Roman"/>
                <w:color w:val="272359" w:themeColor="text1"/>
                <w:sz w:val="20"/>
                <w:szCs w:val="22"/>
              </w:rPr>
              <w:t xml:space="preserve">). </w:t>
            </w:r>
          </w:p>
          <w:p w14:paraId="324D1264" w14:textId="611373FC" w:rsidR="000057CD" w:rsidRDefault="00AB3DEF" w:rsidP="004B005C">
            <w:pPr>
              <w:pStyle w:val="ListParagraph"/>
              <w:numPr>
                <w:ilvl w:val="1"/>
                <w:numId w:val="25"/>
              </w:numPr>
              <w:spacing w:after="160" w:line="252" w:lineRule="auto"/>
              <w:ind w:left="318" w:firstLine="0"/>
              <w:rPr>
                <w:rFonts w:eastAsia="Times New Roman"/>
                <w:color w:val="272359" w:themeColor="text1"/>
              </w:rPr>
            </w:pPr>
            <w:r w:rsidRPr="000057CD">
              <w:rPr>
                <w:rFonts w:eastAsia="Times New Roman"/>
                <w:b/>
                <w:bCs/>
                <w:color w:val="272359" w:themeColor="text1"/>
              </w:rPr>
              <w:t>Place</w:t>
            </w:r>
            <w:r w:rsidRPr="000057CD">
              <w:rPr>
                <w:rFonts w:eastAsia="Times New Roman"/>
                <w:color w:val="272359" w:themeColor="text1"/>
              </w:rPr>
              <w:t xml:space="preserve"> leads have a remit to “</w:t>
            </w:r>
            <w:r w:rsidRPr="000057CD">
              <w:rPr>
                <w:rFonts w:eastAsia="Times New Roman"/>
                <w:i/>
                <w:iCs/>
                <w:color w:val="272359" w:themeColor="text1"/>
              </w:rPr>
              <w:t>engage partners from across health and social care, public health and…VCFSE, who will be instrumental in sharing insight and intelligence to inform local quality matters</w:t>
            </w:r>
            <w:r w:rsidRPr="000057CD">
              <w:rPr>
                <w:rFonts w:eastAsia="Times New Roman"/>
                <w:color w:val="272359" w:themeColor="text1"/>
              </w:rPr>
              <w:t>”</w:t>
            </w:r>
            <w:r w:rsidR="004B005C">
              <w:rPr>
                <w:rFonts w:eastAsia="Times New Roman"/>
                <w:color w:val="272359" w:themeColor="text1"/>
              </w:rPr>
              <w:t>.</w:t>
            </w:r>
          </w:p>
          <w:p w14:paraId="286950F1" w14:textId="6AD96D90" w:rsidR="00AB3DEF" w:rsidRPr="000057CD" w:rsidRDefault="00AB3DEF" w:rsidP="004B005C">
            <w:pPr>
              <w:pStyle w:val="ListParagraph"/>
              <w:numPr>
                <w:ilvl w:val="1"/>
                <w:numId w:val="25"/>
              </w:numPr>
              <w:spacing w:after="160" w:line="252" w:lineRule="auto"/>
              <w:ind w:left="318" w:firstLine="0"/>
              <w:rPr>
                <w:rFonts w:eastAsia="Times New Roman"/>
                <w:color w:val="272359" w:themeColor="text1"/>
              </w:rPr>
            </w:pPr>
            <w:r w:rsidRPr="000057CD">
              <w:rPr>
                <w:rFonts w:eastAsia="Times New Roman"/>
                <w:b/>
                <w:bCs/>
                <w:color w:val="272359" w:themeColor="text1"/>
              </w:rPr>
              <w:t>System</w:t>
            </w:r>
            <w:r w:rsidRPr="000057CD">
              <w:rPr>
                <w:rFonts w:eastAsia="Times New Roman"/>
                <w:color w:val="272359" w:themeColor="text1"/>
              </w:rPr>
              <w:t xml:space="preserve"> leads have a remit to “</w:t>
            </w:r>
            <w:r w:rsidRPr="000057CD">
              <w:rPr>
                <w:rFonts w:eastAsia="Times New Roman"/>
                <w:i/>
                <w:iCs/>
                <w:color w:val="272359" w:themeColor="text1"/>
              </w:rPr>
              <w:t>Engage partners from across health and social care, population health and …VCSFE, to identify opportunities for improvement, and work…to jointly develop system-level responses to challenges, risks and issues</w:t>
            </w:r>
            <w:r w:rsidRPr="000057CD">
              <w:rPr>
                <w:rFonts w:eastAsia="Times New Roman"/>
                <w:color w:val="272359" w:themeColor="text1"/>
              </w:rPr>
              <w:t>”</w:t>
            </w:r>
            <w:r w:rsidRPr="000057CD">
              <w:rPr>
                <w:rFonts w:eastAsia="Times New Roman"/>
                <w:i/>
                <w:iCs/>
                <w:color w:val="272359" w:themeColor="text1"/>
              </w:rPr>
              <w:t xml:space="preserve">. </w:t>
            </w:r>
          </w:p>
          <w:p w14:paraId="6644B311" w14:textId="12B60DF5" w:rsidR="00AB3DEF" w:rsidRDefault="000057CD" w:rsidP="002276DE">
            <w:pPr>
              <w:spacing w:before="0" w:after="160" w:line="252" w:lineRule="auto"/>
              <w:rPr>
                <w:rFonts w:eastAsia="Times New Roman"/>
              </w:rPr>
            </w:pPr>
            <w:r w:rsidRPr="004B005C"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</w:rPr>
              <w:t xml:space="preserve">. </w:t>
            </w:r>
            <w:r w:rsidRPr="004B005C">
              <w:rPr>
                <w:rFonts w:eastAsia="Times New Roman"/>
                <w:b/>
                <w:bCs/>
              </w:rPr>
              <w:t>Attendance</w:t>
            </w:r>
            <w:r>
              <w:rPr>
                <w:rFonts w:eastAsia="Times New Roman"/>
              </w:rPr>
              <w:t xml:space="preserve">. </w:t>
            </w:r>
          </w:p>
          <w:p w14:paraId="68F4E0F7" w14:textId="237465D7" w:rsidR="000057CD" w:rsidRDefault="000057CD" w:rsidP="004B005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t>Question about public involvement TBD.</w:t>
            </w:r>
          </w:p>
          <w:p w14:paraId="499AA024" w14:textId="7F48490B" w:rsidR="000057CD" w:rsidRDefault="000057CD" w:rsidP="004B005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t>Rotate</w:t>
            </w:r>
            <w:r w:rsidR="004B005C">
              <w:rPr>
                <w:rFonts w:eastAsia="Times New Roman"/>
                <w:color w:val="272359" w:themeColor="text1"/>
              </w:rPr>
              <w:t xml:space="preserve"> meeting days/times</w:t>
            </w:r>
            <w:r>
              <w:rPr>
                <w:rFonts w:eastAsia="Times New Roman"/>
                <w:color w:val="272359" w:themeColor="text1"/>
              </w:rPr>
              <w:t xml:space="preserve"> to </w:t>
            </w:r>
            <w:r w:rsidR="004B005C">
              <w:rPr>
                <w:rFonts w:eastAsia="Times New Roman"/>
                <w:color w:val="272359" w:themeColor="text1"/>
              </w:rPr>
              <w:t>facilitate</w:t>
            </w:r>
            <w:r>
              <w:rPr>
                <w:rFonts w:eastAsia="Times New Roman"/>
                <w:color w:val="272359" w:themeColor="text1"/>
              </w:rPr>
              <w:t xml:space="preserve"> maximum attendance. </w:t>
            </w:r>
          </w:p>
          <w:p w14:paraId="7C523DF0" w14:textId="5D69BB09" w:rsidR="000057CD" w:rsidRPr="000057CD" w:rsidRDefault="000057CD" w:rsidP="004B005C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t xml:space="preserve">Require specialist Mental Health member(s). </w:t>
            </w:r>
          </w:p>
          <w:p w14:paraId="552AA1B9" w14:textId="33F16980" w:rsidR="004B005C" w:rsidRDefault="004B005C" w:rsidP="002276DE">
            <w:pPr>
              <w:spacing w:before="0" w:after="160" w:line="252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3. Role of the Assembly. </w:t>
            </w:r>
          </w:p>
          <w:p w14:paraId="11D1EAB6" w14:textId="2A2126C0" w:rsidR="004B005C" w:rsidRDefault="004B005C" w:rsidP="004B005C">
            <w:pPr>
              <w:pStyle w:val="ListParagraph"/>
              <w:numPr>
                <w:ilvl w:val="0"/>
                <w:numId w:val="29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 w:rsidRPr="004B005C">
              <w:rPr>
                <w:rFonts w:eastAsia="Times New Roman"/>
                <w:color w:val="272359" w:themeColor="text1"/>
              </w:rPr>
              <w:t xml:space="preserve">Focus on </w:t>
            </w:r>
            <w:r>
              <w:rPr>
                <w:rFonts w:eastAsia="Times New Roman"/>
                <w:color w:val="272359" w:themeColor="text1"/>
              </w:rPr>
              <w:t xml:space="preserve">what </w:t>
            </w:r>
            <w:r w:rsidRPr="004B005C">
              <w:rPr>
                <w:rFonts w:eastAsia="Times New Roman"/>
                <w:color w:val="272359" w:themeColor="text1"/>
              </w:rPr>
              <w:t>communities need rather than solely system</w:t>
            </w:r>
            <w:r>
              <w:rPr>
                <w:rFonts w:eastAsia="Times New Roman"/>
                <w:color w:val="272359" w:themeColor="text1"/>
              </w:rPr>
              <w:t xml:space="preserve"> and financials. </w:t>
            </w:r>
          </w:p>
          <w:p w14:paraId="51F700ED" w14:textId="1F536ACD" w:rsidR="004B005C" w:rsidRPr="004B005C" w:rsidRDefault="004B005C" w:rsidP="004B005C">
            <w:pPr>
              <w:pStyle w:val="ListParagraph"/>
              <w:numPr>
                <w:ilvl w:val="0"/>
                <w:numId w:val="29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t xml:space="preserve">Separate to clinical senate; </w:t>
            </w:r>
            <w:r w:rsidRPr="004B005C">
              <w:rPr>
                <w:rFonts w:eastAsia="Times New Roman"/>
                <w:color w:val="272359" w:themeColor="text1"/>
              </w:rPr>
              <w:t>look broadly how it can address challenges as a system.</w:t>
            </w:r>
          </w:p>
          <w:p w14:paraId="68F894D8" w14:textId="77777777" w:rsidR="004B005C" w:rsidRDefault="004B005C" w:rsidP="004B005C">
            <w:pPr>
              <w:pStyle w:val="ListParagraph"/>
              <w:numPr>
                <w:ilvl w:val="0"/>
                <w:numId w:val="29"/>
              </w:numPr>
              <w:spacing w:after="160" w:line="252" w:lineRule="auto"/>
              <w:ind w:left="318" w:hanging="284"/>
              <w:rPr>
                <w:rFonts w:eastAsia="Times New Roman"/>
                <w:color w:val="272359" w:themeColor="text1"/>
              </w:rPr>
            </w:pPr>
            <w:r>
              <w:rPr>
                <w:rFonts w:eastAsia="Times New Roman"/>
                <w:color w:val="272359" w:themeColor="text1"/>
              </w:rPr>
              <w:lastRenderedPageBreak/>
              <w:t xml:space="preserve">Feed into national policy. </w:t>
            </w:r>
          </w:p>
          <w:p w14:paraId="08A81925" w14:textId="77777777" w:rsidR="006C3189" w:rsidRDefault="006C3189" w:rsidP="002276DE">
            <w:pPr>
              <w:spacing w:before="0" w:after="160" w:line="252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4. TOR </w:t>
            </w:r>
            <w:r w:rsidRPr="006C3189">
              <w:rPr>
                <w:rFonts w:eastAsia="Times New Roman"/>
              </w:rPr>
              <w:t>V2 to be circulated.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  <w:p w14:paraId="690A051F" w14:textId="77777777" w:rsidR="006C3189" w:rsidRDefault="006C3189" w:rsidP="002276DE">
            <w:pPr>
              <w:spacing w:before="0" w:after="160" w:line="252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 Question; “</w:t>
            </w:r>
            <w:r w:rsidRPr="006C3189">
              <w:rPr>
                <w:rFonts w:eastAsia="Times New Roman"/>
                <w:b/>
                <w:bCs/>
              </w:rPr>
              <w:t>How do we maintain safe services in financially challenging times?</w:t>
            </w:r>
            <w:r>
              <w:rPr>
                <w:rFonts w:eastAsia="Times New Roman"/>
                <w:b/>
                <w:bCs/>
              </w:rPr>
              <w:t>”</w:t>
            </w:r>
          </w:p>
          <w:p w14:paraId="6B0592C1" w14:textId="06B44D56" w:rsidR="006C3189" w:rsidRPr="006C3189" w:rsidRDefault="006C3189" w:rsidP="00260E32">
            <w:pPr>
              <w:pStyle w:val="ListParagraph"/>
              <w:numPr>
                <w:ilvl w:val="0"/>
                <w:numId w:val="30"/>
              </w:numPr>
              <w:spacing w:after="160" w:line="252" w:lineRule="auto"/>
              <w:ind w:left="314" w:hanging="284"/>
              <w:rPr>
                <w:rFonts w:eastAsia="Times New Roman"/>
                <w:b/>
                <w:bCs/>
              </w:rPr>
            </w:pPr>
            <w:r w:rsidRPr="006C3189">
              <w:rPr>
                <w:rFonts w:eastAsia="Times New Roman"/>
                <w:color w:val="272359" w:themeColor="text1"/>
              </w:rPr>
              <w:t xml:space="preserve">The group queried the discussion question, whether </w:t>
            </w:r>
            <w:r w:rsidR="009A1AF6">
              <w:rPr>
                <w:rFonts w:eastAsia="Times New Roman"/>
                <w:color w:val="272359" w:themeColor="text1"/>
              </w:rPr>
              <w:t xml:space="preserve">implicit </w:t>
            </w:r>
            <w:r w:rsidRPr="006C3189">
              <w:rPr>
                <w:rFonts w:eastAsia="Times New Roman"/>
                <w:color w:val="272359" w:themeColor="text1"/>
              </w:rPr>
              <w:t xml:space="preserve">assumptions could have an impact on engagement with the Assembly. Future questions will be designed by a small, diverse group. </w:t>
            </w:r>
          </w:p>
          <w:p w14:paraId="3725F5AF" w14:textId="226DD809" w:rsidR="001C0E5B" w:rsidRPr="006C3189" w:rsidRDefault="004B005C" w:rsidP="006C3189">
            <w:pPr>
              <w:spacing w:after="160" w:line="252" w:lineRule="auto"/>
              <w:ind w:left="30"/>
              <w:rPr>
                <w:rFonts w:eastAsia="Times New Roman"/>
                <w:b/>
                <w:bCs/>
              </w:rPr>
            </w:pPr>
            <w:r w:rsidRPr="006C3189">
              <w:rPr>
                <w:rFonts w:eastAsia="Times New Roman"/>
                <w:b/>
                <w:bCs/>
              </w:rPr>
              <w:t xml:space="preserve">6. </w:t>
            </w:r>
            <w:r w:rsidR="001C0E5B" w:rsidRPr="006C3189">
              <w:rPr>
                <w:rFonts w:eastAsia="Times New Roman"/>
                <w:b/>
                <w:bCs/>
              </w:rPr>
              <w:t xml:space="preserve">Recommendations. </w:t>
            </w:r>
          </w:p>
          <w:p w14:paraId="15A6B305" w14:textId="2B09EF16" w:rsidR="002276DE" w:rsidRPr="006C3189" w:rsidRDefault="002276DE" w:rsidP="006C3189">
            <w:pPr>
              <w:pStyle w:val="ListParagraph"/>
              <w:numPr>
                <w:ilvl w:val="0"/>
                <w:numId w:val="31"/>
              </w:numPr>
              <w:spacing w:after="160" w:line="252" w:lineRule="auto"/>
              <w:ind w:left="314" w:hanging="284"/>
              <w:rPr>
                <w:rFonts w:eastAsia="Times New Roman"/>
                <w:color w:val="272359" w:themeColor="text1"/>
              </w:rPr>
            </w:pPr>
            <w:r w:rsidRPr="006C3189">
              <w:rPr>
                <w:rFonts w:eastAsia="Times New Roman"/>
                <w:color w:val="272359" w:themeColor="text1"/>
              </w:rPr>
              <w:t>Open and honest conversations should take place with the public regarding the systems financial position, whilst being mindful of any political implications.</w:t>
            </w:r>
          </w:p>
          <w:p w14:paraId="0DDCB7FF" w14:textId="77777777" w:rsidR="002276DE" w:rsidRPr="006C3189" w:rsidRDefault="002276DE" w:rsidP="006C3189">
            <w:pPr>
              <w:pStyle w:val="ListParagraph"/>
              <w:numPr>
                <w:ilvl w:val="0"/>
                <w:numId w:val="31"/>
              </w:numPr>
              <w:spacing w:after="160" w:line="252" w:lineRule="auto"/>
              <w:ind w:left="314" w:hanging="284"/>
              <w:rPr>
                <w:rFonts w:eastAsia="Times New Roman"/>
                <w:color w:val="272359" w:themeColor="text1"/>
              </w:rPr>
            </w:pPr>
            <w:r w:rsidRPr="006C3189">
              <w:rPr>
                <w:rFonts w:eastAsia="Times New Roman"/>
                <w:color w:val="272359" w:themeColor="text1"/>
              </w:rPr>
              <w:t>There should be recognition that the voluntary sector do things well and other organisations need to understand their offer and engage.</w:t>
            </w:r>
          </w:p>
          <w:p w14:paraId="6D02D50E" w14:textId="77777777" w:rsidR="002276DE" w:rsidRPr="006C3189" w:rsidRDefault="002276DE" w:rsidP="006C3189">
            <w:pPr>
              <w:pStyle w:val="ListParagraph"/>
              <w:numPr>
                <w:ilvl w:val="0"/>
                <w:numId w:val="31"/>
              </w:numPr>
              <w:spacing w:before="120"/>
              <w:ind w:left="314" w:hanging="284"/>
              <w:rPr>
                <w:sz w:val="24"/>
              </w:rPr>
            </w:pPr>
            <w:r w:rsidRPr="006C3189">
              <w:rPr>
                <w:rFonts w:eastAsia="Times New Roman"/>
                <w:color w:val="272359" w:themeColor="text1"/>
              </w:rPr>
              <w:t>The Assembly advise we need to do things differently, such as:  </w:t>
            </w:r>
          </w:p>
          <w:p w14:paraId="20B45F64" w14:textId="77777777" w:rsidR="002276DE" w:rsidRPr="002276DE" w:rsidRDefault="002276DE" w:rsidP="006C3189">
            <w:pPr>
              <w:pStyle w:val="ListParagraph"/>
              <w:numPr>
                <w:ilvl w:val="0"/>
                <w:numId w:val="32"/>
              </w:numPr>
              <w:spacing w:after="160" w:line="252" w:lineRule="auto"/>
              <w:rPr>
                <w:rFonts w:eastAsia="Times New Roman"/>
                <w:color w:val="272359" w:themeColor="text1"/>
              </w:rPr>
            </w:pPr>
            <w:r w:rsidRPr="002276DE">
              <w:rPr>
                <w:rFonts w:eastAsia="Times New Roman"/>
                <w:color w:val="272359" w:themeColor="text1"/>
              </w:rPr>
              <w:t xml:space="preserve">Management of the frail elderly needs to be by community-based multi-professional care and health working, with resources shifting from acute settings to the community. </w:t>
            </w:r>
          </w:p>
          <w:p w14:paraId="42BC48FC" w14:textId="77777777" w:rsidR="002276DE" w:rsidRPr="002276DE" w:rsidRDefault="002276DE" w:rsidP="006C3189">
            <w:pPr>
              <w:pStyle w:val="ListParagraph"/>
              <w:numPr>
                <w:ilvl w:val="0"/>
                <w:numId w:val="32"/>
              </w:numPr>
              <w:spacing w:after="160" w:line="252" w:lineRule="auto"/>
              <w:rPr>
                <w:rFonts w:eastAsia="Times New Roman"/>
                <w:color w:val="272359" w:themeColor="text1"/>
              </w:rPr>
            </w:pPr>
            <w:r w:rsidRPr="002276DE">
              <w:rPr>
                <w:rFonts w:eastAsia="Times New Roman"/>
                <w:color w:val="272359" w:themeColor="text1"/>
              </w:rPr>
              <w:t>Unaffordable and fragile service need to be identified and decisions made to enable them to be sustainable or cease.</w:t>
            </w:r>
          </w:p>
          <w:p w14:paraId="1C36F641" w14:textId="4CF96DCD" w:rsidR="002276DE" w:rsidRPr="006C3189" w:rsidRDefault="002276DE" w:rsidP="006C3189">
            <w:pPr>
              <w:pStyle w:val="ListParagraph"/>
              <w:numPr>
                <w:ilvl w:val="0"/>
                <w:numId w:val="31"/>
              </w:numPr>
              <w:spacing w:before="120"/>
              <w:ind w:left="314" w:hanging="284"/>
              <w:rPr>
                <w:sz w:val="24"/>
              </w:rPr>
            </w:pPr>
            <w:r w:rsidRPr="006C3189">
              <w:rPr>
                <w:rFonts w:eastAsia="Times New Roman"/>
                <w:color w:val="272359" w:themeColor="text1"/>
              </w:rPr>
              <w:t xml:space="preserve">There should be thought given to workforce team cultures during this time of constraint ensuring a focus on innovation and enablement (rather than resilience) and staff morale. </w:t>
            </w:r>
          </w:p>
          <w:p w14:paraId="7B749379" w14:textId="662E2E7D" w:rsidR="002276DE" w:rsidRPr="006C3189" w:rsidRDefault="002276DE" w:rsidP="006C3189">
            <w:pPr>
              <w:pStyle w:val="ListParagraph"/>
              <w:numPr>
                <w:ilvl w:val="0"/>
                <w:numId w:val="31"/>
              </w:numPr>
              <w:spacing w:before="120"/>
              <w:ind w:left="314" w:hanging="284"/>
              <w:rPr>
                <w:rFonts w:eastAsia="Times New Roman"/>
                <w:color w:val="272359" w:themeColor="text1"/>
              </w:rPr>
            </w:pPr>
            <w:r w:rsidRPr="006C3189">
              <w:rPr>
                <w:rFonts w:eastAsia="Times New Roman"/>
                <w:color w:val="272359" w:themeColor="text1"/>
              </w:rPr>
              <w:t>We need to identify the difficult decisions we must take and consider how the Assembly is going to guide</w:t>
            </w:r>
            <w:r w:rsidRPr="006C3189">
              <w:rPr>
                <w:color w:val="272359" w:themeColor="text1"/>
              </w:rPr>
              <w:t xml:space="preserve"> </w:t>
            </w:r>
            <w:r w:rsidRPr="006C3189">
              <w:rPr>
                <w:rFonts w:eastAsia="Times New Roman"/>
                <w:color w:val="272359" w:themeColor="text1"/>
              </w:rPr>
              <w:t xml:space="preserve">the system. </w:t>
            </w:r>
          </w:p>
          <w:p w14:paraId="77C28291" w14:textId="078C9996" w:rsidR="00B25D61" w:rsidRPr="006C3189" w:rsidRDefault="002276DE" w:rsidP="006C3189">
            <w:pPr>
              <w:spacing w:before="0" w:line="240" w:lineRule="auto"/>
              <w:rPr>
                <w:color w:val="auto"/>
                <w:sz w:val="24"/>
              </w:rPr>
            </w:pPr>
            <w:r w:rsidRPr="002276DE">
              <w:rPr>
                <w:rFonts w:eastAsia="Times New Roman"/>
              </w:rPr>
              <w:t>The co-chairs are very keen for people to respond to these with any reflections both from those present, and for anyone who was unable to attend.</w:t>
            </w: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lastRenderedPageBreak/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117C3428" w14:textId="77777777" w:rsidR="006C3189" w:rsidRPr="003A5494" w:rsidRDefault="004B005C" w:rsidP="003A5494">
            <w:pPr>
              <w:pStyle w:val="ListParagraph"/>
              <w:numPr>
                <w:ilvl w:val="0"/>
                <w:numId w:val="34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Commitment to a diverse range of “clinical and care professionals”</w:t>
            </w:r>
            <w:r w:rsidR="006C3189" w:rsidRPr="003A5494">
              <w:rPr>
                <w:color w:val="272359" w:themeColor="text1"/>
                <w:szCs w:val="28"/>
              </w:rPr>
              <w:t xml:space="preserve">. </w:t>
            </w:r>
          </w:p>
          <w:p w14:paraId="55077EBA" w14:textId="77777777" w:rsidR="006C3189" w:rsidRPr="003A5494" w:rsidRDefault="006C3189" w:rsidP="003A5494">
            <w:pPr>
              <w:pStyle w:val="ListParagraph"/>
              <w:numPr>
                <w:ilvl w:val="0"/>
                <w:numId w:val="34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Explicit remit for new CCP Leads to engage with VCFSE, a</w:t>
            </w:r>
            <w:r w:rsidR="000057CD" w:rsidRPr="003A5494">
              <w:rPr>
                <w:color w:val="272359" w:themeColor="text1"/>
                <w:szCs w:val="28"/>
              </w:rPr>
              <w:t xml:space="preserve"> new and clear line into local quality issues and system improvement opportunities. </w:t>
            </w:r>
          </w:p>
          <w:p w14:paraId="12CE8422" w14:textId="53F284F8" w:rsidR="003A5494" w:rsidRPr="003A5494" w:rsidRDefault="003A5494" w:rsidP="003A5494">
            <w:pPr>
              <w:pStyle w:val="ListParagraph"/>
              <w:numPr>
                <w:ilvl w:val="0"/>
                <w:numId w:val="34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 xml:space="preserve">Possible future questions; </w:t>
            </w:r>
          </w:p>
          <w:p w14:paraId="5846ED88" w14:textId="77777777" w:rsidR="003A5494" w:rsidRDefault="003A5494" w:rsidP="003A5494">
            <w:pPr>
              <w:pStyle w:val="ListParagraph"/>
              <w:numPr>
                <w:ilvl w:val="0"/>
                <w:numId w:val="33"/>
              </w:numPr>
              <w:spacing w:before="120" w:after="0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Challenges in accessing community dentistry for our whole population</w:t>
            </w:r>
          </w:p>
          <w:p w14:paraId="0228B038" w14:textId="77777777" w:rsidR="003A5494" w:rsidRDefault="003A5494" w:rsidP="003A5494">
            <w:pPr>
              <w:pStyle w:val="ListParagraph"/>
              <w:numPr>
                <w:ilvl w:val="0"/>
                <w:numId w:val="33"/>
              </w:numPr>
              <w:spacing w:before="120" w:after="0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Shift our focus from high cost, low quality services to low cost, high quality services (e.g. virtual wards).</w:t>
            </w:r>
          </w:p>
          <w:p w14:paraId="7190158D" w14:textId="77777777" w:rsidR="003A5494" w:rsidRDefault="003A5494" w:rsidP="003A5494">
            <w:pPr>
              <w:pStyle w:val="ListParagraph"/>
              <w:numPr>
                <w:ilvl w:val="0"/>
                <w:numId w:val="33"/>
              </w:numPr>
              <w:spacing w:before="120" w:after="0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Improving outcomes for children.</w:t>
            </w:r>
          </w:p>
          <w:p w14:paraId="1483E0E7" w14:textId="77777777" w:rsidR="003A5494" w:rsidRDefault="003A5494" w:rsidP="003A5494">
            <w:pPr>
              <w:pStyle w:val="ListParagraph"/>
              <w:numPr>
                <w:ilvl w:val="0"/>
                <w:numId w:val="33"/>
              </w:numPr>
              <w:spacing w:before="120" w:after="0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Improving quality and outcomes for a rural population within the available resource.</w:t>
            </w:r>
          </w:p>
          <w:p w14:paraId="0D48B107" w14:textId="5DC8507C" w:rsidR="003A5494" w:rsidRPr="003A5494" w:rsidRDefault="003A5494" w:rsidP="003A5494">
            <w:pPr>
              <w:pStyle w:val="ListParagraph"/>
              <w:numPr>
                <w:ilvl w:val="0"/>
                <w:numId w:val="33"/>
              </w:numPr>
              <w:spacing w:before="120" w:after="0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Learning from the way the VCSFE sector operates. Working better together.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261E26D0" w14:textId="2348F42E" w:rsidR="006C3189" w:rsidRPr="003A5494" w:rsidRDefault="006C3189" w:rsidP="003A5494">
            <w:pPr>
              <w:pStyle w:val="ListParagraph"/>
              <w:numPr>
                <w:ilvl w:val="0"/>
                <w:numId w:val="35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 xml:space="preserve">What does recommendation 2 </w:t>
            </w:r>
            <w:r w:rsidR="00E77B4B" w:rsidRPr="003A5494">
              <w:rPr>
                <w:color w:val="272359" w:themeColor="text1"/>
                <w:szCs w:val="28"/>
              </w:rPr>
              <w:t xml:space="preserve">actually </w:t>
            </w:r>
            <w:r w:rsidRPr="003A5494">
              <w:rPr>
                <w:color w:val="272359" w:themeColor="text1"/>
                <w:szCs w:val="28"/>
              </w:rPr>
              <w:t>mean</w:t>
            </w:r>
            <w:r w:rsidR="00E77B4B" w:rsidRPr="003A5494">
              <w:rPr>
                <w:color w:val="272359" w:themeColor="text1"/>
                <w:szCs w:val="28"/>
              </w:rPr>
              <w:t xml:space="preserve">? </w:t>
            </w:r>
          </w:p>
          <w:p w14:paraId="14A845EE" w14:textId="77777777" w:rsidR="000C1F31" w:rsidRPr="003A5494" w:rsidRDefault="000057CD" w:rsidP="003A5494">
            <w:pPr>
              <w:pStyle w:val="ListParagraph"/>
              <w:numPr>
                <w:ilvl w:val="0"/>
                <w:numId w:val="35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>Who are the CCPL Place and System leads, how</w:t>
            </w:r>
            <w:r w:rsidR="00E77B4B" w:rsidRPr="003A5494">
              <w:rPr>
                <w:color w:val="272359" w:themeColor="text1"/>
                <w:szCs w:val="28"/>
              </w:rPr>
              <w:t>/why</w:t>
            </w:r>
            <w:r w:rsidRPr="003A5494">
              <w:rPr>
                <w:color w:val="272359" w:themeColor="text1"/>
                <w:szCs w:val="28"/>
              </w:rPr>
              <w:t xml:space="preserve"> to conta</w:t>
            </w:r>
            <w:r w:rsidR="00E77B4B" w:rsidRPr="003A5494">
              <w:rPr>
                <w:color w:val="272359" w:themeColor="text1"/>
                <w:szCs w:val="28"/>
              </w:rPr>
              <w:t>ct</w:t>
            </w:r>
            <w:r w:rsidRPr="003A5494">
              <w:rPr>
                <w:color w:val="272359" w:themeColor="text1"/>
                <w:szCs w:val="28"/>
              </w:rPr>
              <w:t xml:space="preserve">? </w:t>
            </w:r>
          </w:p>
          <w:p w14:paraId="0B190BC7" w14:textId="6C6D2ECE" w:rsidR="009A1AF6" w:rsidRPr="003A5494" w:rsidRDefault="009A1AF6" w:rsidP="003A5494">
            <w:pPr>
              <w:pStyle w:val="ListParagraph"/>
              <w:numPr>
                <w:ilvl w:val="0"/>
                <w:numId w:val="35"/>
              </w:numPr>
              <w:spacing w:before="120" w:after="0"/>
              <w:ind w:left="317" w:hanging="284"/>
              <w:rPr>
                <w:color w:val="272359" w:themeColor="text1"/>
                <w:szCs w:val="28"/>
              </w:rPr>
            </w:pPr>
            <w:r w:rsidRPr="003A5494">
              <w:rPr>
                <w:color w:val="272359" w:themeColor="text1"/>
                <w:szCs w:val="28"/>
              </w:rPr>
              <w:t xml:space="preserve">VCFSE involvement in designing questions for the CCPL Assembly to consider. 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055C7D11" w:rsidR="000C1F31" w:rsidRPr="00E77B4B" w:rsidRDefault="00E77B4B" w:rsidP="005D255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Online poll circulated to members to ascertain next date. Venue likely LCC County Hall. </w:t>
            </w:r>
          </w:p>
        </w:tc>
      </w:tr>
    </w:tbl>
    <w:p w14:paraId="30841248" w14:textId="0F02F6D5" w:rsidR="000C1F31" w:rsidRPr="000C1F31" w:rsidRDefault="000C1F31" w:rsidP="003A5494">
      <w:pPr>
        <w:pStyle w:val="BodyText"/>
      </w:pPr>
    </w:p>
    <w:sectPr w:rsidR="000C1F31" w:rsidRPr="000C1F31" w:rsidSect="000C1F31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15C" w14:textId="77777777" w:rsidR="00E740ED" w:rsidRDefault="00E740ED" w:rsidP="00B16FE6">
      <w:pPr>
        <w:spacing w:after="0"/>
      </w:pPr>
      <w:r>
        <w:separator/>
      </w:r>
    </w:p>
  </w:endnote>
  <w:endnote w:type="continuationSeparator" w:id="0">
    <w:p w14:paraId="1098A7A3" w14:textId="77777777" w:rsidR="00E740ED" w:rsidRDefault="00E740ED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DC90F4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5492C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1DE7" w14:textId="77777777" w:rsidR="00E740ED" w:rsidRDefault="00E740ED" w:rsidP="00B16FE6">
      <w:pPr>
        <w:spacing w:after="0"/>
      </w:pPr>
      <w:r>
        <w:separator/>
      </w:r>
    </w:p>
  </w:footnote>
  <w:footnote w:type="continuationSeparator" w:id="0">
    <w:p w14:paraId="2FE07140" w14:textId="77777777" w:rsidR="00E740ED" w:rsidRDefault="00E740ED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469EB"/>
    <w:multiLevelType w:val="hybridMultilevel"/>
    <w:tmpl w:val="686C7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93E9F"/>
    <w:multiLevelType w:val="hybridMultilevel"/>
    <w:tmpl w:val="CDDC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F249B"/>
    <w:multiLevelType w:val="hybridMultilevel"/>
    <w:tmpl w:val="DAAA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44729"/>
    <w:multiLevelType w:val="hybridMultilevel"/>
    <w:tmpl w:val="62DC2E78"/>
    <w:lvl w:ilvl="0" w:tplc="36A82F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52593"/>
    <w:multiLevelType w:val="hybridMultilevel"/>
    <w:tmpl w:val="D924F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B4364"/>
    <w:multiLevelType w:val="hybridMultilevel"/>
    <w:tmpl w:val="1CE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3C56"/>
    <w:multiLevelType w:val="hybridMultilevel"/>
    <w:tmpl w:val="D1043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27E3"/>
    <w:multiLevelType w:val="hybridMultilevel"/>
    <w:tmpl w:val="F8BE1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B2FFD"/>
    <w:multiLevelType w:val="hybridMultilevel"/>
    <w:tmpl w:val="90EC2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0155"/>
    <w:multiLevelType w:val="hybridMultilevel"/>
    <w:tmpl w:val="91FC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683"/>
    <w:multiLevelType w:val="hybridMultilevel"/>
    <w:tmpl w:val="621C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93A4D"/>
    <w:multiLevelType w:val="hybridMultilevel"/>
    <w:tmpl w:val="A4480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1958"/>
    <w:multiLevelType w:val="hybridMultilevel"/>
    <w:tmpl w:val="D03E5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34B36"/>
    <w:multiLevelType w:val="hybridMultilevel"/>
    <w:tmpl w:val="55DC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F2FD3"/>
    <w:multiLevelType w:val="hybridMultilevel"/>
    <w:tmpl w:val="F478434E"/>
    <w:lvl w:ilvl="0" w:tplc="5FA01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68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0A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0F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61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E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6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A8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4F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7001465">
    <w:abstractNumId w:val="21"/>
  </w:num>
  <w:num w:numId="2" w16cid:durableId="2134206089">
    <w:abstractNumId w:val="23"/>
  </w:num>
  <w:num w:numId="3" w16cid:durableId="1277054901">
    <w:abstractNumId w:val="15"/>
  </w:num>
  <w:num w:numId="4" w16cid:durableId="204102960">
    <w:abstractNumId w:val="12"/>
  </w:num>
  <w:num w:numId="5" w16cid:durableId="1576210401">
    <w:abstractNumId w:val="26"/>
  </w:num>
  <w:num w:numId="6" w16cid:durableId="1189610023">
    <w:abstractNumId w:val="25"/>
  </w:num>
  <w:num w:numId="7" w16cid:durableId="4020707">
    <w:abstractNumId w:val="27"/>
  </w:num>
  <w:num w:numId="8" w16cid:durableId="1963533787">
    <w:abstractNumId w:val="22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  <w:num w:numId="20" w16cid:durableId="1604067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2473827">
    <w:abstractNumId w:val="16"/>
  </w:num>
  <w:num w:numId="22" w16cid:durableId="1371303113">
    <w:abstractNumId w:val="14"/>
  </w:num>
  <w:num w:numId="23" w16cid:durableId="1500659587">
    <w:abstractNumId w:val="20"/>
  </w:num>
  <w:num w:numId="24" w16cid:durableId="599266337">
    <w:abstractNumId w:val="33"/>
  </w:num>
  <w:num w:numId="25" w16cid:durableId="1512137886">
    <w:abstractNumId w:val="29"/>
  </w:num>
  <w:num w:numId="26" w16cid:durableId="903376711">
    <w:abstractNumId w:val="24"/>
  </w:num>
  <w:num w:numId="27" w16cid:durableId="613639354">
    <w:abstractNumId w:val="11"/>
  </w:num>
  <w:num w:numId="28" w16cid:durableId="1113357176">
    <w:abstractNumId w:val="17"/>
  </w:num>
  <w:num w:numId="29" w16cid:durableId="748506074">
    <w:abstractNumId w:val="18"/>
  </w:num>
  <w:num w:numId="30" w16cid:durableId="341055050">
    <w:abstractNumId w:val="28"/>
  </w:num>
  <w:num w:numId="31" w16cid:durableId="1195997736">
    <w:abstractNumId w:val="19"/>
  </w:num>
  <w:num w:numId="32" w16cid:durableId="430929760">
    <w:abstractNumId w:val="13"/>
  </w:num>
  <w:num w:numId="33" w16cid:durableId="1292589291">
    <w:abstractNumId w:val="31"/>
  </w:num>
  <w:num w:numId="34" w16cid:durableId="1123309909">
    <w:abstractNumId w:val="30"/>
  </w:num>
  <w:num w:numId="35" w16cid:durableId="8005355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057CD"/>
    <w:rsid w:val="000458CE"/>
    <w:rsid w:val="000C1F31"/>
    <w:rsid w:val="000C1FF9"/>
    <w:rsid w:val="000E4416"/>
    <w:rsid w:val="001534E5"/>
    <w:rsid w:val="00184D91"/>
    <w:rsid w:val="001C0E5B"/>
    <w:rsid w:val="002276DE"/>
    <w:rsid w:val="002A5E41"/>
    <w:rsid w:val="003230A4"/>
    <w:rsid w:val="00333F05"/>
    <w:rsid w:val="00372E4C"/>
    <w:rsid w:val="0039703C"/>
    <w:rsid w:val="003A5494"/>
    <w:rsid w:val="003A5DE3"/>
    <w:rsid w:val="003D69FA"/>
    <w:rsid w:val="003F45D5"/>
    <w:rsid w:val="0040456C"/>
    <w:rsid w:val="004203B7"/>
    <w:rsid w:val="0044318D"/>
    <w:rsid w:val="004466E1"/>
    <w:rsid w:val="004629DF"/>
    <w:rsid w:val="004B005C"/>
    <w:rsid w:val="00672065"/>
    <w:rsid w:val="006756F2"/>
    <w:rsid w:val="006C3189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A1AF6"/>
    <w:rsid w:val="009B1253"/>
    <w:rsid w:val="009F469A"/>
    <w:rsid w:val="00A02DAD"/>
    <w:rsid w:val="00A2541D"/>
    <w:rsid w:val="00A54C3A"/>
    <w:rsid w:val="00AB3DEF"/>
    <w:rsid w:val="00AD5D9B"/>
    <w:rsid w:val="00AE4922"/>
    <w:rsid w:val="00B14A71"/>
    <w:rsid w:val="00B16FE6"/>
    <w:rsid w:val="00B25D61"/>
    <w:rsid w:val="00B27DAF"/>
    <w:rsid w:val="00BA3EEE"/>
    <w:rsid w:val="00BC6B5F"/>
    <w:rsid w:val="00C46846"/>
    <w:rsid w:val="00D97DFA"/>
    <w:rsid w:val="00E44612"/>
    <w:rsid w:val="00E50CB6"/>
    <w:rsid w:val="00E740ED"/>
    <w:rsid w:val="00E77B4B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02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21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cashireandsouthcumbria.icb.nhs.uk/about-us/clinical-and-care-professional-leadership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ierlsc.co.uk/download_file/7998/1222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2" ma:contentTypeDescription="Create a new document." ma:contentTypeScope="" ma:versionID="39b1d60ec1519f8ea026ca3121399d7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b39916684a81ed92eb70208a2290ead6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HCA6V4TWV3T6-599331471-707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https://communityfutures386.sharepoint.com/sites/ICS-VCSE/_layouts/15/DocIdRedir.aspx?ID=HCA6V4TWV3T6-599331471-707</Url>
      <Description>HCA6V4TWV3T6-599331471-707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033C9-2DDC-4781-98F7-9C04EBC0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4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Joe Hannett</cp:lastModifiedBy>
  <cp:revision>7</cp:revision>
  <dcterms:created xsi:type="dcterms:W3CDTF">2023-06-30T09:46:00Z</dcterms:created>
  <dcterms:modified xsi:type="dcterms:W3CDTF">2023-06-30T10:54:00Z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242f6e18-c855-45de-b2da-4e066514e880</vt:lpwstr>
  </property>
  <property fmtid="{D5CDD505-2E9C-101B-9397-08002B2CF9AE}" pid="4" name="MediaServiceImageTags">
    <vt:lpwstr/>
  </property>
</Properties>
</file>