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0B11" w14:textId="77777777" w:rsidR="0068760F" w:rsidRDefault="0068760F"/>
    <w:tbl>
      <w:tblPr>
        <w:tblStyle w:val="TableGrid3"/>
        <w:tblW w:w="5000" w:type="pct"/>
        <w:tblLook w:val="04A0" w:firstRow="1" w:lastRow="0" w:firstColumn="1" w:lastColumn="0" w:noHBand="0" w:noVBand="1"/>
      </w:tblPr>
      <w:tblGrid>
        <w:gridCol w:w="9016"/>
      </w:tblGrid>
      <w:tr w:rsidR="002C544D" w:rsidRPr="00475BD7" w14:paraId="641A9B34" w14:textId="77777777" w:rsidTr="002C544D">
        <w:trPr>
          <w:trHeight w:val="506"/>
        </w:trPr>
        <w:tc>
          <w:tcPr>
            <w:tcW w:w="5000" w:type="pct"/>
            <w:shd w:val="clear" w:color="auto" w:fill="D9D9D9" w:themeFill="background1" w:themeFillShade="D9"/>
          </w:tcPr>
          <w:p w14:paraId="4B5A50BE" w14:textId="77777777" w:rsidR="002C544D" w:rsidRPr="00475BD7" w:rsidRDefault="002C544D" w:rsidP="00E05952">
            <w:pPr>
              <w:rPr>
                <w:b/>
              </w:rPr>
            </w:pPr>
          </w:p>
          <w:p w14:paraId="62D8645C" w14:textId="77777777" w:rsidR="002C544D" w:rsidRPr="00475BD7" w:rsidRDefault="002C544D" w:rsidP="00E05952">
            <w:pPr>
              <w:rPr>
                <w:b/>
              </w:rPr>
            </w:pPr>
            <w:r w:rsidRPr="00475BD7">
              <w:rPr>
                <w:b/>
              </w:rPr>
              <w:t>Lancashire and South Cumbria Integrated Care Board Risk Appetite Statement</w:t>
            </w:r>
          </w:p>
          <w:p w14:paraId="228F075F" w14:textId="77777777" w:rsidR="002C544D" w:rsidRPr="00475BD7" w:rsidRDefault="002C544D" w:rsidP="00E05952">
            <w:pPr>
              <w:rPr>
                <w:b/>
                <w:bCs/>
              </w:rPr>
            </w:pPr>
          </w:p>
        </w:tc>
      </w:tr>
      <w:tr w:rsidR="002C544D" w:rsidRPr="00475BD7" w14:paraId="2D308D24" w14:textId="77777777" w:rsidTr="002C544D">
        <w:trPr>
          <w:trHeight w:val="3109"/>
        </w:trPr>
        <w:tc>
          <w:tcPr>
            <w:tcW w:w="5000" w:type="pct"/>
          </w:tcPr>
          <w:p w14:paraId="6BC115F8"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 xml:space="preserve">NHS Lancashire and South Cumbria (LSC) Integrated Care Board (ICB) recognises the challenging environment it is currently operating within and this continues into 2026/27, with ongoing organisational change, financial constraint and rising demand, alongside clear expectations on Integrated Care Boards to operate as focused strategic commissioners. </w:t>
            </w:r>
          </w:p>
          <w:p w14:paraId="6974C380"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LSC ICB continues to face some of the most significant health inequalities in the country alongside rising urgent and emergency care pressures, unwarranted and historic variation in access to services, and a tough financial climate that demands careful stewardship and bold choices.  These challenges drive our ambition to lead a strategic shift from reactive, hospital-centred care towards prevention, early intervention, neighbourhood-based models and integrated, person-centred support.</w:t>
            </w:r>
          </w:p>
          <w:p w14:paraId="3F7D01CE"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 xml:space="preserve">Our Five-Year Strategic Commissioning Plan (5YSCP) outlines how we will target investment to strengthen neighbourhood health, transform clinical pathways, build resilience and prevention of ill-health and fundamentally shift resources towards models of care that deliver long-term health and social value.  In doing so it confirm our commitment to the three strategic shifts set out in the government’s 10 Year Plan: from sickness to prevention, from hospital to community, and from analogue to digital.  </w:t>
            </w:r>
          </w:p>
          <w:p w14:paraId="39BB22CA"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These principles will guide how we design services, allocate resources and work alongside our partners in the NHS, Local Authorities, the VCFSE sector and our communities.</w:t>
            </w:r>
          </w:p>
          <w:p w14:paraId="5B3268E3"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The ICB Board recognises the need to transform services</w:t>
            </w:r>
            <w:r w:rsidRPr="00475BD7">
              <w:rPr>
                <w:rFonts w:eastAsiaTheme="minorHAnsi"/>
                <w:color w:val="002451"/>
                <w:sz w:val="20"/>
                <w:szCs w:val="20"/>
              </w:rPr>
              <w:t xml:space="preserve"> </w:t>
            </w:r>
            <w:r w:rsidRPr="00475BD7">
              <w:rPr>
                <w:color w:val="000000"/>
              </w:rPr>
              <w:t>through redesign and rationalisation, but expects all staff to keep quality, safety and equity at the centre of its commissioning decisions, to secure the best possible outcomes for local people.  The board will support innovation, service redesign and new models of care where there is a clear case for improving quality, reducing unwarranted variation and delivering better patient and population outcomes and where the risks are low, understood and appropriately managed.</w:t>
            </w:r>
          </w:p>
          <w:p w14:paraId="37EEAD93"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 xml:space="preserve">The board is prepared to accept limited financial risk where proposals are affordable within available resources and financial plans, and the benefits are clear, measurable and proportionate to the costs.  Decisions must demonstrate value for money and appropriate financial controls, assurance and oversight must be in place.  </w:t>
            </w:r>
          </w:p>
          <w:p w14:paraId="5A85A376"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We recognise and are prepared to invest in new ways of working, leadership and workforce development where this will strengthen our organisational capability and improves long-term outcomes.</w:t>
            </w:r>
          </w:p>
          <w:p w14:paraId="53DCD582"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 xml:space="preserve">The ICB board has reassessed the overall level of risk it feels acceptable to tolerate in the pursuit of its objectives within the current operating environment; this is further demonstrated through the individual statements set out below and these will provide </w:t>
            </w:r>
            <w:r w:rsidRPr="00475BD7">
              <w:rPr>
                <w:color w:val="000000"/>
              </w:rPr>
              <w:lastRenderedPageBreak/>
              <w:t>the guiding principles for decisions taken both at strategic and operational levels for the forthcoming year.</w:t>
            </w:r>
          </w:p>
          <w:p w14:paraId="59F7CECA" w14:textId="77777777" w:rsidR="002C544D" w:rsidRPr="00475BD7" w:rsidRDefault="002C544D" w:rsidP="00E05952">
            <w:pPr>
              <w:autoSpaceDE w:val="0"/>
              <w:autoSpaceDN w:val="0"/>
              <w:adjustRightInd w:val="0"/>
              <w:spacing w:afterLines="100" w:after="240"/>
              <w:jc w:val="both"/>
              <w:rPr>
                <w:color w:val="000000"/>
              </w:rPr>
            </w:pPr>
            <w:r w:rsidRPr="00475BD7">
              <w:rPr>
                <w:color w:val="000000"/>
              </w:rPr>
              <w:t>The ICB’s risk appetite is not fixed; the Board will have the freedom to vary the amount of risk it is prepared to take, depending on the circumstances at the time. It is expected that the levels of risk the ICB is willing to accept are subject to regular review.</w:t>
            </w:r>
          </w:p>
          <w:p w14:paraId="12C5112C" w14:textId="77777777" w:rsidR="002C544D" w:rsidRPr="00475BD7" w:rsidRDefault="002C544D" w:rsidP="00E05952">
            <w:pPr>
              <w:tabs>
                <w:tab w:val="left" w:pos="567"/>
              </w:tabs>
              <w:spacing w:line="288" w:lineRule="auto"/>
              <w:jc w:val="both"/>
            </w:pPr>
            <w:r w:rsidRPr="00475BD7">
              <w:rPr>
                <w:rFonts w:eastAsia="Arial"/>
                <w:lang w:val="en-US"/>
              </w:rPr>
              <w:t xml:space="preserve">The board will maintain oversight of level of risk held through its review of the Board Assurance Framework and where necessary, take decisions to adjust its risk appetite if required. </w:t>
            </w:r>
          </w:p>
        </w:tc>
      </w:tr>
      <w:tr w:rsidR="002C544D" w:rsidRPr="00475BD7" w14:paraId="2BC66959" w14:textId="77777777" w:rsidTr="002C544D">
        <w:trPr>
          <w:trHeight w:val="314"/>
        </w:trPr>
        <w:tc>
          <w:tcPr>
            <w:tcW w:w="5000" w:type="pct"/>
          </w:tcPr>
          <w:p w14:paraId="3AA374D9" w14:textId="2D720BBC" w:rsidR="002C544D" w:rsidRPr="00475BD7" w:rsidRDefault="002C544D" w:rsidP="00E05952">
            <w:pPr>
              <w:autoSpaceDE w:val="0"/>
              <w:autoSpaceDN w:val="0"/>
              <w:adjustRightInd w:val="0"/>
              <w:spacing w:afterLines="100" w:after="240"/>
              <w:jc w:val="both"/>
              <w:rPr>
                <w:b/>
                <w:bCs/>
                <w:color w:val="000000"/>
              </w:rPr>
            </w:pPr>
            <w:r w:rsidRPr="00475BD7">
              <w:rPr>
                <w:b/>
                <w:bCs/>
                <w:color w:val="000000"/>
              </w:rPr>
              <w:lastRenderedPageBreak/>
              <w:t xml:space="preserve">Approved: </w:t>
            </w:r>
            <w:r w:rsidR="004E2A34">
              <w:rPr>
                <w:b/>
                <w:bCs/>
                <w:color w:val="000000"/>
              </w:rPr>
              <w:t>June</w:t>
            </w:r>
            <w:r w:rsidRPr="00475BD7">
              <w:rPr>
                <w:b/>
                <w:bCs/>
                <w:color w:val="000000"/>
              </w:rPr>
              <w:t xml:space="preserve"> 2026</w:t>
            </w:r>
          </w:p>
        </w:tc>
      </w:tr>
    </w:tbl>
    <w:p w14:paraId="2DCCFB75" w14:textId="77777777" w:rsidR="002C544D" w:rsidRDefault="002C544D"/>
    <w:p w14:paraId="349FFA75" w14:textId="77777777" w:rsidR="002C544D" w:rsidRDefault="002C544D"/>
    <w:p w14:paraId="1723560E" w14:textId="77777777" w:rsidR="00817ADF" w:rsidRDefault="00817ADF"/>
    <w:p w14:paraId="10F7FA98" w14:textId="77777777" w:rsidR="00817ADF" w:rsidRDefault="00817ADF"/>
    <w:tbl>
      <w:tblPr>
        <w:tblStyle w:val="TableGrid"/>
        <w:tblpPr w:leftFromText="180" w:rightFromText="180" w:vertAnchor="text" w:horzAnchor="margin" w:tblpXSpec="center" w:tblpY="-38"/>
        <w:tblW w:w="10201" w:type="dxa"/>
        <w:tblLook w:val="04A0" w:firstRow="1" w:lastRow="0" w:firstColumn="1" w:lastColumn="0" w:noHBand="0" w:noVBand="1"/>
      </w:tblPr>
      <w:tblGrid>
        <w:gridCol w:w="1940"/>
        <w:gridCol w:w="2308"/>
        <w:gridCol w:w="5953"/>
      </w:tblGrid>
      <w:tr w:rsidR="00161CD7" w:rsidRPr="00161CD7" w14:paraId="480B8636" w14:textId="77777777" w:rsidTr="000D2167">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C00E839" w14:textId="77777777" w:rsidR="00161CD7" w:rsidRPr="00161CD7" w:rsidRDefault="00161CD7" w:rsidP="00161CD7">
            <w:r w:rsidRPr="00161CD7">
              <w:rPr>
                <w:b/>
                <w:bCs/>
              </w:rPr>
              <w:lastRenderedPageBreak/>
              <w:t>Risk Domain</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9B263" w14:textId="77777777" w:rsidR="00161CD7" w:rsidRPr="00161CD7" w:rsidRDefault="00161CD7" w:rsidP="00161CD7">
            <w:pPr>
              <w:rPr>
                <w:b/>
                <w:bCs/>
              </w:rPr>
            </w:pPr>
            <w:r w:rsidRPr="00161CD7">
              <w:rPr>
                <w:b/>
                <w:bCs/>
              </w:rPr>
              <w:t>ICB Board -Risk Appetite Level</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9D7E85" w14:textId="77777777" w:rsidR="00161CD7" w:rsidRPr="00161CD7" w:rsidRDefault="00161CD7" w:rsidP="00161CD7">
            <w:pPr>
              <w:rPr>
                <w:b/>
                <w:bCs/>
              </w:rPr>
            </w:pPr>
            <w:r w:rsidRPr="00161CD7">
              <w:rPr>
                <w:b/>
                <w:bCs/>
              </w:rPr>
              <w:t>ICB Board  - Risk Appetite Statement</w:t>
            </w:r>
          </w:p>
        </w:tc>
      </w:tr>
      <w:tr w:rsidR="00161CD7" w:rsidRPr="00161CD7" w14:paraId="67F71236" w14:textId="77777777" w:rsidTr="000D2167">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D28B3E9" w14:textId="77777777" w:rsidR="00161CD7" w:rsidRPr="00161CD7" w:rsidRDefault="00161CD7" w:rsidP="00161CD7">
            <w:pPr>
              <w:rPr>
                <w:b/>
                <w:bCs/>
              </w:rPr>
            </w:pPr>
            <w:r w:rsidRPr="00161CD7">
              <w:rPr>
                <w:b/>
                <w:bCs/>
              </w:rPr>
              <w:t>FINANCIAL</w:t>
            </w:r>
          </w:p>
          <w:p w14:paraId="1D8AD9DF" w14:textId="77777777" w:rsidR="00161CD7" w:rsidRPr="00161CD7" w:rsidRDefault="00161CD7" w:rsidP="00161CD7">
            <w:r w:rsidRPr="00161CD7">
              <w:t>How will we use</w:t>
            </w:r>
          </w:p>
          <w:p w14:paraId="72D50CF6" w14:textId="77777777" w:rsidR="00161CD7" w:rsidRPr="00161CD7" w:rsidRDefault="00161CD7" w:rsidP="00161CD7">
            <w:r w:rsidRPr="00161CD7">
              <w:t>our resources?</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F281C" w14:textId="77777777" w:rsidR="00161CD7" w:rsidRPr="00161CD7" w:rsidRDefault="00161CD7" w:rsidP="00161CD7">
            <w:pPr>
              <w:rPr>
                <w:b/>
                <w:bCs/>
              </w:rPr>
            </w:pPr>
            <w:r w:rsidRPr="00161CD7">
              <w:rPr>
                <w:b/>
                <w:bCs/>
              </w:rPr>
              <w:t xml:space="preserve">Cautious: </w:t>
            </w:r>
          </w:p>
          <w:p w14:paraId="4792A5FE" w14:textId="77777777" w:rsidR="00161CD7" w:rsidRPr="00161CD7" w:rsidRDefault="00161CD7" w:rsidP="00161CD7">
            <w:pPr>
              <w:rPr>
                <w:b/>
                <w:bCs/>
              </w:rPr>
            </w:pPr>
            <w:r w:rsidRPr="00161CD7">
              <w:t>Preference for safe delivery options that have a low degree of residual risk and only a limited reward potential.</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F3AFFF4" w14:textId="77777777" w:rsidR="00DB66D8" w:rsidRDefault="00DB66D8" w:rsidP="00DB66D8">
            <w:pPr>
              <w:numPr>
                <w:ilvl w:val="0"/>
                <w:numId w:val="1"/>
              </w:numPr>
              <w:tabs>
                <w:tab w:val="clear" w:pos="720"/>
              </w:tabs>
              <w:ind w:left="273" w:hanging="273"/>
              <w:jc w:val="both"/>
              <w:rPr>
                <w:sz w:val="24"/>
                <w:szCs w:val="24"/>
              </w:rPr>
            </w:pPr>
            <w:r w:rsidRPr="002C544D">
              <w:rPr>
                <w:sz w:val="24"/>
                <w:szCs w:val="24"/>
              </w:rPr>
              <w:t>We will only accept limited financial risk where there is a robust business case.</w:t>
            </w:r>
          </w:p>
          <w:p w14:paraId="5579FFFE" w14:textId="6B9A8FBD" w:rsidR="00DB66D8" w:rsidRPr="002C544D" w:rsidRDefault="00DB66D8" w:rsidP="00DB66D8">
            <w:pPr>
              <w:numPr>
                <w:ilvl w:val="0"/>
                <w:numId w:val="1"/>
              </w:numPr>
              <w:tabs>
                <w:tab w:val="clear" w:pos="720"/>
              </w:tabs>
              <w:ind w:left="273" w:hanging="273"/>
              <w:jc w:val="both"/>
              <w:rPr>
                <w:sz w:val="24"/>
                <w:szCs w:val="24"/>
              </w:rPr>
            </w:pPr>
            <w:r w:rsidRPr="002C544D">
              <w:rPr>
                <w:sz w:val="24"/>
                <w:szCs w:val="24"/>
              </w:rPr>
              <w:t>Proposals must be affordable within available resources and financial plans.</w:t>
            </w:r>
          </w:p>
          <w:p w14:paraId="445E90A2" w14:textId="1660BD02" w:rsidR="00DB66D8" w:rsidRPr="00F831AA" w:rsidRDefault="00DB66D8" w:rsidP="00522FCC">
            <w:pPr>
              <w:numPr>
                <w:ilvl w:val="0"/>
                <w:numId w:val="1"/>
              </w:numPr>
              <w:tabs>
                <w:tab w:val="clear" w:pos="720"/>
              </w:tabs>
              <w:ind w:left="273" w:hanging="273"/>
              <w:jc w:val="both"/>
              <w:rPr>
                <w:color w:val="000000" w:themeColor="text1"/>
                <w:sz w:val="24"/>
                <w:szCs w:val="24"/>
              </w:rPr>
            </w:pPr>
            <w:r w:rsidRPr="00F831AA">
              <w:rPr>
                <w:color w:val="000000" w:themeColor="text1"/>
                <w:sz w:val="24"/>
                <w:szCs w:val="24"/>
              </w:rPr>
              <w:t>We expect the benefits are clear, measurable and proportionate to the cost</w:t>
            </w:r>
            <w:r w:rsidR="009B5F35" w:rsidRPr="00F831AA">
              <w:rPr>
                <w:color w:val="000000" w:themeColor="text1"/>
                <w:sz w:val="24"/>
                <w:szCs w:val="24"/>
              </w:rPr>
              <w:t xml:space="preserve">, and </w:t>
            </w:r>
            <w:r w:rsidR="00522FCC" w:rsidRPr="00F831AA">
              <w:rPr>
                <w:color w:val="000000" w:themeColor="text1"/>
                <w:sz w:val="24"/>
                <w:szCs w:val="24"/>
              </w:rPr>
              <w:t>that long term benefits exceed short term risk.</w:t>
            </w:r>
          </w:p>
          <w:p w14:paraId="7ADF7D20" w14:textId="634D0C69" w:rsidR="00DB66D8" w:rsidRPr="00F831AA" w:rsidRDefault="00DB66D8" w:rsidP="00DB66D8">
            <w:pPr>
              <w:numPr>
                <w:ilvl w:val="0"/>
                <w:numId w:val="1"/>
              </w:numPr>
              <w:tabs>
                <w:tab w:val="clear" w:pos="720"/>
              </w:tabs>
              <w:ind w:left="273" w:hanging="273"/>
              <w:jc w:val="both"/>
              <w:rPr>
                <w:color w:val="000000" w:themeColor="text1"/>
                <w:sz w:val="24"/>
                <w:szCs w:val="24"/>
              </w:rPr>
            </w:pPr>
            <w:r w:rsidRPr="00F831AA">
              <w:rPr>
                <w:color w:val="000000" w:themeColor="text1"/>
                <w:sz w:val="24"/>
                <w:szCs w:val="24"/>
              </w:rPr>
              <w:t>Decisions must demonstrate value for money and the best use of public resources.</w:t>
            </w:r>
          </w:p>
          <w:p w14:paraId="1E741FDD" w14:textId="5779AB7D" w:rsidR="00161CD7" w:rsidRPr="00F831AA" w:rsidRDefault="00DB66D8" w:rsidP="00161CD7">
            <w:pPr>
              <w:numPr>
                <w:ilvl w:val="0"/>
                <w:numId w:val="1"/>
              </w:numPr>
              <w:tabs>
                <w:tab w:val="clear" w:pos="720"/>
              </w:tabs>
              <w:ind w:left="273" w:hanging="273"/>
              <w:jc w:val="both"/>
              <w:rPr>
                <w:sz w:val="24"/>
                <w:szCs w:val="24"/>
              </w:rPr>
            </w:pPr>
            <w:r w:rsidRPr="00F831AA">
              <w:rPr>
                <w:color w:val="000000" w:themeColor="text1"/>
                <w:sz w:val="24"/>
                <w:szCs w:val="24"/>
              </w:rPr>
              <w:t xml:space="preserve">Appropriate financial controls in line with the SoRD and SFIs, assurance and oversight must be in place before risks are accepted. </w:t>
            </w:r>
          </w:p>
        </w:tc>
      </w:tr>
      <w:tr w:rsidR="00161CD7" w:rsidRPr="00161CD7" w14:paraId="6267D5EF" w14:textId="77777777" w:rsidTr="000D2167">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C8292EA" w14:textId="77777777" w:rsidR="00161CD7" w:rsidRPr="00161CD7" w:rsidRDefault="00161CD7" w:rsidP="00161CD7">
            <w:pPr>
              <w:rPr>
                <w:b/>
                <w:bCs/>
              </w:rPr>
            </w:pPr>
            <w:r w:rsidRPr="00161CD7">
              <w:rPr>
                <w:b/>
                <w:bCs/>
              </w:rPr>
              <w:t>REGULATORY</w:t>
            </w:r>
          </w:p>
          <w:p w14:paraId="084AC0B3" w14:textId="77777777" w:rsidR="00161CD7" w:rsidRPr="00161CD7" w:rsidRDefault="00161CD7" w:rsidP="00161CD7">
            <w:r w:rsidRPr="00161CD7">
              <w:t>How will we be</w:t>
            </w:r>
          </w:p>
          <w:p w14:paraId="36CF5484" w14:textId="77777777" w:rsidR="00161CD7" w:rsidRPr="00161CD7" w:rsidRDefault="00161CD7" w:rsidP="00161CD7">
            <w:r w:rsidRPr="00161CD7">
              <w:t>perceived by our</w:t>
            </w:r>
          </w:p>
          <w:p w14:paraId="4AEA1C5A" w14:textId="77777777" w:rsidR="00161CD7" w:rsidRPr="00161CD7" w:rsidRDefault="00161CD7" w:rsidP="00161CD7">
            <w:r w:rsidRPr="00161CD7">
              <w:t>regulator?</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E7EB7" w14:textId="77777777" w:rsidR="00161CD7" w:rsidRPr="00161CD7" w:rsidRDefault="00161CD7" w:rsidP="00161CD7">
            <w:pPr>
              <w:rPr>
                <w:b/>
                <w:bCs/>
              </w:rPr>
            </w:pPr>
            <w:r w:rsidRPr="00161CD7">
              <w:rPr>
                <w:b/>
                <w:bCs/>
              </w:rPr>
              <w:t xml:space="preserve">Cautious: </w:t>
            </w:r>
          </w:p>
          <w:p w14:paraId="685FFA09" w14:textId="77777777" w:rsidR="00161CD7" w:rsidRPr="00161CD7" w:rsidRDefault="00161CD7" w:rsidP="00161CD7">
            <w:pPr>
              <w:rPr>
                <w:b/>
                <w:bCs/>
              </w:rPr>
            </w:pPr>
            <w:r w:rsidRPr="00161CD7">
              <w:t>Preference for safe delivery options that have a low degree of residual risk and only a limited reward potential.</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9D51D1C" w14:textId="77777777"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 xml:space="preserve">We expect compliance with statutory, regulatory and governance requirements to be the default position. </w:t>
            </w:r>
          </w:p>
          <w:p w14:paraId="6FCA9382" w14:textId="77777777"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 xml:space="preserve"> We will only accept limited regulatory or compliance risk, and only where there is a clear and documented rationale. </w:t>
            </w:r>
          </w:p>
          <w:p w14:paraId="4989E859" w14:textId="03A218F8"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 xml:space="preserve">Any such risk must be supported by appropriate legal, professional or specialist advice where required. </w:t>
            </w:r>
          </w:p>
          <w:p w14:paraId="4AA37D91" w14:textId="7CA48ADA"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 xml:space="preserve">Robust controls, mitigating actions and clear accountability must be in place before the risk is accepted. </w:t>
            </w:r>
          </w:p>
          <w:p w14:paraId="7D14F857" w14:textId="4F6FC634"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 xml:space="preserve">Exceptions should be subject to formal approval, oversight and ongoing assurance. </w:t>
            </w:r>
          </w:p>
          <w:p w14:paraId="28882B8D" w14:textId="22B46D15" w:rsidR="00DB66D8" w:rsidRPr="002C544D" w:rsidRDefault="00DB66D8" w:rsidP="00DB66D8">
            <w:pPr>
              <w:numPr>
                <w:ilvl w:val="0"/>
                <w:numId w:val="2"/>
              </w:numPr>
              <w:tabs>
                <w:tab w:val="clear" w:pos="720"/>
                <w:tab w:val="num" w:pos="273"/>
              </w:tabs>
              <w:ind w:left="273" w:hanging="273"/>
              <w:contextualSpacing/>
              <w:jc w:val="both"/>
              <w:rPr>
                <w:rFonts w:eastAsia="+mn-ea" w:cs="+mn-cs"/>
                <w:color w:val="000000"/>
                <w:sz w:val="24"/>
                <w:szCs w:val="24"/>
                <w:lang w:val="en-US" w:eastAsia="en-GB"/>
              </w:rPr>
            </w:pPr>
            <w:r w:rsidRPr="002C544D">
              <w:rPr>
                <w:rFonts w:eastAsia="+mn-ea" w:cs="+mn-cs"/>
                <w:color w:val="000000"/>
                <w:sz w:val="24"/>
                <w:szCs w:val="24"/>
                <w:lang w:val="en-US" w:eastAsia="en-GB"/>
              </w:rPr>
              <w:t>We have very low tolerance for deliberate, avoidable</w:t>
            </w:r>
            <w:r w:rsidR="00842C64">
              <w:rPr>
                <w:rFonts w:eastAsia="+mn-ea" w:cs="+mn-cs"/>
                <w:color w:val="000000"/>
                <w:sz w:val="24"/>
                <w:szCs w:val="24"/>
                <w:lang w:val="en-US" w:eastAsia="en-GB"/>
              </w:rPr>
              <w:t xml:space="preserve"> or</w:t>
            </w:r>
            <w:r w:rsidRPr="002C544D">
              <w:rPr>
                <w:rFonts w:eastAsia="+mn-ea" w:cs="+mn-cs"/>
                <w:color w:val="000000"/>
                <w:sz w:val="24"/>
                <w:szCs w:val="24"/>
                <w:lang w:val="en-US" w:eastAsia="en-GB"/>
              </w:rPr>
              <w:t xml:space="preserve"> unmanaged non-compliance.</w:t>
            </w:r>
          </w:p>
          <w:p w14:paraId="45081704" w14:textId="226093FA" w:rsidR="00161CD7" w:rsidRPr="00161CD7" w:rsidRDefault="00161CD7" w:rsidP="00161CD7">
            <w:pPr>
              <w:rPr>
                <w:b/>
                <w:bCs/>
              </w:rPr>
            </w:pPr>
          </w:p>
        </w:tc>
      </w:tr>
      <w:tr w:rsidR="00161CD7" w:rsidRPr="00161CD7" w14:paraId="697958F8" w14:textId="77777777" w:rsidTr="000D2167">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48717BA" w14:textId="77777777" w:rsidR="00161CD7" w:rsidRPr="00161CD7" w:rsidRDefault="00161CD7" w:rsidP="00161CD7">
            <w:pPr>
              <w:rPr>
                <w:b/>
                <w:bCs/>
              </w:rPr>
            </w:pPr>
            <w:r w:rsidRPr="00161CD7">
              <w:rPr>
                <w:b/>
                <w:bCs/>
              </w:rPr>
              <w:t>QUALITY</w:t>
            </w:r>
          </w:p>
          <w:p w14:paraId="0DA6159D" w14:textId="77777777" w:rsidR="00161CD7" w:rsidRPr="00161CD7" w:rsidRDefault="00161CD7" w:rsidP="00161CD7">
            <w:r w:rsidRPr="00161CD7">
              <w:t>How will we</w:t>
            </w:r>
          </w:p>
          <w:p w14:paraId="3797CFBF" w14:textId="77777777" w:rsidR="00161CD7" w:rsidRPr="00161CD7" w:rsidRDefault="00161CD7" w:rsidP="00161CD7">
            <w:r w:rsidRPr="00161CD7">
              <w:t>deliver safe</w:t>
            </w:r>
          </w:p>
          <w:p w14:paraId="5609B691" w14:textId="77777777" w:rsidR="00161CD7" w:rsidRPr="00161CD7" w:rsidRDefault="00161CD7" w:rsidP="00161CD7">
            <w:r w:rsidRPr="00161CD7">
              <w:t>services?</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DACE5" w14:textId="77777777" w:rsidR="00161CD7" w:rsidRPr="00161CD7" w:rsidRDefault="00161CD7" w:rsidP="00161CD7">
            <w:pPr>
              <w:rPr>
                <w:b/>
                <w:bCs/>
              </w:rPr>
            </w:pPr>
            <w:r w:rsidRPr="00161CD7">
              <w:rPr>
                <w:b/>
                <w:bCs/>
              </w:rPr>
              <w:t xml:space="preserve">Cautious: </w:t>
            </w:r>
          </w:p>
          <w:p w14:paraId="1ACEAD54" w14:textId="77777777" w:rsidR="00161CD7" w:rsidRPr="00161CD7" w:rsidRDefault="00161CD7" w:rsidP="00161CD7">
            <w:pPr>
              <w:rPr>
                <w:b/>
                <w:bCs/>
              </w:rPr>
            </w:pPr>
            <w:r w:rsidRPr="00161CD7">
              <w:t>Preference for safe delivery options that have a low degree of residual risk and only a limited reward potential.</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D65F01" w14:textId="77777777" w:rsidR="00DB66D8" w:rsidRPr="002C544D" w:rsidRDefault="00DB66D8" w:rsidP="00585D31">
            <w:pPr>
              <w:numPr>
                <w:ilvl w:val="0"/>
                <w:numId w:val="3"/>
              </w:numPr>
              <w:tabs>
                <w:tab w:val="clear" w:pos="720"/>
                <w:tab w:val="num" w:pos="312"/>
              </w:tabs>
              <w:ind w:left="312" w:hanging="283"/>
              <w:jc w:val="both"/>
              <w:rPr>
                <w:sz w:val="24"/>
                <w:szCs w:val="24"/>
                <w:lang w:val="en-US"/>
              </w:rPr>
            </w:pPr>
            <w:r w:rsidRPr="002C544D">
              <w:rPr>
                <w:sz w:val="24"/>
                <w:szCs w:val="24"/>
                <w:lang w:val="en-US"/>
              </w:rPr>
              <w:t>We expect all staff to keep quality, safety and equity at the centre of commissioning decisions, using their roles to secure the best possible outcomes for local people.</w:t>
            </w:r>
          </w:p>
          <w:p w14:paraId="22075CB1" w14:textId="1A2BAD8A" w:rsidR="00DB66D8" w:rsidRPr="002C544D" w:rsidRDefault="00DB66D8" w:rsidP="00585D31">
            <w:pPr>
              <w:numPr>
                <w:ilvl w:val="0"/>
                <w:numId w:val="3"/>
              </w:numPr>
              <w:tabs>
                <w:tab w:val="clear" w:pos="720"/>
                <w:tab w:val="num" w:pos="312"/>
              </w:tabs>
              <w:ind w:left="312" w:hanging="283"/>
              <w:jc w:val="both"/>
              <w:rPr>
                <w:sz w:val="24"/>
                <w:szCs w:val="24"/>
                <w:lang w:val="en-US"/>
              </w:rPr>
            </w:pPr>
            <w:r w:rsidRPr="002C544D">
              <w:rPr>
                <w:sz w:val="24"/>
                <w:szCs w:val="24"/>
                <w:lang w:val="en-US"/>
              </w:rPr>
              <w:t>W</w:t>
            </w:r>
            <w:r w:rsidR="00585D31">
              <w:rPr>
                <w:sz w:val="24"/>
                <w:szCs w:val="24"/>
                <w:lang w:val="en-US"/>
              </w:rPr>
              <w:t>e</w:t>
            </w:r>
            <w:r w:rsidRPr="002C544D">
              <w:rPr>
                <w:sz w:val="24"/>
                <w:szCs w:val="24"/>
                <w:lang w:val="en-US"/>
              </w:rPr>
              <w:t xml:space="preserve"> support innovation, service redesign and new </w:t>
            </w:r>
            <w:r w:rsidR="00585D31">
              <w:rPr>
                <w:sz w:val="24"/>
                <w:szCs w:val="24"/>
                <w:lang w:val="en-US"/>
              </w:rPr>
              <w:t>m</w:t>
            </w:r>
            <w:r w:rsidRPr="002C544D">
              <w:rPr>
                <w:sz w:val="24"/>
                <w:szCs w:val="24"/>
                <w:lang w:val="en-US"/>
              </w:rPr>
              <w:t>odels of care where there is a clear case for improving quality, reducing unwarranted variation and delivering better patient and population outcomes, and where the risks are low, understood and appropriately managed.</w:t>
            </w:r>
          </w:p>
          <w:p w14:paraId="0F7BB60A" w14:textId="68F9727C" w:rsidR="00DB66D8" w:rsidRDefault="00DB66D8" w:rsidP="00585D31">
            <w:pPr>
              <w:numPr>
                <w:ilvl w:val="0"/>
                <w:numId w:val="3"/>
              </w:numPr>
              <w:tabs>
                <w:tab w:val="clear" w:pos="720"/>
                <w:tab w:val="num" w:pos="312"/>
              </w:tabs>
              <w:ind w:left="312" w:hanging="283"/>
              <w:jc w:val="both"/>
              <w:rPr>
                <w:sz w:val="24"/>
                <w:szCs w:val="24"/>
                <w:lang w:val="en-US"/>
              </w:rPr>
            </w:pPr>
            <w:r w:rsidRPr="002C544D">
              <w:rPr>
                <w:sz w:val="24"/>
                <w:szCs w:val="24"/>
                <w:lang w:val="en-US"/>
              </w:rPr>
              <w:t>Staff should feel confident to champion improvement and challenge variation, but to do so through robust insight, clinical and professional leadership, partnership working, and proportionate assurance so that innovation strengthens system quality without creating unmanaged risk.</w:t>
            </w:r>
          </w:p>
          <w:p w14:paraId="180358E7" w14:textId="77777777" w:rsidR="00DB66D8" w:rsidRPr="00842C64" w:rsidRDefault="00DB66D8" w:rsidP="00585D31">
            <w:pPr>
              <w:numPr>
                <w:ilvl w:val="0"/>
                <w:numId w:val="3"/>
              </w:numPr>
              <w:tabs>
                <w:tab w:val="clear" w:pos="720"/>
                <w:tab w:val="num" w:pos="312"/>
              </w:tabs>
              <w:ind w:left="312" w:hanging="283"/>
              <w:jc w:val="both"/>
              <w:rPr>
                <w:color w:val="000000" w:themeColor="text1"/>
                <w:sz w:val="24"/>
                <w:szCs w:val="24"/>
                <w:lang w:val="en-US"/>
              </w:rPr>
            </w:pPr>
            <w:r w:rsidRPr="00842C64">
              <w:rPr>
                <w:color w:val="000000" w:themeColor="text1"/>
                <w:sz w:val="24"/>
                <w:szCs w:val="24"/>
              </w:rPr>
              <w:t>We support a positive approach for interventions targeting underserved populations, low tolerance for decisions that risk widening health inequalities</w:t>
            </w:r>
          </w:p>
          <w:p w14:paraId="05DC24B8" w14:textId="6E19A3F3" w:rsidR="00161CD7" w:rsidRPr="00161CD7" w:rsidRDefault="00161CD7" w:rsidP="00585D31">
            <w:pPr>
              <w:tabs>
                <w:tab w:val="num" w:pos="312"/>
              </w:tabs>
              <w:ind w:left="312" w:hanging="283"/>
              <w:rPr>
                <w:b/>
                <w:bCs/>
              </w:rPr>
            </w:pPr>
          </w:p>
        </w:tc>
      </w:tr>
      <w:tr w:rsidR="00161CD7" w:rsidRPr="00161CD7" w14:paraId="5B0CC138" w14:textId="77777777" w:rsidTr="000D2167">
        <w:trPr>
          <w:trHeight w:val="1793"/>
        </w:trPr>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F570FC9" w14:textId="77777777" w:rsidR="00161CD7" w:rsidRPr="00161CD7" w:rsidRDefault="00161CD7" w:rsidP="00161CD7">
            <w:pPr>
              <w:rPr>
                <w:b/>
                <w:bCs/>
              </w:rPr>
            </w:pPr>
            <w:r w:rsidRPr="00161CD7">
              <w:rPr>
                <w:b/>
                <w:bCs/>
              </w:rPr>
              <w:lastRenderedPageBreak/>
              <w:t>REPUTATIONAL</w:t>
            </w:r>
          </w:p>
          <w:p w14:paraId="7A058F39" w14:textId="77777777" w:rsidR="00161CD7" w:rsidRPr="00161CD7" w:rsidRDefault="00161CD7" w:rsidP="00161CD7">
            <w:r w:rsidRPr="00161CD7">
              <w:t>How will we be</w:t>
            </w:r>
          </w:p>
          <w:p w14:paraId="42546BA1" w14:textId="77777777" w:rsidR="00161CD7" w:rsidRPr="00161CD7" w:rsidRDefault="00161CD7" w:rsidP="00161CD7">
            <w:r w:rsidRPr="00161CD7">
              <w:t>perceived by the</w:t>
            </w:r>
          </w:p>
          <w:p w14:paraId="3BB1C4F3" w14:textId="77777777" w:rsidR="00161CD7" w:rsidRPr="00161CD7" w:rsidRDefault="00161CD7" w:rsidP="00161CD7">
            <w:r w:rsidRPr="00161CD7">
              <w:t>public and our</w:t>
            </w:r>
          </w:p>
          <w:p w14:paraId="2DDD605E" w14:textId="77777777" w:rsidR="00161CD7" w:rsidRPr="00161CD7" w:rsidRDefault="00161CD7" w:rsidP="00161CD7">
            <w:r w:rsidRPr="00161CD7">
              <w:t>partners?</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6B192" w14:textId="77777777" w:rsidR="00161CD7" w:rsidRPr="00161CD7" w:rsidRDefault="00161CD7" w:rsidP="00161CD7">
            <w:pPr>
              <w:rPr>
                <w:b/>
                <w:bCs/>
              </w:rPr>
            </w:pPr>
            <w:r w:rsidRPr="00161CD7">
              <w:rPr>
                <w:b/>
                <w:bCs/>
              </w:rPr>
              <w:t xml:space="preserve">Open </w:t>
            </w:r>
          </w:p>
          <w:p w14:paraId="0196E318" w14:textId="77777777" w:rsidR="00161CD7" w:rsidRPr="00161CD7" w:rsidRDefault="00161CD7" w:rsidP="00161CD7">
            <w:r w:rsidRPr="00161CD7">
              <w:t>We are willing to consider all potential delivery options and choose while also providing an acceptable level of reward.</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C65EC91" w14:textId="77777777" w:rsidR="00DB66D8" w:rsidRPr="002C544D" w:rsidRDefault="00DB66D8" w:rsidP="00585D31">
            <w:pPr>
              <w:numPr>
                <w:ilvl w:val="0"/>
                <w:numId w:val="4"/>
              </w:numPr>
              <w:tabs>
                <w:tab w:val="clear" w:pos="720"/>
                <w:tab w:val="num" w:pos="454"/>
              </w:tabs>
              <w:ind w:left="312" w:hanging="312"/>
              <w:jc w:val="both"/>
              <w:rPr>
                <w:sz w:val="24"/>
                <w:szCs w:val="24"/>
                <w:lang w:val="en-US"/>
              </w:rPr>
            </w:pPr>
            <w:r w:rsidRPr="002C544D">
              <w:rPr>
                <w:sz w:val="24"/>
                <w:szCs w:val="24"/>
                <w:lang w:val="en-US"/>
              </w:rPr>
              <w:t xml:space="preserve">We are prepared to accept some reputational exposure where it will lead to better outcomes for patients, the public and our partners. </w:t>
            </w:r>
          </w:p>
          <w:p w14:paraId="1D315769" w14:textId="2084B7D0" w:rsidR="00DB66D8" w:rsidRPr="002C544D" w:rsidRDefault="00DB66D8" w:rsidP="00585D31">
            <w:pPr>
              <w:numPr>
                <w:ilvl w:val="0"/>
                <w:numId w:val="4"/>
              </w:numPr>
              <w:tabs>
                <w:tab w:val="clear" w:pos="720"/>
                <w:tab w:val="num" w:pos="454"/>
              </w:tabs>
              <w:ind w:left="312" w:hanging="312"/>
              <w:jc w:val="both"/>
              <w:rPr>
                <w:sz w:val="24"/>
                <w:szCs w:val="24"/>
                <w:lang w:val="en-US"/>
              </w:rPr>
            </w:pPr>
            <w:r w:rsidRPr="002C544D">
              <w:rPr>
                <w:sz w:val="24"/>
                <w:szCs w:val="24"/>
                <w:lang w:val="en-US"/>
              </w:rPr>
              <w:t>We will not avoid making the right decision simply because it may be unpopular or attract challenge.  This requires us to be clear on the evidence, confident in the rationale, and proactive in how we communicate and manage the impact.</w:t>
            </w:r>
          </w:p>
          <w:p w14:paraId="08F31DCE" w14:textId="1E8C6FC5" w:rsidR="00DB66D8" w:rsidRPr="002C544D" w:rsidRDefault="00DB66D8" w:rsidP="00585D31">
            <w:pPr>
              <w:numPr>
                <w:ilvl w:val="0"/>
                <w:numId w:val="4"/>
              </w:numPr>
              <w:tabs>
                <w:tab w:val="clear" w:pos="720"/>
                <w:tab w:val="num" w:pos="454"/>
              </w:tabs>
              <w:ind w:left="312" w:hanging="312"/>
              <w:jc w:val="both"/>
              <w:rPr>
                <w:sz w:val="24"/>
                <w:szCs w:val="24"/>
                <w:lang w:val="en-US"/>
              </w:rPr>
            </w:pPr>
            <w:r w:rsidRPr="002C544D">
              <w:rPr>
                <w:sz w:val="24"/>
                <w:szCs w:val="24"/>
                <w:lang w:val="en-US"/>
              </w:rPr>
              <w:t>We will accept some challenge, but not avoidable damage caused by poor judgement, weak engagement or inadequate control.</w:t>
            </w:r>
          </w:p>
          <w:p w14:paraId="198A2ABA" w14:textId="77777777" w:rsidR="00DB66D8" w:rsidRPr="002C544D" w:rsidRDefault="00DB66D8" w:rsidP="00585D31">
            <w:pPr>
              <w:numPr>
                <w:ilvl w:val="0"/>
                <w:numId w:val="5"/>
              </w:numPr>
              <w:tabs>
                <w:tab w:val="clear" w:pos="720"/>
                <w:tab w:val="num" w:pos="454"/>
              </w:tabs>
              <w:ind w:left="312" w:hanging="312"/>
              <w:jc w:val="both"/>
              <w:rPr>
                <w:sz w:val="24"/>
                <w:szCs w:val="24"/>
                <w:lang w:val="en-US"/>
              </w:rPr>
            </w:pPr>
            <w:r w:rsidRPr="002C544D">
              <w:rPr>
                <w:sz w:val="24"/>
                <w:szCs w:val="24"/>
                <w:lang w:val="en-US"/>
              </w:rPr>
              <w:t>We are prepared to invest in new ways of working, leadership and workforce development where this will strengthen organisational capability and improve long-term outcomes.</w:t>
            </w:r>
          </w:p>
          <w:p w14:paraId="6495DCB0" w14:textId="7FF3A898" w:rsidR="00DB66D8" w:rsidRPr="002C544D" w:rsidRDefault="00DB66D8" w:rsidP="00585D31">
            <w:pPr>
              <w:numPr>
                <w:ilvl w:val="0"/>
                <w:numId w:val="5"/>
              </w:numPr>
              <w:tabs>
                <w:tab w:val="clear" w:pos="720"/>
                <w:tab w:val="num" w:pos="454"/>
              </w:tabs>
              <w:ind w:left="312" w:hanging="312"/>
              <w:jc w:val="both"/>
              <w:rPr>
                <w:sz w:val="24"/>
                <w:szCs w:val="24"/>
                <w:lang w:val="en-US"/>
              </w:rPr>
            </w:pPr>
            <w:r w:rsidRPr="002C544D">
              <w:rPr>
                <w:sz w:val="24"/>
                <w:szCs w:val="24"/>
                <w:lang w:val="en-US"/>
              </w:rPr>
              <w:t>We will accept some short-term disruption, uncertainty or change for staff, provided the purpose is clear, our people are well supported, and the benefits are sustainable.</w:t>
            </w:r>
          </w:p>
          <w:p w14:paraId="644031D7" w14:textId="304A764A" w:rsidR="00DB66D8" w:rsidRPr="002C544D" w:rsidRDefault="00585D31" w:rsidP="00585D31">
            <w:pPr>
              <w:numPr>
                <w:ilvl w:val="0"/>
                <w:numId w:val="5"/>
              </w:numPr>
              <w:tabs>
                <w:tab w:val="clear" w:pos="720"/>
                <w:tab w:val="num" w:pos="454"/>
              </w:tabs>
              <w:ind w:left="312" w:hanging="312"/>
              <w:jc w:val="both"/>
              <w:rPr>
                <w:sz w:val="24"/>
                <w:szCs w:val="24"/>
                <w:lang w:val="en-US"/>
              </w:rPr>
            </w:pPr>
            <w:r>
              <w:rPr>
                <w:sz w:val="24"/>
                <w:szCs w:val="24"/>
                <w:lang w:val="en-US"/>
              </w:rPr>
              <w:t>W</w:t>
            </w:r>
            <w:r w:rsidR="00DB66D8" w:rsidRPr="002C544D">
              <w:rPr>
                <w:sz w:val="24"/>
                <w:szCs w:val="24"/>
                <w:lang w:val="en-US"/>
              </w:rPr>
              <w:t xml:space="preserve">e would not accept avoidable harm to staff </w:t>
            </w:r>
            <w:r>
              <w:rPr>
                <w:sz w:val="24"/>
                <w:szCs w:val="24"/>
                <w:lang w:val="en-US"/>
              </w:rPr>
              <w:t>e</w:t>
            </w:r>
            <w:r w:rsidR="00DB66D8" w:rsidRPr="002C544D">
              <w:rPr>
                <w:sz w:val="24"/>
                <w:szCs w:val="24"/>
                <w:lang w:val="en-US"/>
              </w:rPr>
              <w:t>xperience, wellbeing or culture; people-related risks must be planned, communicated and managed with strong engagement and oversight.</w:t>
            </w:r>
          </w:p>
          <w:p w14:paraId="1492B3E9" w14:textId="68B3A214" w:rsidR="00161CD7" w:rsidRPr="00161CD7" w:rsidRDefault="00161CD7" w:rsidP="00585D31">
            <w:pPr>
              <w:tabs>
                <w:tab w:val="num" w:pos="454"/>
              </w:tabs>
              <w:ind w:left="312" w:hanging="312"/>
            </w:pPr>
          </w:p>
        </w:tc>
      </w:tr>
      <w:tr w:rsidR="00161CD7" w:rsidRPr="00161CD7" w14:paraId="0B548CA6" w14:textId="77777777" w:rsidTr="000D2167">
        <w:tc>
          <w:tcPr>
            <w:tcW w:w="194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35D62F1" w14:textId="77777777" w:rsidR="00161CD7" w:rsidRPr="00161CD7" w:rsidRDefault="00161CD7" w:rsidP="00161CD7">
            <w:pPr>
              <w:rPr>
                <w:b/>
                <w:bCs/>
              </w:rPr>
            </w:pPr>
            <w:r w:rsidRPr="00161CD7">
              <w:rPr>
                <w:b/>
                <w:bCs/>
              </w:rPr>
              <w:t>PEOPLE</w:t>
            </w:r>
          </w:p>
          <w:p w14:paraId="00A96E67" w14:textId="77777777" w:rsidR="00161CD7" w:rsidRPr="00161CD7" w:rsidRDefault="00161CD7" w:rsidP="00161CD7">
            <w:r w:rsidRPr="00161CD7">
              <w:t>How will we be</w:t>
            </w:r>
          </w:p>
          <w:p w14:paraId="7EFD1764" w14:textId="77777777" w:rsidR="00161CD7" w:rsidRPr="00161CD7" w:rsidRDefault="00161CD7" w:rsidP="00161CD7">
            <w:r w:rsidRPr="00161CD7">
              <w:t>perceived by the</w:t>
            </w:r>
          </w:p>
          <w:p w14:paraId="4E775D73" w14:textId="77777777" w:rsidR="00161CD7" w:rsidRPr="00161CD7" w:rsidRDefault="00161CD7" w:rsidP="00161CD7">
            <w:r w:rsidRPr="00161CD7">
              <w:t>public and our</w:t>
            </w:r>
          </w:p>
          <w:p w14:paraId="5448EF66" w14:textId="77777777" w:rsidR="00161CD7" w:rsidRPr="00161CD7" w:rsidRDefault="00161CD7" w:rsidP="00161CD7">
            <w:r w:rsidRPr="00161CD7">
              <w:t>partners?</w:t>
            </w:r>
          </w:p>
          <w:p w14:paraId="0D15081B" w14:textId="77777777" w:rsidR="00161CD7" w:rsidRPr="00161CD7" w:rsidRDefault="00161CD7" w:rsidP="00161CD7"/>
          <w:p w14:paraId="7AE4A46F" w14:textId="77777777" w:rsidR="00161CD7" w:rsidRPr="00161CD7" w:rsidRDefault="00161CD7" w:rsidP="00161CD7"/>
          <w:p w14:paraId="3085321B" w14:textId="77777777" w:rsidR="00161CD7" w:rsidRPr="00161CD7" w:rsidRDefault="00161CD7" w:rsidP="00161CD7"/>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E01259" w14:textId="6063A28B" w:rsidR="00161CD7" w:rsidRPr="00161CD7" w:rsidRDefault="00161CD7" w:rsidP="00161CD7">
            <w:pPr>
              <w:rPr>
                <w:b/>
                <w:bCs/>
              </w:rPr>
            </w:pPr>
            <w:r>
              <w:rPr>
                <w:b/>
                <w:bCs/>
              </w:rPr>
              <w:t>Open-</w:t>
            </w:r>
            <w:r w:rsidRPr="00161CD7">
              <w:rPr>
                <w:b/>
                <w:bCs/>
              </w:rPr>
              <w:t>Seek</w:t>
            </w:r>
          </w:p>
          <w:p w14:paraId="2F2CA052" w14:textId="77777777" w:rsidR="00161CD7" w:rsidRPr="00161CD7" w:rsidRDefault="00161CD7" w:rsidP="00161CD7">
            <w:r w:rsidRPr="00161CD7">
              <w:t>Eager to be innovative and to choose options offering higher business rewards (despite greater inherent risk).</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C375" w14:textId="77777777" w:rsidR="000D2167" w:rsidRPr="002C544D" w:rsidRDefault="000D2167" w:rsidP="00585D31">
            <w:pPr>
              <w:numPr>
                <w:ilvl w:val="0"/>
                <w:numId w:val="6"/>
              </w:numPr>
              <w:tabs>
                <w:tab w:val="clear" w:pos="720"/>
                <w:tab w:val="num" w:pos="312"/>
              </w:tabs>
              <w:ind w:left="312" w:hanging="283"/>
              <w:jc w:val="both"/>
              <w:rPr>
                <w:sz w:val="24"/>
                <w:szCs w:val="24"/>
                <w:lang w:val="en-US"/>
              </w:rPr>
            </w:pPr>
            <w:r w:rsidRPr="002C544D">
              <w:rPr>
                <w:sz w:val="24"/>
                <w:szCs w:val="24"/>
                <w:lang w:val="en-US"/>
              </w:rPr>
              <w:t>We are prepared to invest in new ways of working, leadership and workforce development where this will strengthen organisational capability and improve long-term outcomes.</w:t>
            </w:r>
          </w:p>
          <w:p w14:paraId="58262603" w14:textId="77777777" w:rsidR="000D2167" w:rsidRPr="002C544D" w:rsidRDefault="000D2167" w:rsidP="00585D31">
            <w:pPr>
              <w:numPr>
                <w:ilvl w:val="0"/>
                <w:numId w:val="6"/>
              </w:numPr>
              <w:tabs>
                <w:tab w:val="clear" w:pos="720"/>
                <w:tab w:val="num" w:pos="312"/>
              </w:tabs>
              <w:ind w:left="312" w:hanging="283"/>
              <w:jc w:val="both"/>
              <w:rPr>
                <w:sz w:val="24"/>
                <w:szCs w:val="24"/>
                <w:lang w:val="en-US"/>
              </w:rPr>
            </w:pPr>
            <w:r w:rsidRPr="002C544D">
              <w:rPr>
                <w:sz w:val="24"/>
                <w:szCs w:val="24"/>
                <w:lang w:val="en-US"/>
              </w:rPr>
              <w:t xml:space="preserve"> We will accept some short-term disruption, uncertainty or change for staff, provided the purpose is clear, our people are well supported, and the benefits are sustainable.</w:t>
            </w:r>
          </w:p>
          <w:p w14:paraId="4A8D1802" w14:textId="77777777" w:rsidR="000D2167" w:rsidRPr="002C544D" w:rsidRDefault="000D2167" w:rsidP="00585D31">
            <w:pPr>
              <w:numPr>
                <w:ilvl w:val="0"/>
                <w:numId w:val="6"/>
              </w:numPr>
              <w:tabs>
                <w:tab w:val="clear" w:pos="720"/>
                <w:tab w:val="num" w:pos="312"/>
              </w:tabs>
              <w:ind w:left="312" w:hanging="283"/>
              <w:jc w:val="both"/>
              <w:rPr>
                <w:sz w:val="24"/>
                <w:szCs w:val="24"/>
                <w:lang w:val="en-US"/>
              </w:rPr>
            </w:pPr>
            <w:r w:rsidRPr="002C544D">
              <w:rPr>
                <w:sz w:val="24"/>
                <w:szCs w:val="24"/>
                <w:lang w:val="en-US"/>
              </w:rPr>
              <w:t xml:space="preserve"> We would not accept avoidable harm to staff experience, wellbeing or culture; people-related risks must be planned, communicated and managed with strong engagement and oversight</w:t>
            </w:r>
          </w:p>
          <w:p w14:paraId="5E0F4846" w14:textId="4E5DBC65" w:rsidR="00161CD7" w:rsidRPr="00161CD7" w:rsidRDefault="00161CD7" w:rsidP="00161CD7">
            <w:pPr>
              <w:rPr>
                <w:bCs/>
              </w:rPr>
            </w:pPr>
          </w:p>
        </w:tc>
      </w:tr>
    </w:tbl>
    <w:p w14:paraId="290CE796" w14:textId="77777777" w:rsidR="00817ADF" w:rsidRDefault="00817ADF"/>
    <w:p w14:paraId="1CE16685" w14:textId="77777777" w:rsidR="00161CD7" w:rsidRDefault="00161CD7"/>
    <w:p w14:paraId="53262C22" w14:textId="77777777" w:rsidR="00161CD7" w:rsidRDefault="00161CD7"/>
    <w:p w14:paraId="65AEE2D5" w14:textId="77777777" w:rsidR="00161CD7" w:rsidRDefault="00161CD7"/>
    <w:p w14:paraId="353E0549" w14:textId="77777777" w:rsidR="00161CD7" w:rsidRDefault="00161CD7"/>
    <w:p w14:paraId="4D3AB44D" w14:textId="77777777" w:rsidR="00161CD7" w:rsidRDefault="00161CD7"/>
    <w:sectPr w:rsidR="00161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SMinchoE">
    <w:charset w:val="80"/>
    <w:family w:val="roman"/>
    <w:pitch w:val="variable"/>
    <w:sig w:usb0="E00002FF" w:usb1="2AC7EDFE" w:usb2="00000012" w:usb3="00000000" w:csb0="0002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508A"/>
    <w:multiLevelType w:val="hybridMultilevel"/>
    <w:tmpl w:val="1DC67892"/>
    <w:lvl w:ilvl="0" w:tplc="DB3890BA">
      <w:start w:val="1"/>
      <w:numFmt w:val="bullet"/>
      <w:lvlText w:val="•"/>
      <w:lvlJc w:val="left"/>
      <w:pPr>
        <w:tabs>
          <w:tab w:val="num" w:pos="720"/>
        </w:tabs>
        <w:ind w:left="720" w:hanging="360"/>
      </w:pPr>
      <w:rPr>
        <w:rFonts w:ascii="Arial" w:hAnsi="Arial" w:hint="default"/>
      </w:rPr>
    </w:lvl>
    <w:lvl w:ilvl="1" w:tplc="C38EC554" w:tentative="1">
      <w:start w:val="1"/>
      <w:numFmt w:val="bullet"/>
      <w:lvlText w:val="•"/>
      <w:lvlJc w:val="left"/>
      <w:pPr>
        <w:tabs>
          <w:tab w:val="num" w:pos="1440"/>
        </w:tabs>
        <w:ind w:left="1440" w:hanging="360"/>
      </w:pPr>
      <w:rPr>
        <w:rFonts w:ascii="Arial" w:hAnsi="Arial" w:hint="default"/>
      </w:rPr>
    </w:lvl>
    <w:lvl w:ilvl="2" w:tplc="C0D2C336" w:tentative="1">
      <w:start w:val="1"/>
      <w:numFmt w:val="bullet"/>
      <w:lvlText w:val="•"/>
      <w:lvlJc w:val="left"/>
      <w:pPr>
        <w:tabs>
          <w:tab w:val="num" w:pos="2160"/>
        </w:tabs>
        <w:ind w:left="2160" w:hanging="360"/>
      </w:pPr>
      <w:rPr>
        <w:rFonts w:ascii="Arial" w:hAnsi="Arial" w:hint="default"/>
      </w:rPr>
    </w:lvl>
    <w:lvl w:ilvl="3" w:tplc="85DA8C2C" w:tentative="1">
      <w:start w:val="1"/>
      <w:numFmt w:val="bullet"/>
      <w:lvlText w:val="•"/>
      <w:lvlJc w:val="left"/>
      <w:pPr>
        <w:tabs>
          <w:tab w:val="num" w:pos="2880"/>
        </w:tabs>
        <w:ind w:left="2880" w:hanging="360"/>
      </w:pPr>
      <w:rPr>
        <w:rFonts w:ascii="Arial" w:hAnsi="Arial" w:hint="default"/>
      </w:rPr>
    </w:lvl>
    <w:lvl w:ilvl="4" w:tplc="0D26AD1E" w:tentative="1">
      <w:start w:val="1"/>
      <w:numFmt w:val="bullet"/>
      <w:lvlText w:val="•"/>
      <w:lvlJc w:val="left"/>
      <w:pPr>
        <w:tabs>
          <w:tab w:val="num" w:pos="3600"/>
        </w:tabs>
        <w:ind w:left="3600" w:hanging="360"/>
      </w:pPr>
      <w:rPr>
        <w:rFonts w:ascii="Arial" w:hAnsi="Arial" w:hint="default"/>
      </w:rPr>
    </w:lvl>
    <w:lvl w:ilvl="5" w:tplc="FE92E174" w:tentative="1">
      <w:start w:val="1"/>
      <w:numFmt w:val="bullet"/>
      <w:lvlText w:val="•"/>
      <w:lvlJc w:val="left"/>
      <w:pPr>
        <w:tabs>
          <w:tab w:val="num" w:pos="4320"/>
        </w:tabs>
        <w:ind w:left="4320" w:hanging="360"/>
      </w:pPr>
      <w:rPr>
        <w:rFonts w:ascii="Arial" w:hAnsi="Arial" w:hint="default"/>
      </w:rPr>
    </w:lvl>
    <w:lvl w:ilvl="6" w:tplc="B6A8D4C6" w:tentative="1">
      <w:start w:val="1"/>
      <w:numFmt w:val="bullet"/>
      <w:lvlText w:val="•"/>
      <w:lvlJc w:val="left"/>
      <w:pPr>
        <w:tabs>
          <w:tab w:val="num" w:pos="5040"/>
        </w:tabs>
        <w:ind w:left="5040" w:hanging="360"/>
      </w:pPr>
      <w:rPr>
        <w:rFonts w:ascii="Arial" w:hAnsi="Arial" w:hint="default"/>
      </w:rPr>
    </w:lvl>
    <w:lvl w:ilvl="7" w:tplc="497439A8" w:tentative="1">
      <w:start w:val="1"/>
      <w:numFmt w:val="bullet"/>
      <w:lvlText w:val="•"/>
      <w:lvlJc w:val="left"/>
      <w:pPr>
        <w:tabs>
          <w:tab w:val="num" w:pos="5760"/>
        </w:tabs>
        <w:ind w:left="5760" w:hanging="360"/>
      </w:pPr>
      <w:rPr>
        <w:rFonts w:ascii="Arial" w:hAnsi="Arial" w:hint="default"/>
      </w:rPr>
    </w:lvl>
    <w:lvl w:ilvl="8" w:tplc="6B283D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9865D7"/>
    <w:multiLevelType w:val="hybridMultilevel"/>
    <w:tmpl w:val="460CA100"/>
    <w:lvl w:ilvl="0" w:tplc="F2D6BD78">
      <w:start w:val="1"/>
      <w:numFmt w:val="bullet"/>
      <w:lvlText w:val="•"/>
      <w:lvlJc w:val="left"/>
      <w:pPr>
        <w:tabs>
          <w:tab w:val="num" w:pos="720"/>
        </w:tabs>
        <w:ind w:left="720" w:hanging="360"/>
      </w:pPr>
      <w:rPr>
        <w:rFonts w:ascii="Arial" w:hAnsi="Arial" w:hint="default"/>
      </w:rPr>
    </w:lvl>
    <w:lvl w:ilvl="1" w:tplc="5B5AF9D8" w:tentative="1">
      <w:start w:val="1"/>
      <w:numFmt w:val="bullet"/>
      <w:lvlText w:val="•"/>
      <w:lvlJc w:val="left"/>
      <w:pPr>
        <w:tabs>
          <w:tab w:val="num" w:pos="1440"/>
        </w:tabs>
        <w:ind w:left="1440" w:hanging="360"/>
      </w:pPr>
      <w:rPr>
        <w:rFonts w:ascii="Arial" w:hAnsi="Arial" w:hint="default"/>
      </w:rPr>
    </w:lvl>
    <w:lvl w:ilvl="2" w:tplc="62A6D26E" w:tentative="1">
      <w:start w:val="1"/>
      <w:numFmt w:val="bullet"/>
      <w:lvlText w:val="•"/>
      <w:lvlJc w:val="left"/>
      <w:pPr>
        <w:tabs>
          <w:tab w:val="num" w:pos="2160"/>
        </w:tabs>
        <w:ind w:left="2160" w:hanging="360"/>
      </w:pPr>
      <w:rPr>
        <w:rFonts w:ascii="Arial" w:hAnsi="Arial" w:hint="default"/>
      </w:rPr>
    </w:lvl>
    <w:lvl w:ilvl="3" w:tplc="5FBAB838" w:tentative="1">
      <w:start w:val="1"/>
      <w:numFmt w:val="bullet"/>
      <w:lvlText w:val="•"/>
      <w:lvlJc w:val="left"/>
      <w:pPr>
        <w:tabs>
          <w:tab w:val="num" w:pos="2880"/>
        </w:tabs>
        <w:ind w:left="2880" w:hanging="360"/>
      </w:pPr>
      <w:rPr>
        <w:rFonts w:ascii="Arial" w:hAnsi="Arial" w:hint="default"/>
      </w:rPr>
    </w:lvl>
    <w:lvl w:ilvl="4" w:tplc="AC6E8D22" w:tentative="1">
      <w:start w:val="1"/>
      <w:numFmt w:val="bullet"/>
      <w:lvlText w:val="•"/>
      <w:lvlJc w:val="left"/>
      <w:pPr>
        <w:tabs>
          <w:tab w:val="num" w:pos="3600"/>
        </w:tabs>
        <w:ind w:left="3600" w:hanging="360"/>
      </w:pPr>
      <w:rPr>
        <w:rFonts w:ascii="Arial" w:hAnsi="Arial" w:hint="default"/>
      </w:rPr>
    </w:lvl>
    <w:lvl w:ilvl="5" w:tplc="E842B27C" w:tentative="1">
      <w:start w:val="1"/>
      <w:numFmt w:val="bullet"/>
      <w:lvlText w:val="•"/>
      <w:lvlJc w:val="left"/>
      <w:pPr>
        <w:tabs>
          <w:tab w:val="num" w:pos="4320"/>
        </w:tabs>
        <w:ind w:left="4320" w:hanging="360"/>
      </w:pPr>
      <w:rPr>
        <w:rFonts w:ascii="Arial" w:hAnsi="Arial" w:hint="default"/>
      </w:rPr>
    </w:lvl>
    <w:lvl w:ilvl="6" w:tplc="B7F834A8" w:tentative="1">
      <w:start w:val="1"/>
      <w:numFmt w:val="bullet"/>
      <w:lvlText w:val="•"/>
      <w:lvlJc w:val="left"/>
      <w:pPr>
        <w:tabs>
          <w:tab w:val="num" w:pos="5040"/>
        </w:tabs>
        <w:ind w:left="5040" w:hanging="360"/>
      </w:pPr>
      <w:rPr>
        <w:rFonts w:ascii="Arial" w:hAnsi="Arial" w:hint="default"/>
      </w:rPr>
    </w:lvl>
    <w:lvl w:ilvl="7" w:tplc="79F2CCCA" w:tentative="1">
      <w:start w:val="1"/>
      <w:numFmt w:val="bullet"/>
      <w:lvlText w:val="•"/>
      <w:lvlJc w:val="left"/>
      <w:pPr>
        <w:tabs>
          <w:tab w:val="num" w:pos="5760"/>
        </w:tabs>
        <w:ind w:left="5760" w:hanging="360"/>
      </w:pPr>
      <w:rPr>
        <w:rFonts w:ascii="Arial" w:hAnsi="Arial" w:hint="default"/>
      </w:rPr>
    </w:lvl>
    <w:lvl w:ilvl="8" w:tplc="DAF81F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D34A66"/>
    <w:multiLevelType w:val="hybridMultilevel"/>
    <w:tmpl w:val="F470F4AA"/>
    <w:lvl w:ilvl="0" w:tplc="D1DC5C0E">
      <w:start w:val="1"/>
      <w:numFmt w:val="bullet"/>
      <w:lvlText w:val="•"/>
      <w:lvlJc w:val="left"/>
      <w:pPr>
        <w:tabs>
          <w:tab w:val="num" w:pos="720"/>
        </w:tabs>
        <w:ind w:left="720" w:hanging="360"/>
      </w:pPr>
      <w:rPr>
        <w:rFonts w:ascii="Arial" w:hAnsi="Arial" w:hint="default"/>
      </w:rPr>
    </w:lvl>
    <w:lvl w:ilvl="1" w:tplc="1EBEC9EC" w:tentative="1">
      <w:start w:val="1"/>
      <w:numFmt w:val="bullet"/>
      <w:lvlText w:val="•"/>
      <w:lvlJc w:val="left"/>
      <w:pPr>
        <w:tabs>
          <w:tab w:val="num" w:pos="1440"/>
        </w:tabs>
        <w:ind w:left="1440" w:hanging="360"/>
      </w:pPr>
      <w:rPr>
        <w:rFonts w:ascii="Arial" w:hAnsi="Arial" w:hint="default"/>
      </w:rPr>
    </w:lvl>
    <w:lvl w:ilvl="2" w:tplc="F4423372" w:tentative="1">
      <w:start w:val="1"/>
      <w:numFmt w:val="bullet"/>
      <w:lvlText w:val="•"/>
      <w:lvlJc w:val="left"/>
      <w:pPr>
        <w:tabs>
          <w:tab w:val="num" w:pos="2160"/>
        </w:tabs>
        <w:ind w:left="2160" w:hanging="360"/>
      </w:pPr>
      <w:rPr>
        <w:rFonts w:ascii="Arial" w:hAnsi="Arial" w:hint="default"/>
      </w:rPr>
    </w:lvl>
    <w:lvl w:ilvl="3" w:tplc="E5B8711E" w:tentative="1">
      <w:start w:val="1"/>
      <w:numFmt w:val="bullet"/>
      <w:lvlText w:val="•"/>
      <w:lvlJc w:val="left"/>
      <w:pPr>
        <w:tabs>
          <w:tab w:val="num" w:pos="2880"/>
        </w:tabs>
        <w:ind w:left="2880" w:hanging="360"/>
      </w:pPr>
      <w:rPr>
        <w:rFonts w:ascii="Arial" w:hAnsi="Arial" w:hint="default"/>
      </w:rPr>
    </w:lvl>
    <w:lvl w:ilvl="4" w:tplc="09C41706" w:tentative="1">
      <w:start w:val="1"/>
      <w:numFmt w:val="bullet"/>
      <w:lvlText w:val="•"/>
      <w:lvlJc w:val="left"/>
      <w:pPr>
        <w:tabs>
          <w:tab w:val="num" w:pos="3600"/>
        </w:tabs>
        <w:ind w:left="3600" w:hanging="360"/>
      </w:pPr>
      <w:rPr>
        <w:rFonts w:ascii="Arial" w:hAnsi="Arial" w:hint="default"/>
      </w:rPr>
    </w:lvl>
    <w:lvl w:ilvl="5" w:tplc="8AC2D338" w:tentative="1">
      <w:start w:val="1"/>
      <w:numFmt w:val="bullet"/>
      <w:lvlText w:val="•"/>
      <w:lvlJc w:val="left"/>
      <w:pPr>
        <w:tabs>
          <w:tab w:val="num" w:pos="4320"/>
        </w:tabs>
        <w:ind w:left="4320" w:hanging="360"/>
      </w:pPr>
      <w:rPr>
        <w:rFonts w:ascii="Arial" w:hAnsi="Arial" w:hint="default"/>
      </w:rPr>
    </w:lvl>
    <w:lvl w:ilvl="6" w:tplc="9606EEF6" w:tentative="1">
      <w:start w:val="1"/>
      <w:numFmt w:val="bullet"/>
      <w:lvlText w:val="•"/>
      <w:lvlJc w:val="left"/>
      <w:pPr>
        <w:tabs>
          <w:tab w:val="num" w:pos="5040"/>
        </w:tabs>
        <w:ind w:left="5040" w:hanging="360"/>
      </w:pPr>
      <w:rPr>
        <w:rFonts w:ascii="Arial" w:hAnsi="Arial" w:hint="default"/>
      </w:rPr>
    </w:lvl>
    <w:lvl w:ilvl="7" w:tplc="02E0C9DA" w:tentative="1">
      <w:start w:val="1"/>
      <w:numFmt w:val="bullet"/>
      <w:lvlText w:val="•"/>
      <w:lvlJc w:val="left"/>
      <w:pPr>
        <w:tabs>
          <w:tab w:val="num" w:pos="5760"/>
        </w:tabs>
        <w:ind w:left="5760" w:hanging="360"/>
      </w:pPr>
      <w:rPr>
        <w:rFonts w:ascii="Arial" w:hAnsi="Arial" w:hint="default"/>
      </w:rPr>
    </w:lvl>
    <w:lvl w:ilvl="8" w:tplc="478E73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AB17DB"/>
    <w:multiLevelType w:val="hybridMultilevel"/>
    <w:tmpl w:val="BB4A8884"/>
    <w:lvl w:ilvl="0" w:tplc="905E0A66">
      <w:start w:val="1"/>
      <w:numFmt w:val="bullet"/>
      <w:lvlText w:val="•"/>
      <w:lvlJc w:val="left"/>
      <w:pPr>
        <w:tabs>
          <w:tab w:val="num" w:pos="720"/>
        </w:tabs>
        <w:ind w:left="720" w:hanging="360"/>
      </w:pPr>
      <w:rPr>
        <w:rFonts w:ascii="Arial" w:hAnsi="Arial" w:hint="default"/>
      </w:rPr>
    </w:lvl>
    <w:lvl w:ilvl="1" w:tplc="65C47720" w:tentative="1">
      <w:start w:val="1"/>
      <w:numFmt w:val="bullet"/>
      <w:lvlText w:val="•"/>
      <w:lvlJc w:val="left"/>
      <w:pPr>
        <w:tabs>
          <w:tab w:val="num" w:pos="1440"/>
        </w:tabs>
        <w:ind w:left="1440" w:hanging="360"/>
      </w:pPr>
      <w:rPr>
        <w:rFonts w:ascii="Arial" w:hAnsi="Arial" w:hint="default"/>
      </w:rPr>
    </w:lvl>
    <w:lvl w:ilvl="2" w:tplc="A246C3E6" w:tentative="1">
      <w:start w:val="1"/>
      <w:numFmt w:val="bullet"/>
      <w:lvlText w:val="•"/>
      <w:lvlJc w:val="left"/>
      <w:pPr>
        <w:tabs>
          <w:tab w:val="num" w:pos="2160"/>
        </w:tabs>
        <w:ind w:left="2160" w:hanging="360"/>
      </w:pPr>
      <w:rPr>
        <w:rFonts w:ascii="Arial" w:hAnsi="Arial" w:hint="default"/>
      </w:rPr>
    </w:lvl>
    <w:lvl w:ilvl="3" w:tplc="DD14E1E2" w:tentative="1">
      <w:start w:val="1"/>
      <w:numFmt w:val="bullet"/>
      <w:lvlText w:val="•"/>
      <w:lvlJc w:val="left"/>
      <w:pPr>
        <w:tabs>
          <w:tab w:val="num" w:pos="2880"/>
        </w:tabs>
        <w:ind w:left="2880" w:hanging="360"/>
      </w:pPr>
      <w:rPr>
        <w:rFonts w:ascii="Arial" w:hAnsi="Arial" w:hint="default"/>
      </w:rPr>
    </w:lvl>
    <w:lvl w:ilvl="4" w:tplc="48D0C884" w:tentative="1">
      <w:start w:val="1"/>
      <w:numFmt w:val="bullet"/>
      <w:lvlText w:val="•"/>
      <w:lvlJc w:val="left"/>
      <w:pPr>
        <w:tabs>
          <w:tab w:val="num" w:pos="3600"/>
        </w:tabs>
        <w:ind w:left="3600" w:hanging="360"/>
      </w:pPr>
      <w:rPr>
        <w:rFonts w:ascii="Arial" w:hAnsi="Arial" w:hint="default"/>
      </w:rPr>
    </w:lvl>
    <w:lvl w:ilvl="5" w:tplc="294E1A4C" w:tentative="1">
      <w:start w:val="1"/>
      <w:numFmt w:val="bullet"/>
      <w:lvlText w:val="•"/>
      <w:lvlJc w:val="left"/>
      <w:pPr>
        <w:tabs>
          <w:tab w:val="num" w:pos="4320"/>
        </w:tabs>
        <w:ind w:left="4320" w:hanging="360"/>
      </w:pPr>
      <w:rPr>
        <w:rFonts w:ascii="Arial" w:hAnsi="Arial" w:hint="default"/>
      </w:rPr>
    </w:lvl>
    <w:lvl w:ilvl="6" w:tplc="44ACF474" w:tentative="1">
      <w:start w:val="1"/>
      <w:numFmt w:val="bullet"/>
      <w:lvlText w:val="•"/>
      <w:lvlJc w:val="left"/>
      <w:pPr>
        <w:tabs>
          <w:tab w:val="num" w:pos="5040"/>
        </w:tabs>
        <w:ind w:left="5040" w:hanging="360"/>
      </w:pPr>
      <w:rPr>
        <w:rFonts w:ascii="Arial" w:hAnsi="Arial" w:hint="default"/>
      </w:rPr>
    </w:lvl>
    <w:lvl w:ilvl="7" w:tplc="9A8A37AE" w:tentative="1">
      <w:start w:val="1"/>
      <w:numFmt w:val="bullet"/>
      <w:lvlText w:val="•"/>
      <w:lvlJc w:val="left"/>
      <w:pPr>
        <w:tabs>
          <w:tab w:val="num" w:pos="5760"/>
        </w:tabs>
        <w:ind w:left="5760" w:hanging="360"/>
      </w:pPr>
      <w:rPr>
        <w:rFonts w:ascii="Arial" w:hAnsi="Arial" w:hint="default"/>
      </w:rPr>
    </w:lvl>
    <w:lvl w:ilvl="8" w:tplc="805E13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711F7D"/>
    <w:multiLevelType w:val="hybridMultilevel"/>
    <w:tmpl w:val="6D8E4D64"/>
    <w:lvl w:ilvl="0" w:tplc="4B10396E">
      <w:start w:val="1"/>
      <w:numFmt w:val="bullet"/>
      <w:lvlText w:val="•"/>
      <w:lvlJc w:val="left"/>
      <w:pPr>
        <w:tabs>
          <w:tab w:val="num" w:pos="720"/>
        </w:tabs>
        <w:ind w:left="720" w:hanging="360"/>
      </w:pPr>
      <w:rPr>
        <w:rFonts w:ascii="Arial" w:hAnsi="Arial" w:hint="default"/>
      </w:rPr>
    </w:lvl>
    <w:lvl w:ilvl="1" w:tplc="7E949C5C" w:tentative="1">
      <w:start w:val="1"/>
      <w:numFmt w:val="bullet"/>
      <w:lvlText w:val="•"/>
      <w:lvlJc w:val="left"/>
      <w:pPr>
        <w:tabs>
          <w:tab w:val="num" w:pos="1440"/>
        </w:tabs>
        <w:ind w:left="1440" w:hanging="360"/>
      </w:pPr>
      <w:rPr>
        <w:rFonts w:ascii="Arial" w:hAnsi="Arial" w:hint="default"/>
      </w:rPr>
    </w:lvl>
    <w:lvl w:ilvl="2" w:tplc="F1D07A4E" w:tentative="1">
      <w:start w:val="1"/>
      <w:numFmt w:val="bullet"/>
      <w:lvlText w:val="•"/>
      <w:lvlJc w:val="left"/>
      <w:pPr>
        <w:tabs>
          <w:tab w:val="num" w:pos="2160"/>
        </w:tabs>
        <w:ind w:left="2160" w:hanging="360"/>
      </w:pPr>
      <w:rPr>
        <w:rFonts w:ascii="Arial" w:hAnsi="Arial" w:hint="default"/>
      </w:rPr>
    </w:lvl>
    <w:lvl w:ilvl="3" w:tplc="63E84D0E" w:tentative="1">
      <w:start w:val="1"/>
      <w:numFmt w:val="bullet"/>
      <w:lvlText w:val="•"/>
      <w:lvlJc w:val="left"/>
      <w:pPr>
        <w:tabs>
          <w:tab w:val="num" w:pos="2880"/>
        </w:tabs>
        <w:ind w:left="2880" w:hanging="360"/>
      </w:pPr>
      <w:rPr>
        <w:rFonts w:ascii="Arial" w:hAnsi="Arial" w:hint="default"/>
      </w:rPr>
    </w:lvl>
    <w:lvl w:ilvl="4" w:tplc="7730E3DA" w:tentative="1">
      <w:start w:val="1"/>
      <w:numFmt w:val="bullet"/>
      <w:lvlText w:val="•"/>
      <w:lvlJc w:val="left"/>
      <w:pPr>
        <w:tabs>
          <w:tab w:val="num" w:pos="3600"/>
        </w:tabs>
        <w:ind w:left="3600" w:hanging="360"/>
      </w:pPr>
      <w:rPr>
        <w:rFonts w:ascii="Arial" w:hAnsi="Arial" w:hint="default"/>
      </w:rPr>
    </w:lvl>
    <w:lvl w:ilvl="5" w:tplc="E2D21902" w:tentative="1">
      <w:start w:val="1"/>
      <w:numFmt w:val="bullet"/>
      <w:lvlText w:val="•"/>
      <w:lvlJc w:val="left"/>
      <w:pPr>
        <w:tabs>
          <w:tab w:val="num" w:pos="4320"/>
        </w:tabs>
        <w:ind w:left="4320" w:hanging="360"/>
      </w:pPr>
      <w:rPr>
        <w:rFonts w:ascii="Arial" w:hAnsi="Arial" w:hint="default"/>
      </w:rPr>
    </w:lvl>
    <w:lvl w:ilvl="6" w:tplc="A560EAD6" w:tentative="1">
      <w:start w:val="1"/>
      <w:numFmt w:val="bullet"/>
      <w:lvlText w:val="•"/>
      <w:lvlJc w:val="left"/>
      <w:pPr>
        <w:tabs>
          <w:tab w:val="num" w:pos="5040"/>
        </w:tabs>
        <w:ind w:left="5040" w:hanging="360"/>
      </w:pPr>
      <w:rPr>
        <w:rFonts w:ascii="Arial" w:hAnsi="Arial" w:hint="default"/>
      </w:rPr>
    </w:lvl>
    <w:lvl w:ilvl="7" w:tplc="C15C9BD0" w:tentative="1">
      <w:start w:val="1"/>
      <w:numFmt w:val="bullet"/>
      <w:lvlText w:val="•"/>
      <w:lvlJc w:val="left"/>
      <w:pPr>
        <w:tabs>
          <w:tab w:val="num" w:pos="5760"/>
        </w:tabs>
        <w:ind w:left="5760" w:hanging="360"/>
      </w:pPr>
      <w:rPr>
        <w:rFonts w:ascii="Arial" w:hAnsi="Arial" w:hint="default"/>
      </w:rPr>
    </w:lvl>
    <w:lvl w:ilvl="8" w:tplc="0E841C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E745DE"/>
    <w:multiLevelType w:val="hybridMultilevel"/>
    <w:tmpl w:val="2EFCD886"/>
    <w:lvl w:ilvl="0" w:tplc="291A4F74">
      <w:start w:val="1"/>
      <w:numFmt w:val="bullet"/>
      <w:lvlText w:val="•"/>
      <w:lvlJc w:val="left"/>
      <w:pPr>
        <w:tabs>
          <w:tab w:val="num" w:pos="720"/>
        </w:tabs>
        <w:ind w:left="720" w:hanging="360"/>
      </w:pPr>
      <w:rPr>
        <w:rFonts w:ascii="Arial" w:hAnsi="Arial" w:hint="default"/>
      </w:rPr>
    </w:lvl>
    <w:lvl w:ilvl="1" w:tplc="830CC404" w:tentative="1">
      <w:start w:val="1"/>
      <w:numFmt w:val="bullet"/>
      <w:lvlText w:val="•"/>
      <w:lvlJc w:val="left"/>
      <w:pPr>
        <w:tabs>
          <w:tab w:val="num" w:pos="1440"/>
        </w:tabs>
        <w:ind w:left="1440" w:hanging="360"/>
      </w:pPr>
      <w:rPr>
        <w:rFonts w:ascii="Arial" w:hAnsi="Arial" w:hint="default"/>
      </w:rPr>
    </w:lvl>
    <w:lvl w:ilvl="2" w:tplc="6324B5EE" w:tentative="1">
      <w:start w:val="1"/>
      <w:numFmt w:val="bullet"/>
      <w:lvlText w:val="•"/>
      <w:lvlJc w:val="left"/>
      <w:pPr>
        <w:tabs>
          <w:tab w:val="num" w:pos="2160"/>
        </w:tabs>
        <w:ind w:left="2160" w:hanging="360"/>
      </w:pPr>
      <w:rPr>
        <w:rFonts w:ascii="Arial" w:hAnsi="Arial" w:hint="default"/>
      </w:rPr>
    </w:lvl>
    <w:lvl w:ilvl="3" w:tplc="0B807C8A" w:tentative="1">
      <w:start w:val="1"/>
      <w:numFmt w:val="bullet"/>
      <w:lvlText w:val="•"/>
      <w:lvlJc w:val="left"/>
      <w:pPr>
        <w:tabs>
          <w:tab w:val="num" w:pos="2880"/>
        </w:tabs>
        <w:ind w:left="2880" w:hanging="360"/>
      </w:pPr>
      <w:rPr>
        <w:rFonts w:ascii="Arial" w:hAnsi="Arial" w:hint="default"/>
      </w:rPr>
    </w:lvl>
    <w:lvl w:ilvl="4" w:tplc="5DF61758" w:tentative="1">
      <w:start w:val="1"/>
      <w:numFmt w:val="bullet"/>
      <w:lvlText w:val="•"/>
      <w:lvlJc w:val="left"/>
      <w:pPr>
        <w:tabs>
          <w:tab w:val="num" w:pos="3600"/>
        </w:tabs>
        <w:ind w:left="3600" w:hanging="360"/>
      </w:pPr>
      <w:rPr>
        <w:rFonts w:ascii="Arial" w:hAnsi="Arial" w:hint="default"/>
      </w:rPr>
    </w:lvl>
    <w:lvl w:ilvl="5" w:tplc="D8C82B60" w:tentative="1">
      <w:start w:val="1"/>
      <w:numFmt w:val="bullet"/>
      <w:lvlText w:val="•"/>
      <w:lvlJc w:val="left"/>
      <w:pPr>
        <w:tabs>
          <w:tab w:val="num" w:pos="4320"/>
        </w:tabs>
        <w:ind w:left="4320" w:hanging="360"/>
      </w:pPr>
      <w:rPr>
        <w:rFonts w:ascii="Arial" w:hAnsi="Arial" w:hint="default"/>
      </w:rPr>
    </w:lvl>
    <w:lvl w:ilvl="6" w:tplc="66AC6DB6" w:tentative="1">
      <w:start w:val="1"/>
      <w:numFmt w:val="bullet"/>
      <w:lvlText w:val="•"/>
      <w:lvlJc w:val="left"/>
      <w:pPr>
        <w:tabs>
          <w:tab w:val="num" w:pos="5040"/>
        </w:tabs>
        <w:ind w:left="5040" w:hanging="360"/>
      </w:pPr>
      <w:rPr>
        <w:rFonts w:ascii="Arial" w:hAnsi="Arial" w:hint="default"/>
      </w:rPr>
    </w:lvl>
    <w:lvl w:ilvl="7" w:tplc="6A4A13B0" w:tentative="1">
      <w:start w:val="1"/>
      <w:numFmt w:val="bullet"/>
      <w:lvlText w:val="•"/>
      <w:lvlJc w:val="left"/>
      <w:pPr>
        <w:tabs>
          <w:tab w:val="num" w:pos="5760"/>
        </w:tabs>
        <w:ind w:left="5760" w:hanging="360"/>
      </w:pPr>
      <w:rPr>
        <w:rFonts w:ascii="Arial" w:hAnsi="Arial" w:hint="default"/>
      </w:rPr>
    </w:lvl>
    <w:lvl w:ilvl="8" w:tplc="9FE46160" w:tentative="1">
      <w:start w:val="1"/>
      <w:numFmt w:val="bullet"/>
      <w:lvlText w:val="•"/>
      <w:lvlJc w:val="left"/>
      <w:pPr>
        <w:tabs>
          <w:tab w:val="num" w:pos="6480"/>
        </w:tabs>
        <w:ind w:left="6480" w:hanging="360"/>
      </w:pPr>
      <w:rPr>
        <w:rFonts w:ascii="Arial" w:hAnsi="Arial" w:hint="default"/>
      </w:rPr>
    </w:lvl>
  </w:abstractNum>
  <w:num w:numId="1" w16cid:durableId="920456389">
    <w:abstractNumId w:val="2"/>
  </w:num>
  <w:num w:numId="2" w16cid:durableId="903102899">
    <w:abstractNumId w:val="1"/>
  </w:num>
  <w:num w:numId="3" w16cid:durableId="1838615137">
    <w:abstractNumId w:val="0"/>
  </w:num>
  <w:num w:numId="4" w16cid:durableId="836311404">
    <w:abstractNumId w:val="3"/>
  </w:num>
  <w:num w:numId="5" w16cid:durableId="515537610">
    <w:abstractNumId w:val="4"/>
  </w:num>
  <w:num w:numId="6" w16cid:durableId="33315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4D"/>
    <w:rsid w:val="000D2167"/>
    <w:rsid w:val="000D3994"/>
    <w:rsid w:val="00161CD7"/>
    <w:rsid w:val="00267617"/>
    <w:rsid w:val="002A46D7"/>
    <w:rsid w:val="002B35E2"/>
    <w:rsid w:val="002C544D"/>
    <w:rsid w:val="002E04BD"/>
    <w:rsid w:val="003A1216"/>
    <w:rsid w:val="003C6625"/>
    <w:rsid w:val="003F14A6"/>
    <w:rsid w:val="00444477"/>
    <w:rsid w:val="004C12D5"/>
    <w:rsid w:val="004E2A34"/>
    <w:rsid w:val="00522FCC"/>
    <w:rsid w:val="00556476"/>
    <w:rsid w:val="00585D31"/>
    <w:rsid w:val="005A5344"/>
    <w:rsid w:val="005C2A20"/>
    <w:rsid w:val="005E5A79"/>
    <w:rsid w:val="0068760F"/>
    <w:rsid w:val="00817ADF"/>
    <w:rsid w:val="00842C64"/>
    <w:rsid w:val="00866AD5"/>
    <w:rsid w:val="008A3CEF"/>
    <w:rsid w:val="009B5F35"/>
    <w:rsid w:val="00B75F5E"/>
    <w:rsid w:val="00DB66D8"/>
    <w:rsid w:val="00DF6EBF"/>
    <w:rsid w:val="00E05952"/>
    <w:rsid w:val="00EA15BB"/>
    <w:rsid w:val="00F823B4"/>
    <w:rsid w:val="00F831AA"/>
    <w:rsid w:val="00FA20BE"/>
    <w:rsid w:val="00FF23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C025"/>
  <w15:chartTrackingRefBased/>
  <w15:docId w15:val="{CD233800-65AF-4332-BF96-2FA71F6C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4D"/>
    <w:pPr>
      <w:spacing w:after="0" w:line="240" w:lineRule="auto"/>
    </w:pPr>
    <w:rPr>
      <w:rFonts w:ascii="Arial" w:hAnsi="Arial" w:cs="Arial"/>
      <w:kern w:val="0"/>
      <w14:ligatures w14:val="none"/>
    </w:rPr>
  </w:style>
  <w:style w:type="paragraph" w:styleId="Heading1">
    <w:name w:val="heading 1"/>
    <w:basedOn w:val="Normal"/>
    <w:next w:val="Normal"/>
    <w:link w:val="Heading1Char"/>
    <w:uiPriority w:val="9"/>
    <w:qFormat/>
    <w:rsid w:val="002C5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4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44D"/>
    <w:rPr>
      <w:rFonts w:eastAsiaTheme="majorEastAsia" w:cstheme="majorBidi"/>
      <w:color w:val="272727" w:themeColor="text1" w:themeTint="D8"/>
    </w:rPr>
  </w:style>
  <w:style w:type="paragraph" w:styleId="Title">
    <w:name w:val="Title"/>
    <w:basedOn w:val="Normal"/>
    <w:next w:val="Normal"/>
    <w:link w:val="TitleChar"/>
    <w:uiPriority w:val="10"/>
    <w:qFormat/>
    <w:rsid w:val="002C54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44D"/>
    <w:pPr>
      <w:spacing w:before="160"/>
      <w:jc w:val="center"/>
    </w:pPr>
    <w:rPr>
      <w:i/>
      <w:iCs/>
      <w:color w:val="404040" w:themeColor="text1" w:themeTint="BF"/>
    </w:rPr>
  </w:style>
  <w:style w:type="character" w:customStyle="1" w:styleId="QuoteChar">
    <w:name w:val="Quote Char"/>
    <w:basedOn w:val="DefaultParagraphFont"/>
    <w:link w:val="Quote"/>
    <w:uiPriority w:val="29"/>
    <w:rsid w:val="002C544D"/>
    <w:rPr>
      <w:i/>
      <w:iCs/>
      <w:color w:val="404040" w:themeColor="text1" w:themeTint="BF"/>
    </w:rPr>
  </w:style>
  <w:style w:type="paragraph" w:styleId="ListParagraph">
    <w:name w:val="List Paragraph"/>
    <w:basedOn w:val="Normal"/>
    <w:uiPriority w:val="34"/>
    <w:qFormat/>
    <w:rsid w:val="002C544D"/>
    <w:pPr>
      <w:ind w:left="720"/>
      <w:contextualSpacing/>
    </w:pPr>
  </w:style>
  <w:style w:type="character" w:styleId="IntenseEmphasis">
    <w:name w:val="Intense Emphasis"/>
    <w:basedOn w:val="DefaultParagraphFont"/>
    <w:uiPriority w:val="21"/>
    <w:qFormat/>
    <w:rsid w:val="002C544D"/>
    <w:rPr>
      <w:i/>
      <w:iCs/>
      <w:color w:val="0F4761" w:themeColor="accent1" w:themeShade="BF"/>
    </w:rPr>
  </w:style>
  <w:style w:type="paragraph" w:styleId="IntenseQuote">
    <w:name w:val="Intense Quote"/>
    <w:basedOn w:val="Normal"/>
    <w:next w:val="Normal"/>
    <w:link w:val="IntenseQuoteChar"/>
    <w:uiPriority w:val="30"/>
    <w:qFormat/>
    <w:rsid w:val="002C5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44D"/>
    <w:rPr>
      <w:i/>
      <w:iCs/>
      <w:color w:val="0F4761" w:themeColor="accent1" w:themeShade="BF"/>
    </w:rPr>
  </w:style>
  <w:style w:type="character" w:styleId="IntenseReference">
    <w:name w:val="Intense Reference"/>
    <w:basedOn w:val="DefaultParagraphFont"/>
    <w:uiPriority w:val="32"/>
    <w:qFormat/>
    <w:rsid w:val="002C544D"/>
    <w:rPr>
      <w:b/>
      <w:bCs/>
      <w:smallCaps/>
      <w:color w:val="0F4761" w:themeColor="accent1" w:themeShade="BF"/>
      <w:spacing w:val="5"/>
    </w:rPr>
  </w:style>
  <w:style w:type="table" w:customStyle="1" w:styleId="TableGrid3">
    <w:name w:val="Table Grid3"/>
    <w:basedOn w:val="TableNormal"/>
    <w:next w:val="TableGrid"/>
    <w:uiPriority w:val="39"/>
    <w:rsid w:val="002C544D"/>
    <w:pPr>
      <w:spacing w:after="0" w:line="240" w:lineRule="auto"/>
    </w:pPr>
    <w:rPr>
      <w:rFonts w:ascii="Arial" w:eastAsia="HGSMinchoE" w:hAnsi="Arial" w:cs="Times New Roman"/>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44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c612d5d35f757b1498ede2d719cfc90d">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945b794133342648ef50f70ac6965db6"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Props1.xml><?xml version="1.0" encoding="utf-8"?>
<ds:datastoreItem xmlns:ds="http://schemas.openxmlformats.org/officeDocument/2006/customXml" ds:itemID="{8FBCDA54-4A93-49B7-BE8E-7877A9B80420}">
  <ds:schemaRefs>
    <ds:schemaRef ds:uri="http://schemas.microsoft.com/sharepoint/v3/contenttype/forms"/>
  </ds:schemaRefs>
</ds:datastoreItem>
</file>

<file path=customXml/itemProps2.xml><?xml version="1.0" encoding="utf-8"?>
<ds:datastoreItem xmlns:ds="http://schemas.openxmlformats.org/officeDocument/2006/customXml" ds:itemID="{AFAD2DE4-8A44-4B49-A42E-F0DA09BB6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15B2B-102B-48B5-8932-97B5C0041196}">
  <ds:schemaRefs>
    <ds:schemaRef ds:uri="http://schemas.microsoft.com/office/2006/metadata/properties"/>
    <ds:schemaRef ds:uri="http://schemas.microsoft.com/office/infopath/2007/PartnerControls"/>
    <ds:schemaRef ds:uri="http://schemas.microsoft.com/sharepoint/v3"/>
    <ds:schemaRef ds:uri="c693007a-bb8d-4ce9-89de-60eabf3d9b07"/>
    <ds:schemaRef ds:uri="c8ad5906-4413-43d0-8fb7-34dbc7e5daa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Claire (NHS LANCASHIRE AND SOUTH CUMBRIA INTEGRATED CARE BOARD)</dc:creator>
  <cp:keywords/>
  <dc:description/>
  <cp:lastModifiedBy>ATKINSON, Debra (NHS LANCASHIRE AND SOUTH CUMBRIA ICB - 01A)</cp:lastModifiedBy>
  <cp:revision>12</cp:revision>
  <dcterms:created xsi:type="dcterms:W3CDTF">2026-06-02T13:00:00Z</dcterms:created>
  <dcterms:modified xsi:type="dcterms:W3CDTF">2026-06-03T17:19:00Z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