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863"/>
        <w:tblW w:w="0" w:type="auto"/>
        <w:tblLook w:val="04A0" w:firstRow="1" w:lastRow="0" w:firstColumn="1" w:lastColumn="0" w:noHBand="0" w:noVBand="1"/>
      </w:tblPr>
      <w:tblGrid>
        <w:gridCol w:w="5854"/>
      </w:tblGrid>
      <w:tr w:rsidR="00EA186F" w14:paraId="19CA2863" w14:textId="77777777" w:rsidTr="00EA186F">
        <w:tc>
          <w:tcPr>
            <w:tcW w:w="5854" w:type="dxa"/>
          </w:tcPr>
          <w:p w14:paraId="7BA6B59D" w14:textId="77777777" w:rsidR="00EA186F" w:rsidRPr="00EA186F" w:rsidRDefault="00EA186F" w:rsidP="00EA186F">
            <w:pPr>
              <w:jc w:val="center"/>
              <w:rPr>
                <w:b/>
                <w:sz w:val="32"/>
                <w:szCs w:val="32"/>
              </w:rPr>
            </w:pPr>
            <w:r w:rsidRPr="00EA186F">
              <w:rPr>
                <w:b/>
                <w:sz w:val="32"/>
                <w:szCs w:val="32"/>
              </w:rPr>
              <w:t>Clinical Trials Summary for out of hours</w:t>
            </w:r>
          </w:p>
          <w:p w14:paraId="459254C0" w14:textId="77777777" w:rsidR="00EA186F" w:rsidRDefault="00EA186F" w:rsidP="00EA186F">
            <w:pPr>
              <w:jc w:val="center"/>
              <w:rPr>
                <w:b/>
              </w:rPr>
            </w:pPr>
            <w:r w:rsidRPr="00EA186F">
              <w:rPr>
                <w:b/>
                <w:sz w:val="32"/>
                <w:szCs w:val="32"/>
              </w:rPr>
              <w:t>Important Reference</w:t>
            </w:r>
          </w:p>
        </w:tc>
      </w:tr>
    </w:tbl>
    <w:p w14:paraId="7B7C213F" w14:textId="77777777" w:rsidR="00EA186F" w:rsidRPr="00EA186F" w:rsidRDefault="00EA186F">
      <w:pPr>
        <w:rPr>
          <w:b/>
        </w:rPr>
      </w:pPr>
      <w:r w:rsidRPr="00EA186F">
        <w:rPr>
          <w:b/>
          <w:noProof/>
          <w:lang w:eastAsia="en-GB"/>
        </w:rPr>
        <w:drawing>
          <wp:anchor distT="0" distB="0" distL="114300" distR="114300" simplePos="0" relativeHeight="251658240" behindDoc="0" locked="0" layoutInCell="1" allowOverlap="1" wp14:anchorId="198CAF16" wp14:editId="127B814B">
            <wp:simplePos x="0" y="0"/>
            <wp:positionH relativeFrom="column">
              <wp:posOffset>4870450</wp:posOffset>
            </wp:positionH>
            <wp:positionV relativeFrom="paragraph">
              <wp:posOffset>0</wp:posOffset>
            </wp:positionV>
            <wp:extent cx="1454785" cy="770890"/>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htr.png"/>
                    <pic:cNvPicPr/>
                  </pic:nvPicPr>
                  <pic:blipFill>
                    <a:blip r:embed="rId6">
                      <a:extLst>
                        <a:ext uri="{28A0092B-C50C-407E-A947-70E740481C1C}">
                          <a14:useLocalDpi xmlns:a14="http://schemas.microsoft.com/office/drawing/2010/main" val="0"/>
                        </a:ext>
                      </a:extLst>
                    </a:blip>
                    <a:stretch>
                      <a:fillRect/>
                    </a:stretch>
                  </pic:blipFill>
                  <pic:spPr>
                    <a:xfrm>
                      <a:off x="0" y="0"/>
                      <a:ext cx="1454785" cy="770890"/>
                    </a:xfrm>
                    <a:prstGeom prst="rect">
                      <a:avLst/>
                    </a:prstGeom>
                  </pic:spPr>
                </pic:pic>
              </a:graphicData>
            </a:graphic>
            <wp14:sizeRelH relativeFrom="page">
              <wp14:pctWidth>0</wp14:pctWidth>
            </wp14:sizeRelH>
            <wp14:sizeRelV relativeFrom="page">
              <wp14:pctHeight>0</wp14:pctHeight>
            </wp14:sizeRelV>
          </wp:anchor>
        </w:drawing>
      </w:r>
      <w:r w:rsidRPr="00EA186F">
        <w:rPr>
          <w:b/>
        </w:rPr>
        <w:t xml:space="preserve"> </w:t>
      </w:r>
    </w:p>
    <w:p w14:paraId="60BB516A" w14:textId="0D2F3DF5" w:rsidR="0083029E" w:rsidRDefault="0083029E" w:rsidP="0083029E">
      <w:pPr>
        <w:tabs>
          <w:tab w:val="left" w:pos="5460"/>
        </w:tabs>
        <w:rPr>
          <w:b/>
        </w:rPr>
      </w:pPr>
      <w:r>
        <w:rPr>
          <w:b/>
        </w:rPr>
        <w:tab/>
      </w:r>
    </w:p>
    <w:p w14:paraId="0D6D78B0" w14:textId="77777777" w:rsidR="0083029E" w:rsidRDefault="0083029E" w:rsidP="0083029E">
      <w:pPr>
        <w:tabs>
          <w:tab w:val="left" w:pos="5460"/>
        </w:tabs>
        <w:rPr>
          <w:b/>
        </w:rPr>
      </w:pPr>
    </w:p>
    <w:tbl>
      <w:tblPr>
        <w:tblStyle w:val="TableGrid"/>
        <w:tblpPr w:leftFromText="180" w:rightFromText="180" w:vertAnchor="text" w:horzAnchor="margin" w:tblpY="49"/>
        <w:tblW w:w="0" w:type="auto"/>
        <w:tblLook w:val="04A0" w:firstRow="1" w:lastRow="0" w:firstColumn="1" w:lastColumn="0" w:noHBand="0" w:noVBand="1"/>
      </w:tblPr>
      <w:tblGrid>
        <w:gridCol w:w="2196"/>
        <w:gridCol w:w="6820"/>
      </w:tblGrid>
      <w:tr w:rsidR="006A4FDC" w:rsidRPr="006A4FDC" w14:paraId="1D8CC43E" w14:textId="77777777" w:rsidTr="00EA186F">
        <w:tc>
          <w:tcPr>
            <w:tcW w:w="2235" w:type="dxa"/>
          </w:tcPr>
          <w:p w14:paraId="612654C3" w14:textId="77777777" w:rsidR="0083029E" w:rsidRDefault="0083029E" w:rsidP="00EA186F">
            <w:pPr>
              <w:rPr>
                <w:rFonts w:ascii="Arial" w:hAnsi="Arial" w:cs="Arial"/>
                <w:b/>
                <w:sz w:val="24"/>
                <w:szCs w:val="24"/>
              </w:rPr>
            </w:pPr>
          </w:p>
          <w:p w14:paraId="79CC8522" w14:textId="77777777" w:rsidR="006A4FDC" w:rsidRDefault="006A4FDC" w:rsidP="00EA186F">
            <w:pPr>
              <w:rPr>
                <w:rFonts w:ascii="Arial" w:hAnsi="Arial" w:cs="Arial"/>
                <w:b/>
                <w:sz w:val="24"/>
                <w:szCs w:val="24"/>
              </w:rPr>
            </w:pPr>
            <w:r w:rsidRPr="006A4FDC">
              <w:rPr>
                <w:rFonts w:ascii="Arial" w:hAnsi="Arial" w:cs="Arial"/>
                <w:b/>
                <w:sz w:val="24"/>
                <w:szCs w:val="24"/>
              </w:rPr>
              <w:t>Acronym</w:t>
            </w:r>
            <w:r>
              <w:rPr>
                <w:rFonts w:ascii="Arial" w:hAnsi="Arial" w:cs="Arial"/>
                <w:b/>
                <w:sz w:val="24"/>
                <w:szCs w:val="24"/>
              </w:rPr>
              <w:t xml:space="preserve"> study title</w:t>
            </w:r>
          </w:p>
          <w:p w14:paraId="7F76F299" w14:textId="33766C52" w:rsidR="0083029E" w:rsidRPr="006A4FDC" w:rsidRDefault="0083029E" w:rsidP="00EA186F">
            <w:pPr>
              <w:rPr>
                <w:rFonts w:ascii="Arial" w:hAnsi="Arial" w:cs="Arial"/>
                <w:b/>
                <w:sz w:val="24"/>
                <w:szCs w:val="24"/>
              </w:rPr>
            </w:pPr>
          </w:p>
        </w:tc>
        <w:tc>
          <w:tcPr>
            <w:tcW w:w="7007" w:type="dxa"/>
          </w:tcPr>
          <w:p w14:paraId="1145D577" w14:textId="77777777" w:rsidR="006A4FDC" w:rsidRDefault="006A4FDC" w:rsidP="003D1B0F">
            <w:pPr>
              <w:autoSpaceDE w:val="0"/>
              <w:autoSpaceDN w:val="0"/>
              <w:adjustRightInd w:val="0"/>
              <w:rPr>
                <w:b/>
                <w:sz w:val="24"/>
                <w:szCs w:val="24"/>
              </w:rPr>
            </w:pPr>
          </w:p>
          <w:p w14:paraId="3F1AEFB3" w14:textId="3E6203DF" w:rsidR="003D1B0F" w:rsidRDefault="0083029E" w:rsidP="003D1B0F">
            <w:pPr>
              <w:autoSpaceDE w:val="0"/>
              <w:autoSpaceDN w:val="0"/>
              <w:adjustRightInd w:val="0"/>
            </w:pPr>
            <w:r>
              <w:t xml:space="preserve">MORAb-202-G000-201 Study </w:t>
            </w:r>
          </w:p>
          <w:p w14:paraId="28C376BB" w14:textId="77777777" w:rsidR="0011326D" w:rsidRDefault="0011326D" w:rsidP="003D1B0F">
            <w:pPr>
              <w:autoSpaceDE w:val="0"/>
              <w:autoSpaceDN w:val="0"/>
              <w:adjustRightInd w:val="0"/>
            </w:pPr>
          </w:p>
          <w:p w14:paraId="7D31E2FA" w14:textId="77777777" w:rsidR="0011326D" w:rsidRDefault="0011326D" w:rsidP="0011326D">
            <w:r>
              <w:t xml:space="preserve">A Multicentre, Open-Label Phase 1/2 Trial Evaluating the Safety, Tolerability, and Efficacy of MORAb-202, a folate receptor alpha (FRα)-targeting antibody-drug conjugate (ADC) in Subjects with Selected </w:t>
            </w:r>
            <w:proofErr w:type="spellStart"/>
            <w:r>
              <w:t>Tumor</w:t>
            </w:r>
            <w:proofErr w:type="spellEnd"/>
            <w:r>
              <w:t xml:space="preserve"> Types</w:t>
            </w:r>
          </w:p>
          <w:p w14:paraId="076A8C15" w14:textId="77777777" w:rsidR="003D1B0F" w:rsidRPr="006A4FDC" w:rsidRDefault="003D1B0F" w:rsidP="003D1B0F">
            <w:pPr>
              <w:autoSpaceDE w:val="0"/>
              <w:autoSpaceDN w:val="0"/>
              <w:adjustRightInd w:val="0"/>
              <w:rPr>
                <w:b/>
                <w:sz w:val="24"/>
                <w:szCs w:val="24"/>
              </w:rPr>
            </w:pPr>
          </w:p>
        </w:tc>
      </w:tr>
      <w:tr w:rsidR="00EA186F" w:rsidRPr="006A4FDC" w14:paraId="21AA3E2E" w14:textId="77777777" w:rsidTr="00EA186F">
        <w:tc>
          <w:tcPr>
            <w:tcW w:w="2235" w:type="dxa"/>
          </w:tcPr>
          <w:p w14:paraId="7CA82BB5" w14:textId="77777777" w:rsidR="0083029E" w:rsidRDefault="0083029E" w:rsidP="00EA186F">
            <w:pPr>
              <w:rPr>
                <w:rFonts w:ascii="Arial" w:hAnsi="Arial" w:cs="Arial"/>
                <w:b/>
                <w:sz w:val="24"/>
                <w:szCs w:val="24"/>
              </w:rPr>
            </w:pPr>
          </w:p>
          <w:p w14:paraId="3C51445B" w14:textId="361C7458" w:rsidR="00EA186F" w:rsidRPr="006A4FDC" w:rsidRDefault="00EA186F" w:rsidP="00EA186F">
            <w:pPr>
              <w:rPr>
                <w:rFonts w:ascii="Arial" w:hAnsi="Arial" w:cs="Arial"/>
                <w:b/>
                <w:sz w:val="24"/>
                <w:szCs w:val="24"/>
              </w:rPr>
            </w:pPr>
            <w:r w:rsidRPr="006A4FDC">
              <w:rPr>
                <w:rFonts w:ascii="Arial" w:hAnsi="Arial" w:cs="Arial"/>
                <w:b/>
                <w:sz w:val="24"/>
                <w:szCs w:val="24"/>
              </w:rPr>
              <w:t>Study Details</w:t>
            </w:r>
          </w:p>
        </w:tc>
        <w:tc>
          <w:tcPr>
            <w:tcW w:w="7007" w:type="dxa"/>
          </w:tcPr>
          <w:p w14:paraId="14B83BFD" w14:textId="77777777" w:rsidR="005336A6" w:rsidRPr="0011326D" w:rsidRDefault="005336A6" w:rsidP="006A4FDC">
            <w:pPr>
              <w:rPr>
                <w:rFonts w:cstheme="minorHAnsi"/>
                <w:b/>
              </w:rPr>
            </w:pPr>
          </w:p>
          <w:p w14:paraId="408D9A48" w14:textId="03C848B2" w:rsidR="0011326D" w:rsidRDefault="0011326D" w:rsidP="006A4FDC">
            <w:pPr>
              <w:rPr>
                <w:rFonts w:cstheme="minorHAnsi"/>
                <w:bCs/>
              </w:rPr>
            </w:pPr>
            <w:r w:rsidRPr="0011326D">
              <w:rPr>
                <w:rFonts w:cstheme="minorHAnsi"/>
                <w:bCs/>
              </w:rPr>
              <w:t>This study involves the use of an antibody-chemotherapy conjugate</w:t>
            </w:r>
            <w:r>
              <w:rPr>
                <w:rFonts w:cstheme="minorHAnsi"/>
                <w:bCs/>
              </w:rPr>
              <w:t xml:space="preserve"> MORAb-202 in Endometrial and Ovarian cancer patients. This is open label without the use of placebo. It is intended that this drug will be given in the Lancashire Clinical Research Facility (LCRF) in the Avondale unit, RPH.</w:t>
            </w:r>
          </w:p>
          <w:p w14:paraId="3A3520F3" w14:textId="77777777" w:rsidR="0011326D" w:rsidRDefault="0011326D" w:rsidP="006A4FDC">
            <w:pPr>
              <w:rPr>
                <w:rFonts w:cstheme="minorHAnsi"/>
                <w:bCs/>
              </w:rPr>
            </w:pPr>
          </w:p>
          <w:p w14:paraId="1898E23F" w14:textId="1D5159B7" w:rsidR="0011326D" w:rsidRPr="0011326D" w:rsidRDefault="0011326D" w:rsidP="006A4FDC">
            <w:pPr>
              <w:rPr>
                <w:rFonts w:cstheme="minorHAnsi"/>
                <w:bCs/>
              </w:rPr>
            </w:pPr>
            <w:r>
              <w:rPr>
                <w:rFonts w:cstheme="minorHAnsi"/>
                <w:bCs/>
              </w:rPr>
              <w:t>The drug will be given at roughly the same dose spread over one, two or three weeks out of every three depending on the cohort the patient is randomised to. Patients having the study drug once every three weeks will also be given corticosteroids to take on days 8, 9 and 10.</w:t>
            </w:r>
          </w:p>
          <w:p w14:paraId="50DBF747" w14:textId="77777777" w:rsidR="003379BC" w:rsidRPr="003379BC" w:rsidRDefault="003379BC" w:rsidP="006A4FDC">
            <w:pPr>
              <w:rPr>
                <w:b/>
                <w:sz w:val="24"/>
                <w:szCs w:val="24"/>
              </w:rPr>
            </w:pPr>
          </w:p>
        </w:tc>
      </w:tr>
      <w:tr w:rsidR="00EA186F" w:rsidRPr="006A4FDC" w14:paraId="19E8CD02" w14:textId="77777777" w:rsidTr="00EA186F">
        <w:tc>
          <w:tcPr>
            <w:tcW w:w="2235" w:type="dxa"/>
          </w:tcPr>
          <w:p w14:paraId="63746C5A" w14:textId="77777777" w:rsidR="0083029E" w:rsidRDefault="0083029E" w:rsidP="00EA186F">
            <w:pPr>
              <w:rPr>
                <w:rFonts w:ascii="Arial" w:hAnsi="Arial" w:cs="Arial"/>
                <w:b/>
                <w:sz w:val="24"/>
                <w:szCs w:val="24"/>
              </w:rPr>
            </w:pPr>
          </w:p>
          <w:p w14:paraId="1B2026F5" w14:textId="54FF5BDF" w:rsidR="00EA186F" w:rsidRPr="006A4FDC" w:rsidRDefault="00EA186F" w:rsidP="00EA186F">
            <w:pPr>
              <w:rPr>
                <w:rFonts w:ascii="Arial" w:hAnsi="Arial" w:cs="Arial"/>
                <w:b/>
                <w:sz w:val="24"/>
                <w:szCs w:val="24"/>
              </w:rPr>
            </w:pPr>
            <w:r w:rsidRPr="006A4FDC">
              <w:rPr>
                <w:rFonts w:ascii="Arial" w:hAnsi="Arial" w:cs="Arial"/>
                <w:b/>
                <w:sz w:val="24"/>
                <w:szCs w:val="24"/>
              </w:rPr>
              <w:t>Principal Investigator PI</w:t>
            </w:r>
          </w:p>
          <w:p w14:paraId="3B8339FB" w14:textId="77777777" w:rsidR="00C34232" w:rsidRPr="006A4FDC" w:rsidRDefault="0019448C" w:rsidP="00EA186F">
            <w:pPr>
              <w:rPr>
                <w:rFonts w:ascii="Arial" w:hAnsi="Arial" w:cs="Arial"/>
                <w:b/>
                <w:sz w:val="24"/>
                <w:szCs w:val="24"/>
              </w:rPr>
            </w:pPr>
            <w:r w:rsidRPr="006A4FDC">
              <w:rPr>
                <w:rFonts w:ascii="Arial" w:hAnsi="Arial" w:cs="Arial"/>
                <w:b/>
                <w:sz w:val="24"/>
                <w:szCs w:val="24"/>
              </w:rPr>
              <w:t>Sub PI’s</w:t>
            </w:r>
          </w:p>
          <w:p w14:paraId="345415C5" w14:textId="77777777" w:rsidR="0019448C" w:rsidRPr="006A4FDC" w:rsidRDefault="0019448C" w:rsidP="00EA186F">
            <w:pPr>
              <w:rPr>
                <w:rFonts w:ascii="Arial" w:hAnsi="Arial" w:cs="Arial"/>
                <w:b/>
                <w:sz w:val="24"/>
                <w:szCs w:val="24"/>
              </w:rPr>
            </w:pPr>
          </w:p>
        </w:tc>
        <w:tc>
          <w:tcPr>
            <w:tcW w:w="7007" w:type="dxa"/>
          </w:tcPr>
          <w:p w14:paraId="18D3FA44" w14:textId="77777777" w:rsidR="005336A6" w:rsidRPr="0011326D" w:rsidRDefault="005336A6" w:rsidP="005336A6">
            <w:pPr>
              <w:rPr>
                <w:bCs/>
                <w:sz w:val="24"/>
                <w:szCs w:val="24"/>
              </w:rPr>
            </w:pPr>
          </w:p>
          <w:p w14:paraId="32E7DBCE" w14:textId="55FCEA75" w:rsidR="00184CEB" w:rsidRDefault="003379BC" w:rsidP="005B53F2">
            <w:pPr>
              <w:rPr>
                <w:bCs/>
                <w:sz w:val="24"/>
                <w:szCs w:val="24"/>
              </w:rPr>
            </w:pPr>
            <w:r w:rsidRPr="0011326D">
              <w:rPr>
                <w:bCs/>
                <w:sz w:val="24"/>
                <w:szCs w:val="24"/>
              </w:rPr>
              <w:t>PI</w:t>
            </w:r>
            <w:r w:rsidR="0011326D">
              <w:rPr>
                <w:bCs/>
                <w:sz w:val="24"/>
                <w:szCs w:val="24"/>
              </w:rPr>
              <w:t>:</w:t>
            </w:r>
            <w:r w:rsidR="0083029E" w:rsidRPr="0011326D">
              <w:rPr>
                <w:bCs/>
                <w:sz w:val="24"/>
                <w:szCs w:val="24"/>
              </w:rPr>
              <w:t xml:space="preserve"> Prof</w:t>
            </w:r>
            <w:r w:rsidR="0011326D">
              <w:rPr>
                <w:bCs/>
                <w:sz w:val="24"/>
                <w:szCs w:val="24"/>
              </w:rPr>
              <w:t>essor</w:t>
            </w:r>
            <w:r w:rsidR="0083029E" w:rsidRPr="0011326D">
              <w:rPr>
                <w:bCs/>
                <w:sz w:val="24"/>
                <w:szCs w:val="24"/>
              </w:rPr>
              <w:t xml:space="preserve"> Dennis Hadjiyiannakis </w:t>
            </w:r>
            <w:r w:rsidR="00B36AE8">
              <w:rPr>
                <w:bCs/>
                <w:sz w:val="24"/>
                <w:szCs w:val="24"/>
              </w:rPr>
              <w:t>(</w:t>
            </w:r>
            <w:hyperlink r:id="rId7" w:history="1">
              <w:r w:rsidR="00184CEB" w:rsidRPr="004D4FE0">
                <w:rPr>
                  <w:rStyle w:val="Hyperlink"/>
                  <w:bCs/>
                  <w:sz w:val="24"/>
                  <w:szCs w:val="24"/>
                </w:rPr>
                <w:t>Dennis.Hadjiyiannakis@lthtr.nhs.uk</w:t>
              </w:r>
            </w:hyperlink>
            <w:r w:rsidR="00B36AE8">
              <w:rPr>
                <w:bCs/>
                <w:sz w:val="24"/>
                <w:szCs w:val="24"/>
              </w:rPr>
              <w:t>)</w:t>
            </w:r>
          </w:p>
          <w:p w14:paraId="4CFF3D95" w14:textId="77777777" w:rsidR="00184CEB" w:rsidRPr="0011326D" w:rsidRDefault="00184CEB" w:rsidP="005B53F2">
            <w:pPr>
              <w:rPr>
                <w:bCs/>
                <w:sz w:val="24"/>
                <w:szCs w:val="24"/>
              </w:rPr>
            </w:pPr>
          </w:p>
          <w:p w14:paraId="51B8FC46" w14:textId="76EA096E" w:rsidR="003D1B0F" w:rsidRDefault="003379BC" w:rsidP="005B53F2">
            <w:pPr>
              <w:rPr>
                <w:bCs/>
                <w:sz w:val="24"/>
                <w:szCs w:val="24"/>
              </w:rPr>
            </w:pPr>
            <w:r w:rsidRPr="0011326D">
              <w:rPr>
                <w:bCs/>
                <w:sz w:val="24"/>
                <w:szCs w:val="24"/>
              </w:rPr>
              <w:t>Sub Investigator</w:t>
            </w:r>
            <w:r w:rsidR="0011326D">
              <w:rPr>
                <w:bCs/>
                <w:sz w:val="24"/>
                <w:szCs w:val="24"/>
              </w:rPr>
              <w:t>:</w:t>
            </w:r>
            <w:r w:rsidRPr="0011326D">
              <w:rPr>
                <w:bCs/>
                <w:sz w:val="24"/>
                <w:szCs w:val="24"/>
              </w:rPr>
              <w:t xml:space="preserve"> </w:t>
            </w:r>
            <w:r w:rsidR="0083029E" w:rsidRPr="0011326D">
              <w:rPr>
                <w:bCs/>
                <w:sz w:val="24"/>
                <w:szCs w:val="24"/>
              </w:rPr>
              <w:t xml:space="preserve">Dr David Cameron </w:t>
            </w:r>
            <w:r w:rsidR="00B36AE8">
              <w:rPr>
                <w:bCs/>
                <w:sz w:val="24"/>
                <w:szCs w:val="24"/>
              </w:rPr>
              <w:t>(</w:t>
            </w:r>
            <w:hyperlink r:id="rId8" w:history="1">
              <w:r w:rsidR="00184CEB" w:rsidRPr="004D4FE0">
                <w:rPr>
                  <w:rStyle w:val="Hyperlink"/>
                  <w:bCs/>
                  <w:sz w:val="24"/>
                  <w:szCs w:val="24"/>
                </w:rPr>
                <w:t>David.Cameron@lthtr.nhs.uk</w:t>
              </w:r>
            </w:hyperlink>
            <w:r w:rsidR="00B36AE8">
              <w:rPr>
                <w:bCs/>
                <w:sz w:val="24"/>
                <w:szCs w:val="24"/>
              </w:rPr>
              <w:t>)</w:t>
            </w:r>
          </w:p>
          <w:p w14:paraId="5B9FBB7F" w14:textId="25EC75C3" w:rsidR="00184CEB" w:rsidRPr="0011326D" w:rsidRDefault="00184CEB" w:rsidP="005B53F2">
            <w:pPr>
              <w:rPr>
                <w:bCs/>
                <w:sz w:val="24"/>
                <w:szCs w:val="24"/>
              </w:rPr>
            </w:pPr>
          </w:p>
        </w:tc>
      </w:tr>
      <w:tr w:rsidR="00C34232" w:rsidRPr="006A4FDC" w14:paraId="2BF0DF7A" w14:textId="77777777" w:rsidTr="00EA186F">
        <w:tc>
          <w:tcPr>
            <w:tcW w:w="2235" w:type="dxa"/>
          </w:tcPr>
          <w:p w14:paraId="7BA99748" w14:textId="77777777" w:rsidR="0083029E" w:rsidRDefault="0083029E" w:rsidP="00EA186F">
            <w:pPr>
              <w:rPr>
                <w:rFonts w:ascii="Arial" w:hAnsi="Arial" w:cs="Arial"/>
                <w:b/>
                <w:sz w:val="24"/>
                <w:szCs w:val="24"/>
              </w:rPr>
            </w:pPr>
          </w:p>
          <w:p w14:paraId="130D7F59" w14:textId="046D9995" w:rsidR="00C34232" w:rsidRPr="006A4FDC" w:rsidRDefault="00C34232" w:rsidP="00EA186F">
            <w:pPr>
              <w:rPr>
                <w:rFonts w:ascii="Arial" w:hAnsi="Arial" w:cs="Arial"/>
                <w:b/>
                <w:sz w:val="24"/>
                <w:szCs w:val="24"/>
              </w:rPr>
            </w:pPr>
            <w:r w:rsidRPr="006A4FDC">
              <w:rPr>
                <w:rFonts w:ascii="Arial" w:hAnsi="Arial" w:cs="Arial"/>
                <w:b/>
                <w:sz w:val="24"/>
                <w:szCs w:val="24"/>
              </w:rPr>
              <w:t>Research Nurse</w:t>
            </w:r>
            <w:r w:rsidR="004317AA" w:rsidRPr="006A4FDC">
              <w:rPr>
                <w:rFonts w:ascii="Arial" w:hAnsi="Arial" w:cs="Arial"/>
                <w:b/>
                <w:sz w:val="24"/>
                <w:szCs w:val="24"/>
              </w:rPr>
              <w:t xml:space="preserve"> Team</w:t>
            </w:r>
          </w:p>
        </w:tc>
        <w:tc>
          <w:tcPr>
            <w:tcW w:w="7007" w:type="dxa"/>
          </w:tcPr>
          <w:p w14:paraId="07DB46F6" w14:textId="77777777" w:rsidR="003D1B0F" w:rsidRDefault="003D1B0F" w:rsidP="00EA186F">
            <w:pPr>
              <w:rPr>
                <w:b/>
                <w:sz w:val="24"/>
                <w:szCs w:val="24"/>
              </w:rPr>
            </w:pPr>
          </w:p>
          <w:p w14:paraId="023E05BE" w14:textId="0517BAD5" w:rsidR="003379BC" w:rsidRDefault="0011326D" w:rsidP="00EA186F">
            <w:pPr>
              <w:rPr>
                <w:bCs/>
                <w:sz w:val="24"/>
                <w:szCs w:val="24"/>
              </w:rPr>
            </w:pPr>
            <w:r w:rsidRPr="0011326D">
              <w:rPr>
                <w:bCs/>
                <w:sz w:val="24"/>
                <w:szCs w:val="24"/>
              </w:rPr>
              <w:t>Lead</w:t>
            </w:r>
            <w:r w:rsidR="003379BC" w:rsidRPr="0011326D">
              <w:rPr>
                <w:bCs/>
                <w:sz w:val="24"/>
                <w:szCs w:val="24"/>
              </w:rPr>
              <w:t xml:space="preserve"> Nurse</w:t>
            </w:r>
            <w:r w:rsidRPr="0011326D">
              <w:rPr>
                <w:bCs/>
                <w:sz w:val="24"/>
                <w:szCs w:val="24"/>
              </w:rPr>
              <w:t>:</w:t>
            </w:r>
            <w:r w:rsidR="003379BC" w:rsidRPr="0011326D">
              <w:rPr>
                <w:bCs/>
                <w:sz w:val="24"/>
                <w:szCs w:val="24"/>
              </w:rPr>
              <w:t xml:space="preserve"> </w:t>
            </w:r>
            <w:r w:rsidR="008430A8" w:rsidRPr="0011326D">
              <w:rPr>
                <w:bCs/>
                <w:sz w:val="24"/>
                <w:szCs w:val="24"/>
              </w:rPr>
              <w:t xml:space="preserve">Rosalind Szurko </w:t>
            </w:r>
            <w:r w:rsidR="00B36AE8">
              <w:rPr>
                <w:bCs/>
                <w:sz w:val="24"/>
                <w:szCs w:val="24"/>
              </w:rPr>
              <w:t>(</w:t>
            </w:r>
            <w:hyperlink r:id="rId9" w:history="1">
              <w:r w:rsidR="00C86733" w:rsidRPr="004D4FE0">
                <w:rPr>
                  <w:rStyle w:val="Hyperlink"/>
                  <w:bCs/>
                  <w:sz w:val="24"/>
                  <w:szCs w:val="24"/>
                </w:rPr>
                <w:t>Rosalind.Szurko@lthtr.nhs.uk</w:t>
              </w:r>
            </w:hyperlink>
            <w:r w:rsidR="00B36AE8">
              <w:rPr>
                <w:bCs/>
                <w:sz w:val="24"/>
                <w:szCs w:val="24"/>
              </w:rPr>
              <w:t>)</w:t>
            </w:r>
          </w:p>
          <w:p w14:paraId="1DCF8C81" w14:textId="1903BFFB" w:rsidR="00C86733" w:rsidRDefault="00C86733" w:rsidP="00EA186F">
            <w:pPr>
              <w:rPr>
                <w:bCs/>
                <w:sz w:val="24"/>
                <w:szCs w:val="24"/>
              </w:rPr>
            </w:pPr>
            <w:r>
              <w:rPr>
                <w:bCs/>
                <w:sz w:val="24"/>
                <w:szCs w:val="24"/>
              </w:rPr>
              <w:t>Elizabeth Coates</w:t>
            </w:r>
          </w:p>
          <w:p w14:paraId="61857AEC" w14:textId="046B27A9" w:rsidR="00C86733" w:rsidRPr="0011326D" w:rsidRDefault="00C86733" w:rsidP="00EA186F">
            <w:pPr>
              <w:rPr>
                <w:bCs/>
                <w:sz w:val="24"/>
                <w:szCs w:val="24"/>
              </w:rPr>
            </w:pPr>
            <w:r>
              <w:rPr>
                <w:bCs/>
                <w:sz w:val="24"/>
                <w:szCs w:val="24"/>
              </w:rPr>
              <w:t>Karen Jones</w:t>
            </w:r>
          </w:p>
          <w:p w14:paraId="206EEA3F" w14:textId="21CC819F" w:rsidR="003D1B0F" w:rsidRPr="0011326D" w:rsidRDefault="003379BC" w:rsidP="00EA186F">
            <w:pPr>
              <w:rPr>
                <w:bCs/>
                <w:sz w:val="24"/>
                <w:szCs w:val="24"/>
              </w:rPr>
            </w:pPr>
            <w:r w:rsidRPr="0011326D">
              <w:rPr>
                <w:bCs/>
                <w:sz w:val="24"/>
                <w:szCs w:val="24"/>
              </w:rPr>
              <w:t>CTSO</w:t>
            </w:r>
            <w:r w:rsidR="0011326D">
              <w:rPr>
                <w:bCs/>
                <w:sz w:val="24"/>
                <w:szCs w:val="24"/>
              </w:rPr>
              <w:t>:</w:t>
            </w:r>
            <w:r w:rsidRPr="0011326D">
              <w:rPr>
                <w:bCs/>
                <w:sz w:val="24"/>
                <w:szCs w:val="24"/>
              </w:rPr>
              <w:t xml:space="preserve"> </w:t>
            </w:r>
            <w:r w:rsidR="0011326D" w:rsidRPr="0011326D">
              <w:rPr>
                <w:bCs/>
                <w:sz w:val="24"/>
                <w:szCs w:val="24"/>
              </w:rPr>
              <w:t>Mathew Anuj</w:t>
            </w:r>
          </w:p>
          <w:p w14:paraId="5A1D2A69" w14:textId="77777777" w:rsidR="003D1B0F" w:rsidRPr="006A4FDC" w:rsidRDefault="003D1B0F" w:rsidP="00EA186F">
            <w:pPr>
              <w:rPr>
                <w:b/>
                <w:sz w:val="24"/>
                <w:szCs w:val="24"/>
              </w:rPr>
            </w:pPr>
          </w:p>
        </w:tc>
      </w:tr>
      <w:tr w:rsidR="006A4FDC" w:rsidRPr="006A4FDC" w14:paraId="3FDECF2C" w14:textId="77777777" w:rsidTr="00EA186F">
        <w:tc>
          <w:tcPr>
            <w:tcW w:w="2235" w:type="dxa"/>
          </w:tcPr>
          <w:p w14:paraId="6FBC9369" w14:textId="77777777" w:rsidR="0083029E" w:rsidRDefault="0083029E" w:rsidP="00EA186F">
            <w:pPr>
              <w:rPr>
                <w:rFonts w:ascii="Arial" w:hAnsi="Arial" w:cs="Arial"/>
                <w:b/>
                <w:sz w:val="24"/>
                <w:szCs w:val="24"/>
              </w:rPr>
            </w:pPr>
          </w:p>
          <w:p w14:paraId="52BA2349" w14:textId="341DA12A" w:rsidR="006A4FDC" w:rsidRPr="006A4FDC" w:rsidRDefault="006A4FDC" w:rsidP="00EA186F">
            <w:pPr>
              <w:rPr>
                <w:rFonts w:ascii="Arial" w:hAnsi="Arial" w:cs="Arial"/>
                <w:b/>
                <w:sz w:val="24"/>
                <w:szCs w:val="24"/>
              </w:rPr>
            </w:pPr>
            <w:r w:rsidRPr="006A4FDC">
              <w:rPr>
                <w:rFonts w:ascii="Arial" w:hAnsi="Arial" w:cs="Arial"/>
                <w:b/>
                <w:sz w:val="24"/>
                <w:szCs w:val="24"/>
              </w:rPr>
              <w:t>Drug therapy</w:t>
            </w:r>
          </w:p>
        </w:tc>
        <w:tc>
          <w:tcPr>
            <w:tcW w:w="7007" w:type="dxa"/>
          </w:tcPr>
          <w:p w14:paraId="5DA47532" w14:textId="77777777" w:rsidR="00864FEC" w:rsidRPr="00184CEB" w:rsidRDefault="00864FEC" w:rsidP="005336A6">
            <w:pPr>
              <w:autoSpaceDE w:val="0"/>
              <w:autoSpaceDN w:val="0"/>
              <w:adjustRightInd w:val="0"/>
              <w:rPr>
                <w:rFonts w:cstheme="minorHAnsi"/>
              </w:rPr>
            </w:pPr>
          </w:p>
          <w:p w14:paraId="49E88ACD" w14:textId="1FACD97E" w:rsidR="005336A6" w:rsidRPr="00184CEB" w:rsidRDefault="00864FEC" w:rsidP="005336A6">
            <w:pPr>
              <w:autoSpaceDE w:val="0"/>
              <w:autoSpaceDN w:val="0"/>
              <w:adjustRightInd w:val="0"/>
              <w:rPr>
                <w:rFonts w:cstheme="minorHAnsi"/>
              </w:rPr>
            </w:pPr>
            <w:r w:rsidRPr="00184CEB">
              <w:rPr>
                <w:rFonts w:cstheme="minorHAnsi"/>
              </w:rPr>
              <w:t xml:space="preserve">Investigational drug: </w:t>
            </w:r>
            <w:r w:rsidRPr="00184CEB">
              <w:rPr>
                <w:rFonts w:cstheme="minorHAnsi"/>
              </w:rPr>
              <w:t>MORAb-202 (</w:t>
            </w:r>
            <w:proofErr w:type="spellStart"/>
            <w:r w:rsidRPr="00184CEB">
              <w:rPr>
                <w:rFonts w:cstheme="minorHAnsi"/>
              </w:rPr>
              <w:t>farletuzumab</w:t>
            </w:r>
            <w:proofErr w:type="spellEnd"/>
            <w:r w:rsidRPr="00184CEB">
              <w:rPr>
                <w:rFonts w:cstheme="minorHAnsi"/>
              </w:rPr>
              <w:t xml:space="preserve"> </w:t>
            </w:r>
            <w:proofErr w:type="spellStart"/>
            <w:r w:rsidRPr="00184CEB">
              <w:rPr>
                <w:rFonts w:cstheme="minorHAnsi"/>
              </w:rPr>
              <w:t>ecteribulin</w:t>
            </w:r>
            <w:proofErr w:type="spellEnd"/>
            <w:r w:rsidRPr="00184CEB">
              <w:rPr>
                <w:rFonts w:cstheme="minorHAnsi"/>
              </w:rPr>
              <w:t xml:space="preserve">; FZEC) is an antibody drug conjugate (ADC) consisting of </w:t>
            </w:r>
            <w:proofErr w:type="spellStart"/>
            <w:r w:rsidRPr="00184CEB">
              <w:rPr>
                <w:rFonts w:cstheme="minorHAnsi"/>
              </w:rPr>
              <w:t>farletuzumab</w:t>
            </w:r>
            <w:proofErr w:type="spellEnd"/>
            <w:r w:rsidRPr="00184CEB">
              <w:rPr>
                <w:rFonts w:cstheme="minorHAnsi"/>
              </w:rPr>
              <w:t xml:space="preserve">, a humanized monoclonal antibody that binds to the folate receptor alpha (FRA), paired with </w:t>
            </w:r>
            <w:proofErr w:type="spellStart"/>
            <w:r w:rsidRPr="00184CEB">
              <w:rPr>
                <w:rFonts w:cstheme="minorHAnsi"/>
              </w:rPr>
              <w:t>eribulin</w:t>
            </w:r>
            <w:proofErr w:type="spellEnd"/>
            <w:r w:rsidRPr="00184CEB">
              <w:rPr>
                <w:rFonts w:cstheme="minorHAnsi"/>
              </w:rPr>
              <w:t xml:space="preserve"> (E7389) mesylate, a microtubule dynamics inhibitor, via a cathepsin B-cleavable linker</w:t>
            </w:r>
            <w:r w:rsidRPr="00184CEB">
              <w:rPr>
                <w:rFonts w:cstheme="minorHAnsi"/>
              </w:rPr>
              <w:t>.</w:t>
            </w:r>
          </w:p>
          <w:p w14:paraId="0B30C18B" w14:textId="77777777" w:rsidR="00864FEC" w:rsidRPr="00184CEB" w:rsidRDefault="00864FEC" w:rsidP="005336A6">
            <w:pPr>
              <w:autoSpaceDE w:val="0"/>
              <w:autoSpaceDN w:val="0"/>
              <w:adjustRightInd w:val="0"/>
              <w:rPr>
                <w:rFonts w:cstheme="minorHAnsi"/>
                <w:b/>
              </w:rPr>
            </w:pPr>
          </w:p>
          <w:p w14:paraId="34F58FBD" w14:textId="1A85DB3E" w:rsidR="00864FEC" w:rsidRPr="00184CEB" w:rsidRDefault="00864FEC" w:rsidP="005336A6">
            <w:pPr>
              <w:autoSpaceDE w:val="0"/>
              <w:autoSpaceDN w:val="0"/>
              <w:adjustRightInd w:val="0"/>
              <w:rPr>
                <w:rFonts w:cstheme="minorHAnsi"/>
                <w:b/>
              </w:rPr>
            </w:pPr>
            <w:r w:rsidRPr="00184CEB">
              <w:rPr>
                <w:rFonts w:cstheme="minorHAnsi"/>
                <w:b/>
              </w:rPr>
              <w:t>Serious Adverse Events</w:t>
            </w:r>
          </w:p>
          <w:p w14:paraId="40946A07" w14:textId="77777777" w:rsidR="00864FEC" w:rsidRPr="00184CEB" w:rsidRDefault="00864FEC" w:rsidP="005336A6">
            <w:pPr>
              <w:autoSpaceDE w:val="0"/>
              <w:autoSpaceDN w:val="0"/>
              <w:adjustRightInd w:val="0"/>
              <w:rPr>
                <w:rFonts w:cstheme="minorHAnsi"/>
                <w:b/>
              </w:rPr>
            </w:pPr>
          </w:p>
          <w:p w14:paraId="58ED8D9D" w14:textId="564A98CC" w:rsidR="00864FEC" w:rsidRPr="00184CEB" w:rsidRDefault="00864FEC" w:rsidP="005336A6">
            <w:pPr>
              <w:autoSpaceDE w:val="0"/>
              <w:autoSpaceDN w:val="0"/>
              <w:adjustRightInd w:val="0"/>
              <w:rPr>
                <w:rFonts w:cstheme="minorHAnsi"/>
                <w:bCs/>
              </w:rPr>
            </w:pPr>
            <w:r w:rsidRPr="00184CEB">
              <w:rPr>
                <w:rFonts w:cstheme="minorHAnsi"/>
                <w:bCs/>
              </w:rPr>
              <w:t xml:space="preserve">Interstitial Lung Disease (ILD) is an SAE that has been seen in previous phases of the study. The current dose has been reduced </w:t>
            </w:r>
            <w:r w:rsidR="00184CEB">
              <w:rPr>
                <w:rFonts w:cstheme="minorHAnsi"/>
                <w:bCs/>
              </w:rPr>
              <w:t xml:space="preserve">in attempt to reduce </w:t>
            </w:r>
            <w:r w:rsidRPr="00184CEB">
              <w:rPr>
                <w:rFonts w:cstheme="minorHAnsi"/>
                <w:bCs/>
              </w:rPr>
              <w:t xml:space="preserve">incidence. The study protocol gives guidance on the management </w:t>
            </w:r>
            <w:r w:rsidRPr="00184CEB">
              <w:rPr>
                <w:rFonts w:cstheme="minorHAnsi"/>
                <w:bCs/>
              </w:rPr>
              <w:lastRenderedPageBreak/>
              <w:t xml:space="preserve">of suspected </w:t>
            </w:r>
            <w:proofErr w:type="gramStart"/>
            <w:r w:rsidRPr="00184CEB">
              <w:rPr>
                <w:rFonts w:cstheme="minorHAnsi"/>
                <w:bCs/>
              </w:rPr>
              <w:t>ILD</w:t>
            </w:r>
            <w:proofErr w:type="gramEnd"/>
            <w:r w:rsidRPr="00184CEB">
              <w:rPr>
                <w:rFonts w:cstheme="minorHAnsi"/>
                <w:bCs/>
              </w:rPr>
              <w:t xml:space="preserve"> and patients given a higher dose of the study drug will be given prophylactic steroids during treatment.</w:t>
            </w:r>
          </w:p>
          <w:p w14:paraId="1D6A1FF4" w14:textId="77777777" w:rsidR="00864FEC" w:rsidRPr="00184CEB" w:rsidRDefault="00864FEC" w:rsidP="005336A6">
            <w:pPr>
              <w:autoSpaceDE w:val="0"/>
              <w:autoSpaceDN w:val="0"/>
              <w:adjustRightInd w:val="0"/>
              <w:rPr>
                <w:rFonts w:cstheme="minorHAnsi"/>
                <w:bCs/>
              </w:rPr>
            </w:pPr>
          </w:p>
          <w:p w14:paraId="5E97B7D1" w14:textId="50374F60" w:rsidR="00864FEC" w:rsidRPr="00184CEB" w:rsidRDefault="00864FEC" w:rsidP="005336A6">
            <w:pPr>
              <w:autoSpaceDE w:val="0"/>
              <w:autoSpaceDN w:val="0"/>
              <w:adjustRightInd w:val="0"/>
              <w:rPr>
                <w:rFonts w:cstheme="minorHAnsi"/>
                <w:b/>
              </w:rPr>
            </w:pPr>
            <w:r w:rsidRPr="00184CEB">
              <w:rPr>
                <w:rFonts w:cstheme="minorHAnsi"/>
                <w:b/>
              </w:rPr>
              <w:t>Common Adverse Events (&gt;10%)</w:t>
            </w:r>
          </w:p>
          <w:p w14:paraId="4E72E48A" w14:textId="77777777" w:rsidR="00864FEC" w:rsidRPr="00184CEB" w:rsidRDefault="00864FEC" w:rsidP="005336A6">
            <w:pPr>
              <w:autoSpaceDE w:val="0"/>
              <w:autoSpaceDN w:val="0"/>
              <w:adjustRightInd w:val="0"/>
              <w:rPr>
                <w:rFonts w:cstheme="minorHAnsi"/>
                <w:b/>
              </w:rPr>
            </w:pPr>
          </w:p>
          <w:p w14:paraId="79FB4E35" w14:textId="014661FC" w:rsidR="00864FEC" w:rsidRPr="00184CEB" w:rsidRDefault="00864FEC" w:rsidP="005336A6">
            <w:pPr>
              <w:autoSpaceDE w:val="0"/>
              <w:autoSpaceDN w:val="0"/>
              <w:adjustRightInd w:val="0"/>
              <w:rPr>
                <w:rFonts w:cstheme="minorHAnsi"/>
                <w:bCs/>
              </w:rPr>
            </w:pPr>
            <w:r w:rsidRPr="00184CEB">
              <w:rPr>
                <w:rFonts w:cstheme="minorHAnsi"/>
                <w:bCs/>
              </w:rPr>
              <w:t>Pyrexia</w:t>
            </w:r>
          </w:p>
          <w:p w14:paraId="4CDB33A6" w14:textId="3007E1A3" w:rsidR="00864FEC" w:rsidRPr="00184CEB" w:rsidRDefault="00864FEC" w:rsidP="005336A6">
            <w:pPr>
              <w:autoSpaceDE w:val="0"/>
              <w:autoSpaceDN w:val="0"/>
              <w:adjustRightInd w:val="0"/>
              <w:rPr>
                <w:rFonts w:cstheme="minorHAnsi"/>
                <w:bCs/>
              </w:rPr>
            </w:pPr>
            <w:r w:rsidRPr="00184CEB">
              <w:rPr>
                <w:rFonts w:cstheme="minorHAnsi"/>
                <w:bCs/>
              </w:rPr>
              <w:t>LFT derangement</w:t>
            </w:r>
          </w:p>
          <w:p w14:paraId="3889C522" w14:textId="33F5FB1E" w:rsidR="00864FEC" w:rsidRPr="00184CEB" w:rsidRDefault="00864FEC" w:rsidP="005336A6">
            <w:pPr>
              <w:autoSpaceDE w:val="0"/>
              <w:autoSpaceDN w:val="0"/>
              <w:adjustRightInd w:val="0"/>
              <w:rPr>
                <w:rFonts w:cstheme="minorHAnsi"/>
                <w:bCs/>
              </w:rPr>
            </w:pPr>
            <w:r w:rsidRPr="00184CEB">
              <w:rPr>
                <w:rFonts w:cstheme="minorHAnsi"/>
                <w:bCs/>
              </w:rPr>
              <w:t>Nausea</w:t>
            </w:r>
          </w:p>
          <w:p w14:paraId="2F504B53" w14:textId="2390E41B" w:rsidR="00864FEC" w:rsidRPr="00184CEB" w:rsidRDefault="00864FEC" w:rsidP="005336A6">
            <w:pPr>
              <w:autoSpaceDE w:val="0"/>
              <w:autoSpaceDN w:val="0"/>
              <w:adjustRightInd w:val="0"/>
              <w:rPr>
                <w:rFonts w:cstheme="minorHAnsi"/>
                <w:bCs/>
              </w:rPr>
            </w:pPr>
            <w:r w:rsidRPr="00184CEB">
              <w:rPr>
                <w:rFonts w:cstheme="minorHAnsi"/>
                <w:bCs/>
              </w:rPr>
              <w:t>Headache</w:t>
            </w:r>
          </w:p>
          <w:p w14:paraId="6E9DFDAE" w14:textId="65054388" w:rsidR="00864FEC" w:rsidRPr="00184CEB" w:rsidRDefault="00864FEC" w:rsidP="005336A6">
            <w:pPr>
              <w:autoSpaceDE w:val="0"/>
              <w:autoSpaceDN w:val="0"/>
              <w:adjustRightInd w:val="0"/>
              <w:rPr>
                <w:rFonts w:cstheme="minorHAnsi"/>
                <w:bCs/>
              </w:rPr>
            </w:pPr>
            <w:r w:rsidRPr="00184CEB">
              <w:rPr>
                <w:rFonts w:cstheme="minorHAnsi"/>
                <w:bCs/>
              </w:rPr>
              <w:t>Malaise</w:t>
            </w:r>
          </w:p>
          <w:p w14:paraId="18774A8C" w14:textId="0371CCD4" w:rsidR="00864FEC" w:rsidRPr="00184CEB" w:rsidRDefault="00864FEC" w:rsidP="005336A6">
            <w:pPr>
              <w:autoSpaceDE w:val="0"/>
              <w:autoSpaceDN w:val="0"/>
              <w:adjustRightInd w:val="0"/>
              <w:rPr>
                <w:rFonts w:cstheme="minorHAnsi"/>
                <w:bCs/>
              </w:rPr>
            </w:pPr>
            <w:r w:rsidRPr="00184CEB">
              <w:rPr>
                <w:rFonts w:cstheme="minorHAnsi"/>
                <w:bCs/>
              </w:rPr>
              <w:t>Neutropenia/Leukopenia</w:t>
            </w:r>
          </w:p>
          <w:p w14:paraId="0FFD7225" w14:textId="4EA7699A" w:rsidR="00864FEC" w:rsidRPr="00184CEB" w:rsidRDefault="00864FEC" w:rsidP="005336A6">
            <w:pPr>
              <w:autoSpaceDE w:val="0"/>
              <w:autoSpaceDN w:val="0"/>
              <w:adjustRightInd w:val="0"/>
              <w:rPr>
                <w:rFonts w:cstheme="minorHAnsi"/>
                <w:bCs/>
              </w:rPr>
            </w:pPr>
            <w:r w:rsidRPr="00184CEB">
              <w:rPr>
                <w:rFonts w:cstheme="minorHAnsi"/>
                <w:bCs/>
              </w:rPr>
              <w:t>Anaemia</w:t>
            </w:r>
          </w:p>
          <w:p w14:paraId="7ECF4A01" w14:textId="2E41D083" w:rsidR="00864FEC" w:rsidRPr="00184CEB" w:rsidRDefault="00864FEC" w:rsidP="005336A6">
            <w:pPr>
              <w:autoSpaceDE w:val="0"/>
              <w:autoSpaceDN w:val="0"/>
              <w:adjustRightInd w:val="0"/>
              <w:rPr>
                <w:rFonts w:cstheme="minorHAnsi"/>
                <w:bCs/>
              </w:rPr>
            </w:pPr>
            <w:r w:rsidRPr="00184CEB">
              <w:rPr>
                <w:rFonts w:cstheme="minorHAnsi"/>
                <w:bCs/>
              </w:rPr>
              <w:t>Diarrhoea/Constipation</w:t>
            </w:r>
          </w:p>
          <w:p w14:paraId="7921A7CC" w14:textId="1E0E4F28" w:rsidR="003D1B0F" w:rsidRPr="00184CEB" w:rsidRDefault="00864FEC" w:rsidP="005B53F2">
            <w:pPr>
              <w:autoSpaceDE w:val="0"/>
              <w:autoSpaceDN w:val="0"/>
              <w:adjustRightInd w:val="0"/>
              <w:rPr>
                <w:rFonts w:cstheme="minorHAnsi"/>
                <w:bCs/>
              </w:rPr>
            </w:pPr>
            <w:r w:rsidRPr="00184CEB">
              <w:rPr>
                <w:rFonts w:cstheme="minorHAnsi"/>
                <w:bCs/>
              </w:rPr>
              <w:t>Nasopharyngitis</w:t>
            </w:r>
          </w:p>
          <w:p w14:paraId="22A8B2E9" w14:textId="77777777" w:rsidR="00864FEC" w:rsidRPr="00184CEB" w:rsidRDefault="00864FEC" w:rsidP="005B53F2">
            <w:pPr>
              <w:autoSpaceDE w:val="0"/>
              <w:autoSpaceDN w:val="0"/>
              <w:adjustRightInd w:val="0"/>
              <w:rPr>
                <w:rFonts w:cstheme="minorHAnsi"/>
                <w:b/>
                <w:sz w:val="24"/>
                <w:szCs w:val="24"/>
              </w:rPr>
            </w:pPr>
          </w:p>
          <w:p w14:paraId="27501C59" w14:textId="77777777" w:rsidR="00184CEB" w:rsidRPr="00184CEB" w:rsidRDefault="00184CEB" w:rsidP="005B53F2">
            <w:pPr>
              <w:autoSpaceDE w:val="0"/>
              <w:autoSpaceDN w:val="0"/>
              <w:adjustRightInd w:val="0"/>
              <w:rPr>
                <w:rFonts w:cstheme="minorHAnsi"/>
                <w:b/>
                <w:sz w:val="24"/>
                <w:szCs w:val="24"/>
              </w:rPr>
            </w:pPr>
          </w:p>
          <w:p w14:paraId="51822AE6" w14:textId="7E29A88F" w:rsidR="00184CEB" w:rsidRPr="00184CEB" w:rsidRDefault="00184CEB" w:rsidP="00184CEB">
            <w:pPr>
              <w:autoSpaceDE w:val="0"/>
              <w:autoSpaceDN w:val="0"/>
              <w:adjustRightInd w:val="0"/>
              <w:rPr>
                <w:rFonts w:cstheme="minorHAnsi"/>
                <w:bCs/>
              </w:rPr>
            </w:pPr>
            <w:r>
              <w:rPr>
                <w:rFonts w:cstheme="minorHAnsi"/>
                <w:bCs/>
              </w:rPr>
              <w:t xml:space="preserve">Infusion related reactions (including </w:t>
            </w:r>
            <w:r w:rsidRPr="00184CEB">
              <w:rPr>
                <w:rFonts w:cstheme="minorHAnsi"/>
                <w:bCs/>
              </w:rPr>
              <w:t>Cytokine Release Syndrome</w:t>
            </w:r>
            <w:r>
              <w:rPr>
                <w:rFonts w:cstheme="minorHAnsi"/>
                <w:bCs/>
              </w:rPr>
              <w:t xml:space="preserve"> [CRS])</w:t>
            </w:r>
            <w:r w:rsidRPr="00184CEB">
              <w:rPr>
                <w:rFonts w:cstheme="minorHAnsi"/>
                <w:bCs/>
              </w:rPr>
              <w:t xml:space="preserve"> </w:t>
            </w:r>
            <w:r>
              <w:rPr>
                <w:rFonts w:cstheme="minorHAnsi"/>
                <w:bCs/>
              </w:rPr>
              <w:t>are</w:t>
            </w:r>
            <w:r w:rsidRPr="00184CEB">
              <w:rPr>
                <w:rFonts w:cstheme="minorHAnsi"/>
                <w:bCs/>
              </w:rPr>
              <w:t xml:space="preserve"> a possibility</w:t>
            </w:r>
            <w:r>
              <w:rPr>
                <w:rFonts w:cstheme="minorHAnsi"/>
                <w:bCs/>
              </w:rPr>
              <w:t xml:space="preserve"> and may present hours or days after treatment</w:t>
            </w:r>
            <w:r w:rsidRPr="00184CEB">
              <w:rPr>
                <w:rFonts w:cstheme="minorHAnsi"/>
                <w:bCs/>
              </w:rPr>
              <w:t xml:space="preserve">. If required, teams should refer to further information available on the </w:t>
            </w:r>
            <w:proofErr w:type="spellStart"/>
            <w:r w:rsidRPr="00184CEB">
              <w:rPr>
                <w:rFonts w:cstheme="minorHAnsi"/>
                <w:bCs/>
              </w:rPr>
              <w:t>iQemo</w:t>
            </w:r>
            <w:proofErr w:type="spellEnd"/>
            <w:r w:rsidRPr="00184CEB">
              <w:rPr>
                <w:rFonts w:cstheme="minorHAnsi"/>
                <w:bCs/>
              </w:rPr>
              <w:t xml:space="preserve"> oncology system</w:t>
            </w:r>
            <w:r>
              <w:rPr>
                <w:rFonts w:cstheme="minorHAnsi"/>
                <w:bCs/>
              </w:rPr>
              <w:t xml:space="preserve"> for </w:t>
            </w:r>
            <w:proofErr w:type="spellStart"/>
            <w:proofErr w:type="gramStart"/>
            <w:r>
              <w:rPr>
                <w:rFonts w:cstheme="minorHAnsi"/>
                <w:bCs/>
              </w:rPr>
              <w:t>eg</w:t>
            </w:r>
            <w:proofErr w:type="spellEnd"/>
            <w:proofErr w:type="gramEnd"/>
            <w:r>
              <w:rPr>
                <w:rFonts w:cstheme="minorHAnsi"/>
                <w:bCs/>
              </w:rPr>
              <w:t xml:space="preserve"> local guidelines for CRS</w:t>
            </w:r>
            <w:r w:rsidRPr="00184CEB">
              <w:rPr>
                <w:rFonts w:cstheme="minorHAnsi"/>
                <w:bCs/>
              </w:rPr>
              <w:t>.</w:t>
            </w:r>
          </w:p>
          <w:p w14:paraId="7B2B1C04" w14:textId="77777777" w:rsidR="005B53F2" w:rsidRPr="00184CEB" w:rsidRDefault="005B53F2" w:rsidP="005B53F2">
            <w:pPr>
              <w:autoSpaceDE w:val="0"/>
              <w:autoSpaceDN w:val="0"/>
              <w:adjustRightInd w:val="0"/>
              <w:rPr>
                <w:rFonts w:cstheme="minorHAnsi"/>
                <w:b/>
                <w:sz w:val="24"/>
                <w:szCs w:val="24"/>
              </w:rPr>
            </w:pPr>
          </w:p>
        </w:tc>
      </w:tr>
      <w:tr w:rsidR="006A4FDC" w:rsidRPr="006A4FDC" w14:paraId="001DBD20" w14:textId="77777777" w:rsidTr="00EA186F">
        <w:tc>
          <w:tcPr>
            <w:tcW w:w="2235" w:type="dxa"/>
          </w:tcPr>
          <w:p w14:paraId="545A3515" w14:textId="77777777" w:rsidR="0083029E" w:rsidRDefault="0083029E" w:rsidP="00EA186F">
            <w:pPr>
              <w:rPr>
                <w:rFonts w:ascii="Arial" w:hAnsi="Arial" w:cs="Arial"/>
                <w:b/>
                <w:sz w:val="24"/>
                <w:szCs w:val="24"/>
              </w:rPr>
            </w:pPr>
          </w:p>
          <w:p w14:paraId="61BE9F6D" w14:textId="3070041A" w:rsidR="006A4FDC" w:rsidRPr="006A4FDC" w:rsidRDefault="006A4FDC" w:rsidP="00EA186F">
            <w:pPr>
              <w:rPr>
                <w:rFonts w:ascii="Arial" w:hAnsi="Arial" w:cs="Arial"/>
                <w:b/>
                <w:sz w:val="24"/>
                <w:szCs w:val="24"/>
              </w:rPr>
            </w:pPr>
            <w:r w:rsidRPr="006A4FDC">
              <w:rPr>
                <w:rFonts w:ascii="Arial" w:hAnsi="Arial" w:cs="Arial"/>
                <w:b/>
                <w:sz w:val="24"/>
                <w:szCs w:val="24"/>
              </w:rPr>
              <w:t xml:space="preserve">In the event that a patient calls this hotline for </w:t>
            </w:r>
            <w:proofErr w:type="gramStart"/>
            <w:r w:rsidRPr="006A4FDC">
              <w:rPr>
                <w:rFonts w:ascii="Arial" w:hAnsi="Arial" w:cs="Arial"/>
                <w:b/>
                <w:sz w:val="24"/>
                <w:szCs w:val="24"/>
              </w:rPr>
              <w:t>advise</w:t>
            </w:r>
            <w:proofErr w:type="gramEnd"/>
          </w:p>
        </w:tc>
        <w:tc>
          <w:tcPr>
            <w:tcW w:w="7007" w:type="dxa"/>
          </w:tcPr>
          <w:p w14:paraId="68F70DA2" w14:textId="77777777" w:rsidR="006A4FDC" w:rsidRPr="00184CEB" w:rsidRDefault="006A4FDC" w:rsidP="0065457F">
            <w:pPr>
              <w:autoSpaceDE w:val="0"/>
              <w:autoSpaceDN w:val="0"/>
              <w:adjustRightInd w:val="0"/>
              <w:jc w:val="both"/>
              <w:rPr>
                <w:rFonts w:cstheme="minorHAnsi"/>
                <w:sz w:val="24"/>
                <w:szCs w:val="24"/>
              </w:rPr>
            </w:pPr>
          </w:p>
          <w:p w14:paraId="320102E0" w14:textId="0D560ED2" w:rsidR="00C86733" w:rsidRPr="00184CEB" w:rsidRDefault="00C86733" w:rsidP="00C86733">
            <w:pPr>
              <w:rPr>
                <w:rFonts w:cstheme="minorHAnsi"/>
                <w:color w:val="000000"/>
              </w:rPr>
            </w:pPr>
            <w:r w:rsidRPr="00184CEB">
              <w:rPr>
                <w:rFonts w:cstheme="minorHAnsi"/>
                <w:color w:val="000000"/>
              </w:rPr>
              <w:t>Advise patient to seek medical assistance via nearest available healthcare provider depending upon severity of symptoms.</w:t>
            </w:r>
            <w:r w:rsidRPr="00184CEB">
              <w:rPr>
                <w:rFonts w:cstheme="minorHAnsi"/>
                <w:color w:val="000000"/>
              </w:rPr>
              <w:t xml:space="preserve"> </w:t>
            </w:r>
            <w:r w:rsidRPr="00184CEB">
              <w:rPr>
                <w:rFonts w:cstheme="minorHAnsi"/>
                <w:color w:val="000000"/>
              </w:rPr>
              <w:t>Advise patient to keep all relevant trial paperwork with them for review by treating clinician.</w:t>
            </w:r>
          </w:p>
          <w:p w14:paraId="6BD810C2" w14:textId="2543D109" w:rsidR="00C86733" w:rsidRPr="00184CEB" w:rsidRDefault="00C86733" w:rsidP="00C86733">
            <w:pPr>
              <w:rPr>
                <w:rFonts w:cstheme="minorHAnsi"/>
                <w:color w:val="000000"/>
              </w:rPr>
            </w:pPr>
            <w:r w:rsidRPr="00184CEB">
              <w:rPr>
                <w:rFonts w:cstheme="minorHAnsi"/>
                <w:color w:val="000000"/>
              </w:rPr>
              <w:t>Patients requiring admission may be reviewed by the on-call Oncology SpR/Consultant.</w:t>
            </w:r>
            <w:r w:rsidRPr="00184CEB">
              <w:rPr>
                <w:rFonts w:cstheme="minorHAnsi"/>
                <w:color w:val="000000"/>
              </w:rPr>
              <w:t xml:space="preserve"> Highlighted above </w:t>
            </w:r>
            <w:r w:rsidR="00864FEC" w:rsidRPr="00184CEB">
              <w:rPr>
                <w:rFonts w:cstheme="minorHAnsi"/>
                <w:color w:val="000000"/>
              </w:rPr>
              <w:t>are</w:t>
            </w:r>
            <w:r w:rsidRPr="00184CEB">
              <w:rPr>
                <w:rFonts w:cstheme="minorHAnsi"/>
                <w:color w:val="000000"/>
              </w:rPr>
              <w:t xml:space="preserve"> adverse events of likely occurrence/special interest.</w:t>
            </w:r>
          </w:p>
          <w:p w14:paraId="47B1C4E5" w14:textId="77777777" w:rsidR="00864FEC" w:rsidRPr="00184CEB" w:rsidRDefault="00864FEC" w:rsidP="00C86733">
            <w:pPr>
              <w:rPr>
                <w:rFonts w:cstheme="minorHAnsi"/>
                <w:color w:val="000000"/>
              </w:rPr>
            </w:pPr>
          </w:p>
          <w:p w14:paraId="4193C8FD" w14:textId="73D471C4" w:rsidR="00864FEC" w:rsidRPr="00184CEB" w:rsidRDefault="00864FEC" w:rsidP="00C86733">
            <w:pPr>
              <w:rPr>
                <w:rFonts w:cstheme="minorHAnsi"/>
                <w:color w:val="000000"/>
              </w:rPr>
            </w:pPr>
            <w:r w:rsidRPr="00184CEB">
              <w:rPr>
                <w:rFonts w:cstheme="minorHAnsi"/>
                <w:color w:val="000000"/>
              </w:rPr>
              <w:t xml:space="preserve">Dr Yusef Haider and Dr Kathryn Prior are Respiratory Consultants attached to the study in case of Respiratory related Adverse events </w:t>
            </w:r>
            <w:proofErr w:type="spellStart"/>
            <w:proofErr w:type="gramStart"/>
            <w:r w:rsidRPr="00184CEB">
              <w:rPr>
                <w:rFonts w:cstheme="minorHAnsi"/>
                <w:color w:val="000000"/>
              </w:rPr>
              <w:t>eg</w:t>
            </w:r>
            <w:proofErr w:type="spellEnd"/>
            <w:proofErr w:type="gramEnd"/>
            <w:r w:rsidRPr="00184CEB">
              <w:rPr>
                <w:rFonts w:cstheme="minorHAnsi"/>
                <w:color w:val="000000"/>
              </w:rPr>
              <w:t xml:space="preserve"> </w:t>
            </w:r>
            <w:proofErr w:type="spellStart"/>
            <w:r w:rsidR="00184CEB">
              <w:rPr>
                <w:rFonts w:cstheme="minorHAnsi"/>
                <w:color w:val="000000"/>
              </w:rPr>
              <w:t>Pneumonitits</w:t>
            </w:r>
            <w:proofErr w:type="spellEnd"/>
            <w:r w:rsidR="00184CEB">
              <w:rPr>
                <w:rFonts w:cstheme="minorHAnsi"/>
                <w:color w:val="000000"/>
              </w:rPr>
              <w:t>/</w:t>
            </w:r>
            <w:r w:rsidRPr="00184CEB">
              <w:rPr>
                <w:rFonts w:cstheme="minorHAnsi"/>
                <w:color w:val="000000"/>
              </w:rPr>
              <w:t>Interstitial Lung Disease.</w:t>
            </w:r>
          </w:p>
          <w:p w14:paraId="3FF92628" w14:textId="77777777" w:rsidR="00864FEC" w:rsidRPr="00184CEB" w:rsidRDefault="00864FEC" w:rsidP="00C86733">
            <w:pPr>
              <w:rPr>
                <w:rFonts w:cstheme="minorHAnsi"/>
                <w:color w:val="000000"/>
              </w:rPr>
            </w:pPr>
          </w:p>
          <w:p w14:paraId="4678FE10" w14:textId="52F60431" w:rsidR="003D1B0F" w:rsidRPr="00184CEB" w:rsidRDefault="00C86733" w:rsidP="00C86733">
            <w:pPr>
              <w:rPr>
                <w:rFonts w:cstheme="minorHAnsi"/>
                <w:b/>
                <w:sz w:val="24"/>
                <w:szCs w:val="24"/>
              </w:rPr>
            </w:pPr>
            <w:r w:rsidRPr="00184CEB">
              <w:rPr>
                <w:rFonts w:cstheme="minorHAnsi"/>
                <w:color w:val="000000"/>
              </w:rPr>
              <w:t xml:space="preserve">Daytime contact number of the </w:t>
            </w:r>
            <w:proofErr w:type="gramStart"/>
            <w:r w:rsidRPr="00184CEB">
              <w:rPr>
                <w:rFonts w:cstheme="minorHAnsi"/>
                <w:color w:val="000000"/>
              </w:rPr>
              <w:t>trials</w:t>
            </w:r>
            <w:proofErr w:type="gramEnd"/>
            <w:r w:rsidRPr="00184CEB">
              <w:rPr>
                <w:rFonts w:cstheme="minorHAnsi"/>
                <w:color w:val="000000"/>
              </w:rPr>
              <w:t xml:space="preserve"> unit is 01772 522031.</w:t>
            </w:r>
            <w:r w:rsidRPr="00184CEB">
              <w:rPr>
                <w:rFonts w:cstheme="minorHAnsi"/>
                <w:color w:val="000000"/>
              </w:rPr>
              <w:br/>
              <w:t>If out of hours escalation is required, please alert PI/Co-I on the above email</w:t>
            </w:r>
            <w:r w:rsidRPr="00184CEB">
              <w:rPr>
                <w:rFonts w:cstheme="minorHAnsi"/>
                <w:color w:val="000000"/>
              </w:rPr>
              <w:t xml:space="preserve"> addresses.</w:t>
            </w:r>
            <w:r w:rsidRPr="00184CEB">
              <w:rPr>
                <w:rFonts w:cstheme="minorHAnsi"/>
                <w:color w:val="000000"/>
              </w:rPr>
              <w:t xml:space="preserve"> Treatment interruption/modification may be required.</w:t>
            </w:r>
          </w:p>
          <w:p w14:paraId="68D2F569" w14:textId="77777777" w:rsidR="0083029E" w:rsidRPr="00184CEB" w:rsidRDefault="0083029E" w:rsidP="005B53F2">
            <w:pPr>
              <w:rPr>
                <w:rFonts w:cstheme="minorHAnsi"/>
                <w:b/>
                <w:sz w:val="24"/>
                <w:szCs w:val="24"/>
              </w:rPr>
            </w:pPr>
          </w:p>
        </w:tc>
      </w:tr>
    </w:tbl>
    <w:p w14:paraId="0FED3165" w14:textId="77777777" w:rsidR="007F7652" w:rsidRPr="00EA186F" w:rsidRDefault="007F7652" w:rsidP="00DF0282">
      <w:pPr>
        <w:tabs>
          <w:tab w:val="left" w:pos="6574"/>
        </w:tabs>
        <w:rPr>
          <w:b/>
          <w:sz w:val="28"/>
          <w:szCs w:val="28"/>
        </w:rPr>
      </w:pPr>
    </w:p>
    <w:sectPr w:rsidR="007F7652" w:rsidRPr="00EA18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7F15E" w14:textId="77777777" w:rsidR="00116E3C" w:rsidRDefault="00116E3C" w:rsidP="00DF0282">
      <w:pPr>
        <w:spacing w:after="0" w:line="240" w:lineRule="auto"/>
      </w:pPr>
      <w:r>
        <w:separator/>
      </w:r>
    </w:p>
  </w:endnote>
  <w:endnote w:type="continuationSeparator" w:id="0">
    <w:p w14:paraId="64E6BB0D" w14:textId="77777777" w:rsidR="00116E3C" w:rsidRDefault="00116E3C" w:rsidP="00DF0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F5C74" w14:textId="77777777" w:rsidR="00116E3C" w:rsidRDefault="00116E3C" w:rsidP="00DF0282">
      <w:pPr>
        <w:spacing w:after="0" w:line="240" w:lineRule="auto"/>
      </w:pPr>
      <w:r>
        <w:separator/>
      </w:r>
    </w:p>
  </w:footnote>
  <w:footnote w:type="continuationSeparator" w:id="0">
    <w:p w14:paraId="0AFB6053" w14:textId="77777777" w:rsidR="00116E3C" w:rsidRDefault="00116E3C" w:rsidP="00DF02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86F"/>
    <w:rsid w:val="000126C2"/>
    <w:rsid w:val="0011326D"/>
    <w:rsid w:val="00116E3C"/>
    <w:rsid w:val="00184CEB"/>
    <w:rsid w:val="0019448C"/>
    <w:rsid w:val="00244075"/>
    <w:rsid w:val="003379BC"/>
    <w:rsid w:val="00350309"/>
    <w:rsid w:val="003707E6"/>
    <w:rsid w:val="003D1B0F"/>
    <w:rsid w:val="003E2CBA"/>
    <w:rsid w:val="004317AA"/>
    <w:rsid w:val="004C3F1D"/>
    <w:rsid w:val="005336A6"/>
    <w:rsid w:val="00543209"/>
    <w:rsid w:val="005B53F2"/>
    <w:rsid w:val="0065457F"/>
    <w:rsid w:val="006A4FDC"/>
    <w:rsid w:val="00757132"/>
    <w:rsid w:val="00773A27"/>
    <w:rsid w:val="0077748E"/>
    <w:rsid w:val="007F7652"/>
    <w:rsid w:val="0083029E"/>
    <w:rsid w:val="008430A8"/>
    <w:rsid w:val="00864FEC"/>
    <w:rsid w:val="008D3CC8"/>
    <w:rsid w:val="009A0E4A"/>
    <w:rsid w:val="009A6214"/>
    <w:rsid w:val="00A95B8E"/>
    <w:rsid w:val="00AB3AF7"/>
    <w:rsid w:val="00B36AE8"/>
    <w:rsid w:val="00BF5567"/>
    <w:rsid w:val="00C34232"/>
    <w:rsid w:val="00C67E0C"/>
    <w:rsid w:val="00C85C94"/>
    <w:rsid w:val="00C86733"/>
    <w:rsid w:val="00CE3043"/>
    <w:rsid w:val="00DA416D"/>
    <w:rsid w:val="00DD3049"/>
    <w:rsid w:val="00DF0282"/>
    <w:rsid w:val="00EA186F"/>
    <w:rsid w:val="00ED0831"/>
  </w:rsids>
  <m:mathPr>
    <m:mathFont m:val="Cambria Math"/>
    <m:brkBin m:val="before"/>
    <m:brkBinSub m:val="--"/>
    <m:smallFrac m:val="0"/>
    <m:dispDef/>
    <m:lMargin m:val="0"/>
    <m:rMargin m:val="0"/>
    <m:defJc m:val="centerGroup"/>
    <m:wrapIndent m:val="1440"/>
    <m:intLim m:val="subSup"/>
    <m:naryLim m:val="undOvr"/>
  </m:mathPr>
  <w:themeFontLang w:val="en-GB"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A8978"/>
  <w15:docId w15:val="{FF0C652E-5296-422B-AE93-87E62E84C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1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86F"/>
    <w:rPr>
      <w:rFonts w:ascii="Tahoma" w:hAnsi="Tahoma" w:cs="Tahoma"/>
      <w:sz w:val="16"/>
      <w:szCs w:val="16"/>
    </w:rPr>
  </w:style>
  <w:style w:type="table" w:styleId="TableGrid">
    <w:name w:val="Table Grid"/>
    <w:basedOn w:val="TableNormal"/>
    <w:uiPriority w:val="59"/>
    <w:rsid w:val="00EA1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17AA"/>
    <w:rPr>
      <w:color w:val="0000FF" w:themeColor="hyperlink"/>
      <w:u w:val="single"/>
    </w:rPr>
  </w:style>
  <w:style w:type="paragraph" w:styleId="Header">
    <w:name w:val="header"/>
    <w:basedOn w:val="Normal"/>
    <w:link w:val="HeaderChar"/>
    <w:uiPriority w:val="99"/>
    <w:unhideWhenUsed/>
    <w:rsid w:val="00DF02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0282"/>
  </w:style>
  <w:style w:type="paragraph" w:styleId="Footer">
    <w:name w:val="footer"/>
    <w:basedOn w:val="Normal"/>
    <w:link w:val="FooterChar"/>
    <w:uiPriority w:val="99"/>
    <w:unhideWhenUsed/>
    <w:rsid w:val="00DF02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0282"/>
  </w:style>
  <w:style w:type="character" w:styleId="UnresolvedMention">
    <w:name w:val="Unresolved Mention"/>
    <w:basedOn w:val="DefaultParagraphFont"/>
    <w:uiPriority w:val="99"/>
    <w:semiHidden/>
    <w:unhideWhenUsed/>
    <w:rsid w:val="00C867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27000">
      <w:bodyDiv w:val="1"/>
      <w:marLeft w:val="0"/>
      <w:marRight w:val="0"/>
      <w:marTop w:val="0"/>
      <w:marBottom w:val="0"/>
      <w:divBdr>
        <w:top w:val="none" w:sz="0" w:space="0" w:color="auto"/>
        <w:left w:val="none" w:sz="0" w:space="0" w:color="auto"/>
        <w:bottom w:val="none" w:sz="0" w:space="0" w:color="auto"/>
        <w:right w:val="none" w:sz="0" w:space="0" w:color="auto"/>
      </w:divBdr>
    </w:div>
    <w:div w:id="6289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Cameron@lthtr.nhs.uk" TargetMode="External"/><Relationship Id="rId3" Type="http://schemas.openxmlformats.org/officeDocument/2006/relationships/webSettings" Target="webSettings.xml"/><Relationship Id="rId7" Type="http://schemas.openxmlformats.org/officeDocument/2006/relationships/hyperlink" Target="mailto:Dennis.Hadjiyiannakis@lthtr.nhs.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Rosalind.Szurko@lthtr.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493</Words>
  <Characters>2816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Lancashire Teaching Hospitals</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Ritchie Nichola (LTHTR)</dc:creator>
  <cp:lastModifiedBy>Cameron David (LTHTR)</cp:lastModifiedBy>
  <cp:revision>2</cp:revision>
  <dcterms:created xsi:type="dcterms:W3CDTF">2023-12-18T11:38:00Z</dcterms:created>
  <dcterms:modified xsi:type="dcterms:W3CDTF">2023-12-18T11:38:00Z</dcterms:modified>
</cp:coreProperties>
</file>