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Y="-863"/>
        <w:tblW w:w="0" w:type="auto"/>
        <w:tblLook w:val="04A0" w:firstRow="1" w:lastRow="0" w:firstColumn="1" w:lastColumn="0" w:noHBand="0" w:noVBand="1"/>
      </w:tblPr>
      <w:tblGrid>
        <w:gridCol w:w="5854"/>
      </w:tblGrid>
      <w:tr w:rsidR="00EA186F" w14:paraId="15212B5D" w14:textId="77777777" w:rsidTr="00EA186F">
        <w:tc>
          <w:tcPr>
            <w:tcW w:w="5854" w:type="dxa"/>
          </w:tcPr>
          <w:p w14:paraId="2F68DFA6" w14:textId="77777777" w:rsidR="00EA186F" w:rsidRPr="00EA186F" w:rsidRDefault="00EA186F" w:rsidP="00EA186F">
            <w:pPr>
              <w:jc w:val="center"/>
              <w:rPr>
                <w:b/>
                <w:sz w:val="32"/>
                <w:szCs w:val="32"/>
              </w:rPr>
            </w:pPr>
            <w:r w:rsidRPr="00EA186F">
              <w:rPr>
                <w:b/>
                <w:sz w:val="32"/>
                <w:szCs w:val="32"/>
              </w:rPr>
              <w:t>Clinical Trials Summary for out of hours</w:t>
            </w:r>
          </w:p>
          <w:p w14:paraId="6558A790" w14:textId="77777777" w:rsidR="00EA186F" w:rsidRDefault="00EA186F" w:rsidP="00EA186F">
            <w:pPr>
              <w:jc w:val="center"/>
              <w:rPr>
                <w:b/>
              </w:rPr>
            </w:pPr>
            <w:r w:rsidRPr="00EA186F">
              <w:rPr>
                <w:b/>
                <w:sz w:val="32"/>
                <w:szCs w:val="32"/>
              </w:rPr>
              <w:t>Important Reference</w:t>
            </w:r>
          </w:p>
        </w:tc>
      </w:tr>
    </w:tbl>
    <w:p w14:paraId="34893F6A" w14:textId="77777777" w:rsidR="00EA186F" w:rsidRPr="00EA186F" w:rsidRDefault="00EA186F">
      <w:pPr>
        <w:rPr>
          <w:b/>
        </w:rPr>
      </w:pPr>
      <w:r w:rsidRPr="00EA186F">
        <w:rPr>
          <w:b/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1637A1BB" wp14:editId="6F4431D6">
            <wp:simplePos x="0" y="0"/>
            <wp:positionH relativeFrom="column">
              <wp:posOffset>4841875</wp:posOffset>
            </wp:positionH>
            <wp:positionV relativeFrom="paragraph">
              <wp:posOffset>-715645</wp:posOffset>
            </wp:positionV>
            <wp:extent cx="1454785" cy="77089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thtr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785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186F">
        <w:rPr>
          <w:b/>
        </w:rPr>
        <w:t xml:space="preserve"> </w:t>
      </w:r>
    </w:p>
    <w:p w14:paraId="10529AEE" w14:textId="77777777" w:rsidR="00C85C94" w:rsidRDefault="00C85C94">
      <w:pPr>
        <w:rPr>
          <w:b/>
        </w:rPr>
      </w:pPr>
    </w:p>
    <w:tbl>
      <w:tblPr>
        <w:tblStyle w:val="TableGrid"/>
        <w:tblpPr w:leftFromText="180" w:rightFromText="180" w:vertAnchor="text" w:horzAnchor="margin" w:tblpY="49"/>
        <w:tblW w:w="0" w:type="auto"/>
        <w:tblLook w:val="04A0" w:firstRow="1" w:lastRow="0" w:firstColumn="1" w:lastColumn="0" w:noHBand="0" w:noVBand="1"/>
      </w:tblPr>
      <w:tblGrid>
        <w:gridCol w:w="2205"/>
        <w:gridCol w:w="6811"/>
      </w:tblGrid>
      <w:tr w:rsidR="00CC0EB0" w:rsidRPr="006A4FDC" w14:paraId="3CD19ED3" w14:textId="77777777" w:rsidTr="00EA186F">
        <w:tc>
          <w:tcPr>
            <w:tcW w:w="2235" w:type="dxa"/>
          </w:tcPr>
          <w:p w14:paraId="4C0E52A2" w14:textId="77777777" w:rsidR="00CC0EB0" w:rsidRPr="006A4FDC" w:rsidRDefault="00CC0EB0" w:rsidP="00CC0EB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A4FDC">
              <w:rPr>
                <w:rFonts w:ascii="Arial" w:hAnsi="Arial" w:cs="Arial"/>
                <w:b/>
                <w:sz w:val="24"/>
                <w:szCs w:val="24"/>
              </w:rPr>
              <w:t>Acronym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study title</w:t>
            </w:r>
          </w:p>
        </w:tc>
        <w:tc>
          <w:tcPr>
            <w:tcW w:w="7007" w:type="dxa"/>
          </w:tcPr>
          <w:p w14:paraId="7A57E392" w14:textId="18C253AC" w:rsidR="00CC0EB0" w:rsidRPr="00CC0EB0" w:rsidRDefault="00CC0EB0" w:rsidP="00CC0EB0">
            <w:pPr>
              <w:autoSpaceDE w:val="0"/>
              <w:autoSpaceDN w:val="0"/>
              <w:adjustRightInd w:val="0"/>
              <w:rPr>
                <w:b/>
                <w:bCs/>
                <w:color w:val="0070C0"/>
              </w:rPr>
            </w:pPr>
            <w:r w:rsidRPr="00CC0EB0">
              <w:rPr>
                <w:b/>
                <w:bCs/>
                <w:color w:val="0070C0"/>
              </w:rPr>
              <w:t>WO43919 - INAVO121 in HR+ Metastatic Breast Cancer</w:t>
            </w:r>
          </w:p>
          <w:p w14:paraId="5ECB6AEB" w14:textId="1450C9BC" w:rsidR="00CC0EB0" w:rsidRPr="006A4FDC" w:rsidRDefault="00CC0EB0" w:rsidP="00CC0EB0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5A73DB">
              <w:rPr>
                <w:color w:val="0070C0"/>
              </w:rPr>
              <w:t>A PHASE III, MULTICENTER, RANDOMIZED, OPEN-LABEL STUDY EVALUATING THE EFFICACY AND SAFETY OF INAVOLISIB PLUS FULVESTRANT VERSUS ALPELISIB PLUS FULVESTRANT IN PATIENTS WITH HORMONE RECEPTORPOSITIVE, HER2-NEGATIVE, PIK3CA MUTATED, LOCALLY ADVANCED OR METASTATIC BREAST CANCER WHO PROGRESSED DURING OR AFTER CDK4/6 INHIBITOR AND ENDOCRINE COMBINATION THERAPY</w:t>
            </w:r>
          </w:p>
        </w:tc>
      </w:tr>
      <w:tr w:rsidR="00CC0EB0" w:rsidRPr="006A4FDC" w14:paraId="5ACB0A59" w14:textId="77777777" w:rsidTr="00EA186F">
        <w:tc>
          <w:tcPr>
            <w:tcW w:w="2235" w:type="dxa"/>
          </w:tcPr>
          <w:p w14:paraId="50C6DC3E" w14:textId="77777777" w:rsidR="00CC0EB0" w:rsidRPr="006A4FDC" w:rsidRDefault="00CC0EB0" w:rsidP="00CC0EB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A4FDC">
              <w:rPr>
                <w:rFonts w:ascii="Arial" w:hAnsi="Arial" w:cs="Arial"/>
                <w:b/>
                <w:sz w:val="24"/>
                <w:szCs w:val="24"/>
              </w:rPr>
              <w:t>Study Details</w:t>
            </w:r>
          </w:p>
        </w:tc>
        <w:tc>
          <w:tcPr>
            <w:tcW w:w="7007" w:type="dxa"/>
          </w:tcPr>
          <w:p w14:paraId="411B6997" w14:textId="77777777" w:rsidR="00CC0EB0" w:rsidRPr="00567DF8" w:rsidRDefault="00CC0EB0" w:rsidP="00CC0EB0">
            <w:pPr>
              <w:rPr>
                <w:rFonts w:ascii="Arial" w:hAnsi="Arial" w:cs="Arial"/>
                <w:color w:val="0070C0"/>
                <w:sz w:val="18"/>
              </w:rPr>
            </w:pPr>
            <w:r w:rsidRPr="00567DF8">
              <w:rPr>
                <w:color w:val="0070C0"/>
              </w:rPr>
              <w:t xml:space="preserve">Study WO43919 is a Phase III, </w:t>
            </w:r>
            <w:proofErr w:type="spellStart"/>
            <w:r w:rsidRPr="00567DF8">
              <w:rPr>
                <w:color w:val="0070C0"/>
              </w:rPr>
              <w:t>multicenter</w:t>
            </w:r>
            <w:proofErr w:type="spellEnd"/>
            <w:r w:rsidRPr="00567DF8">
              <w:rPr>
                <w:color w:val="0070C0"/>
              </w:rPr>
              <w:t xml:space="preserve">, randomized, open-label, global study designed to evaluate the efficacy and safety of </w:t>
            </w:r>
            <w:proofErr w:type="spellStart"/>
            <w:r w:rsidRPr="00567DF8">
              <w:rPr>
                <w:color w:val="0070C0"/>
              </w:rPr>
              <w:t>inavolisib</w:t>
            </w:r>
            <w:proofErr w:type="spellEnd"/>
            <w:r w:rsidRPr="00567DF8">
              <w:rPr>
                <w:color w:val="0070C0"/>
              </w:rPr>
              <w:t xml:space="preserve"> plus </w:t>
            </w:r>
            <w:proofErr w:type="spellStart"/>
            <w:r w:rsidRPr="00567DF8">
              <w:rPr>
                <w:color w:val="0070C0"/>
              </w:rPr>
              <w:t>fulvestrant</w:t>
            </w:r>
            <w:proofErr w:type="spellEnd"/>
            <w:r w:rsidRPr="00567DF8">
              <w:rPr>
                <w:color w:val="0070C0"/>
              </w:rPr>
              <w:t xml:space="preserve"> compared with </w:t>
            </w:r>
            <w:proofErr w:type="spellStart"/>
            <w:r w:rsidRPr="00567DF8">
              <w:rPr>
                <w:color w:val="0070C0"/>
              </w:rPr>
              <w:t>alpelisib</w:t>
            </w:r>
            <w:proofErr w:type="spellEnd"/>
            <w:r w:rsidRPr="00567DF8">
              <w:rPr>
                <w:color w:val="0070C0"/>
              </w:rPr>
              <w:t xml:space="preserve"> plus </w:t>
            </w:r>
            <w:proofErr w:type="spellStart"/>
            <w:r w:rsidRPr="00567DF8">
              <w:rPr>
                <w:color w:val="0070C0"/>
              </w:rPr>
              <w:t>fulvestrant</w:t>
            </w:r>
            <w:proofErr w:type="spellEnd"/>
            <w:r w:rsidRPr="00567DF8">
              <w:rPr>
                <w:color w:val="0070C0"/>
              </w:rPr>
              <w:t xml:space="preserve"> in patients with hormone receptor (HR)-positive, human epidermal growth factor receptor 2 (HER2) -negative, PIK3CAmutated, locally advanced (LA) or metastatic breast cancer (</w:t>
            </w:r>
            <w:proofErr w:type="spellStart"/>
            <w:r w:rsidRPr="00567DF8">
              <w:rPr>
                <w:color w:val="0070C0"/>
              </w:rPr>
              <w:t>mBC</w:t>
            </w:r>
            <w:proofErr w:type="spellEnd"/>
            <w:r w:rsidRPr="00567DF8">
              <w:rPr>
                <w:color w:val="0070C0"/>
              </w:rPr>
              <w:t>), who progressed during or after CDK4/6i</w:t>
            </w:r>
            <w:r w:rsidRPr="00567DF8">
              <w:rPr>
                <w:color w:val="0070C0"/>
              </w:rPr>
              <w:noBreakHyphen/>
              <w:t>based therapy.</w:t>
            </w:r>
          </w:p>
          <w:p w14:paraId="53AE97E7" w14:textId="77777777" w:rsidR="00CC0EB0" w:rsidRPr="00567DF8" w:rsidRDefault="00CC0EB0" w:rsidP="00CC0EB0">
            <w:pPr>
              <w:rPr>
                <w:rFonts w:ascii="Arial" w:hAnsi="Arial" w:cs="Arial"/>
                <w:color w:val="0070C0"/>
                <w:sz w:val="18"/>
              </w:rPr>
            </w:pPr>
          </w:p>
          <w:p w14:paraId="6C064EC9" w14:textId="77777777" w:rsidR="00CC0EB0" w:rsidRPr="00567DF8" w:rsidRDefault="00CC0EB0" w:rsidP="00CC0EB0">
            <w:pPr>
              <w:rPr>
                <w:rFonts w:ascii="Arial" w:hAnsi="Arial" w:cs="Arial"/>
                <w:color w:val="0070C0"/>
                <w:sz w:val="18"/>
              </w:rPr>
            </w:pPr>
          </w:p>
          <w:p w14:paraId="49095501" w14:textId="77777777" w:rsidR="00CC0EB0" w:rsidRPr="00567DF8" w:rsidRDefault="00CC0EB0" w:rsidP="00CC0EB0">
            <w:pPr>
              <w:rPr>
                <w:rFonts w:ascii="Arial" w:hAnsi="Arial" w:cs="Arial"/>
                <w:color w:val="0070C0"/>
                <w:sz w:val="18"/>
              </w:rPr>
            </w:pPr>
            <w:r w:rsidRPr="00567DF8">
              <w:rPr>
                <w:color w:val="0070C0"/>
              </w:rPr>
              <w:t xml:space="preserve">Open label study </w:t>
            </w:r>
          </w:p>
          <w:p w14:paraId="060ED511" w14:textId="77777777" w:rsidR="00CC0EB0" w:rsidRDefault="00CC0EB0" w:rsidP="00CC0EB0">
            <w:pPr>
              <w:rPr>
                <w:rFonts w:ascii="Arial" w:hAnsi="Arial" w:cs="Arial"/>
                <w:sz w:val="18"/>
              </w:rPr>
            </w:pPr>
          </w:p>
          <w:p w14:paraId="0210AE84" w14:textId="77777777" w:rsidR="00CC0EB0" w:rsidRPr="00EF5DBF" w:rsidRDefault="00CC0EB0" w:rsidP="00CC0EB0">
            <w:pPr>
              <w:rPr>
                <w:rFonts w:ascii="Arial" w:hAnsi="Arial" w:cs="Arial"/>
                <w:color w:val="0070C0"/>
              </w:rPr>
            </w:pPr>
            <w:proofErr w:type="spellStart"/>
            <w:r w:rsidRPr="00EF5DBF">
              <w:rPr>
                <w:b/>
                <w:bCs/>
                <w:color w:val="0070C0"/>
              </w:rPr>
              <w:t>Inavolisib</w:t>
            </w:r>
            <w:proofErr w:type="spellEnd"/>
            <w:r w:rsidRPr="00EF5DBF">
              <w:rPr>
                <w:b/>
                <w:bCs/>
                <w:color w:val="0070C0"/>
              </w:rPr>
              <w:t xml:space="preserve"> </w:t>
            </w:r>
            <w:r w:rsidRPr="00EF5DBF">
              <w:rPr>
                <w:color w:val="0070C0"/>
              </w:rPr>
              <w:t>3mg or 9mg immediate-release tablet</w:t>
            </w:r>
          </w:p>
          <w:p w14:paraId="5503C06A" w14:textId="77777777" w:rsidR="00CC0EB0" w:rsidRDefault="00CC0EB0" w:rsidP="00CC0EB0">
            <w:pPr>
              <w:rPr>
                <w:color w:val="0070C0"/>
              </w:rPr>
            </w:pPr>
            <w:r w:rsidRPr="00EF5DBF">
              <w:rPr>
                <w:color w:val="0070C0"/>
              </w:rPr>
              <w:t xml:space="preserve">Oral 9mg OD, dose may be reduced up to two times if required due to intolerable side effects, full details are given in the </w:t>
            </w:r>
            <w:proofErr w:type="gramStart"/>
            <w:r w:rsidRPr="00EF5DBF">
              <w:rPr>
                <w:color w:val="0070C0"/>
              </w:rPr>
              <w:t>protocol</w:t>
            </w:r>
            <w:r>
              <w:rPr>
                <w:color w:val="0070C0"/>
              </w:rPr>
              <w:t xml:space="preserve">  </w:t>
            </w:r>
            <w:r w:rsidRPr="00EF5DBF">
              <w:rPr>
                <w:color w:val="FF0000"/>
              </w:rPr>
              <w:t>Unlicensed</w:t>
            </w:r>
            <w:proofErr w:type="gramEnd"/>
          </w:p>
          <w:p w14:paraId="2ECA9E0E" w14:textId="77777777" w:rsidR="00CC0EB0" w:rsidRDefault="00CC0EB0" w:rsidP="00CC0EB0">
            <w:pPr>
              <w:rPr>
                <w:b/>
                <w:sz w:val="24"/>
                <w:szCs w:val="24"/>
              </w:rPr>
            </w:pPr>
          </w:p>
          <w:p w14:paraId="2E1E485E" w14:textId="77777777" w:rsidR="00CC0EB0" w:rsidRPr="006A4FDC" w:rsidRDefault="00CC0EB0" w:rsidP="00CC0EB0">
            <w:pPr>
              <w:rPr>
                <w:b/>
                <w:sz w:val="24"/>
                <w:szCs w:val="24"/>
              </w:rPr>
            </w:pPr>
          </w:p>
        </w:tc>
      </w:tr>
      <w:tr w:rsidR="00CC0EB0" w:rsidRPr="006A4FDC" w14:paraId="208F9008" w14:textId="77777777" w:rsidTr="00EA186F">
        <w:tc>
          <w:tcPr>
            <w:tcW w:w="2235" w:type="dxa"/>
          </w:tcPr>
          <w:p w14:paraId="3A58EE1F" w14:textId="77777777" w:rsidR="00CC0EB0" w:rsidRPr="006A4FDC" w:rsidRDefault="00CC0EB0" w:rsidP="00CC0EB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A4FDC">
              <w:rPr>
                <w:rFonts w:ascii="Arial" w:hAnsi="Arial" w:cs="Arial"/>
                <w:b/>
                <w:sz w:val="24"/>
                <w:szCs w:val="24"/>
              </w:rPr>
              <w:t>Principal Investigator PI</w:t>
            </w:r>
          </w:p>
          <w:p w14:paraId="00B3E36C" w14:textId="77777777" w:rsidR="00CC0EB0" w:rsidRPr="006A4FDC" w:rsidRDefault="00CC0EB0" w:rsidP="00CC0EB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A4FDC">
              <w:rPr>
                <w:rFonts w:ascii="Arial" w:hAnsi="Arial" w:cs="Arial"/>
                <w:b/>
                <w:sz w:val="24"/>
                <w:szCs w:val="24"/>
              </w:rPr>
              <w:t>Sub PI’s</w:t>
            </w:r>
          </w:p>
          <w:p w14:paraId="102856A4" w14:textId="77777777" w:rsidR="00CC0EB0" w:rsidRPr="006A4FDC" w:rsidRDefault="00CC0EB0" w:rsidP="00CC0EB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07" w:type="dxa"/>
          </w:tcPr>
          <w:p w14:paraId="76909217" w14:textId="77777777" w:rsidR="00CC0EB0" w:rsidRPr="00CC0EB0" w:rsidRDefault="00CC0EB0" w:rsidP="00CC0EB0">
            <w:pPr>
              <w:rPr>
                <w:b/>
                <w:color w:val="0070C0"/>
                <w:sz w:val="24"/>
                <w:szCs w:val="24"/>
              </w:rPr>
            </w:pPr>
          </w:p>
          <w:p w14:paraId="5E901725" w14:textId="77777777" w:rsidR="00CC0EB0" w:rsidRPr="00CC0EB0" w:rsidRDefault="00CC0EB0" w:rsidP="00CC0EB0">
            <w:pPr>
              <w:rPr>
                <w:b/>
                <w:color w:val="0070C0"/>
                <w:sz w:val="24"/>
                <w:szCs w:val="24"/>
              </w:rPr>
            </w:pPr>
            <w:r w:rsidRPr="00CC0EB0">
              <w:rPr>
                <w:b/>
                <w:color w:val="0070C0"/>
                <w:sz w:val="24"/>
                <w:szCs w:val="24"/>
              </w:rPr>
              <w:t>Dr Martin Hogg (PI)</w:t>
            </w:r>
          </w:p>
          <w:p w14:paraId="234170C2" w14:textId="1D86908C" w:rsidR="00CC0EB0" w:rsidRPr="00CC0EB0" w:rsidRDefault="00CC0EB0" w:rsidP="00CC0EB0">
            <w:pPr>
              <w:rPr>
                <w:b/>
                <w:color w:val="0070C0"/>
                <w:sz w:val="24"/>
                <w:szCs w:val="24"/>
              </w:rPr>
            </w:pPr>
            <w:r w:rsidRPr="00CC0EB0">
              <w:rPr>
                <w:b/>
                <w:color w:val="0070C0"/>
                <w:sz w:val="24"/>
                <w:szCs w:val="24"/>
              </w:rPr>
              <w:t>Dr Elaine Young (Sub-I)</w:t>
            </w:r>
          </w:p>
        </w:tc>
      </w:tr>
      <w:tr w:rsidR="00CC0EB0" w:rsidRPr="006A4FDC" w14:paraId="71A502D2" w14:textId="77777777" w:rsidTr="00EA186F">
        <w:tc>
          <w:tcPr>
            <w:tcW w:w="2235" w:type="dxa"/>
          </w:tcPr>
          <w:p w14:paraId="3E95364F" w14:textId="77777777" w:rsidR="00CC0EB0" w:rsidRPr="006A4FDC" w:rsidRDefault="00CC0EB0" w:rsidP="00CC0EB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A4FDC">
              <w:rPr>
                <w:rFonts w:ascii="Arial" w:hAnsi="Arial" w:cs="Arial"/>
                <w:b/>
                <w:sz w:val="24"/>
                <w:szCs w:val="24"/>
              </w:rPr>
              <w:t>Research Nurse Team</w:t>
            </w:r>
          </w:p>
        </w:tc>
        <w:tc>
          <w:tcPr>
            <w:tcW w:w="7007" w:type="dxa"/>
          </w:tcPr>
          <w:p w14:paraId="7D513F66" w14:textId="77777777" w:rsidR="00CC0EB0" w:rsidRDefault="00CC0EB0" w:rsidP="00CC0EB0">
            <w:pPr>
              <w:rPr>
                <w:b/>
                <w:sz w:val="24"/>
                <w:szCs w:val="24"/>
              </w:rPr>
            </w:pPr>
          </w:p>
          <w:p w14:paraId="30FA2FEE" w14:textId="6EA22995" w:rsidR="00CC0EB0" w:rsidRDefault="00D521CD" w:rsidP="00CC0EB0">
            <w:pPr>
              <w:rPr>
                <w:b/>
                <w:sz w:val="24"/>
                <w:szCs w:val="24"/>
              </w:rPr>
            </w:pPr>
            <w:hyperlink r:id="rId10" w:history="1">
              <w:r w:rsidR="00CC0EB0" w:rsidRPr="005A73DB">
                <w:rPr>
                  <w:rStyle w:val="Hyperlink"/>
                  <w:rFonts w:cs="Calibri"/>
                  <w:color w:val="0070C0"/>
                  <w:lang w:eastAsia="en-GB"/>
                </w:rPr>
                <w:t>Haiyan.Huang@lthtr.nhs.uk</w:t>
              </w:r>
            </w:hyperlink>
            <w:r w:rsidR="00CC0EB0" w:rsidRPr="005A73DB">
              <w:rPr>
                <w:rFonts w:ascii="Arial" w:hAnsi="Arial" w:cs="Arial"/>
                <w:b/>
                <w:color w:val="0070C0"/>
                <w:szCs w:val="20"/>
                <w:u w:val="single"/>
              </w:rPr>
              <w:t xml:space="preserve">          </w:t>
            </w:r>
          </w:p>
          <w:p w14:paraId="090D8B51" w14:textId="77777777" w:rsidR="00CC0EB0" w:rsidRDefault="00CC0EB0" w:rsidP="00CC0EB0">
            <w:pPr>
              <w:rPr>
                <w:b/>
                <w:sz w:val="24"/>
                <w:szCs w:val="24"/>
              </w:rPr>
            </w:pPr>
          </w:p>
          <w:p w14:paraId="67A64B56" w14:textId="77777777" w:rsidR="00CC0EB0" w:rsidRPr="006A4FDC" w:rsidRDefault="00CC0EB0" w:rsidP="00CC0EB0">
            <w:pPr>
              <w:rPr>
                <w:b/>
                <w:sz w:val="24"/>
                <w:szCs w:val="24"/>
              </w:rPr>
            </w:pPr>
          </w:p>
        </w:tc>
      </w:tr>
      <w:tr w:rsidR="00CC0EB0" w:rsidRPr="006A4FDC" w14:paraId="5B724606" w14:textId="77777777" w:rsidTr="00EA186F">
        <w:tc>
          <w:tcPr>
            <w:tcW w:w="2235" w:type="dxa"/>
          </w:tcPr>
          <w:p w14:paraId="626A37A9" w14:textId="77777777" w:rsidR="00CC0EB0" w:rsidRPr="006A4FDC" w:rsidRDefault="00CC0EB0" w:rsidP="00CC0EB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A4FDC">
              <w:rPr>
                <w:rFonts w:ascii="Arial" w:hAnsi="Arial" w:cs="Arial"/>
                <w:b/>
                <w:sz w:val="24"/>
                <w:szCs w:val="24"/>
              </w:rPr>
              <w:t>Drug therapy</w:t>
            </w:r>
          </w:p>
        </w:tc>
        <w:tc>
          <w:tcPr>
            <w:tcW w:w="7007" w:type="dxa"/>
          </w:tcPr>
          <w:p w14:paraId="0E05D55F" w14:textId="77777777" w:rsidR="00CC0EB0" w:rsidRPr="00567DF8" w:rsidRDefault="00CC0EB0" w:rsidP="00CC0EB0">
            <w:pPr>
              <w:rPr>
                <w:rFonts w:ascii="Arial" w:hAnsi="Arial" w:cs="Arial"/>
                <w:color w:val="0070C0"/>
                <w:sz w:val="18"/>
              </w:rPr>
            </w:pPr>
            <w:r w:rsidRPr="00567DF8">
              <w:rPr>
                <w:color w:val="0070C0"/>
              </w:rPr>
              <w:t xml:space="preserve">Study WO43919 is a Phase III, </w:t>
            </w:r>
            <w:proofErr w:type="spellStart"/>
            <w:r w:rsidRPr="00567DF8">
              <w:rPr>
                <w:color w:val="0070C0"/>
              </w:rPr>
              <w:t>multicenter</w:t>
            </w:r>
            <w:proofErr w:type="spellEnd"/>
            <w:r w:rsidRPr="00567DF8">
              <w:rPr>
                <w:color w:val="0070C0"/>
              </w:rPr>
              <w:t xml:space="preserve">, randomized, open-label, global study designed to evaluate the efficacy and safety of </w:t>
            </w:r>
            <w:proofErr w:type="spellStart"/>
            <w:r w:rsidRPr="00567DF8">
              <w:rPr>
                <w:color w:val="0070C0"/>
              </w:rPr>
              <w:t>inavolisib</w:t>
            </w:r>
            <w:proofErr w:type="spellEnd"/>
            <w:r w:rsidRPr="00567DF8">
              <w:rPr>
                <w:color w:val="0070C0"/>
              </w:rPr>
              <w:t xml:space="preserve"> plus </w:t>
            </w:r>
            <w:proofErr w:type="spellStart"/>
            <w:r w:rsidRPr="00567DF8">
              <w:rPr>
                <w:color w:val="0070C0"/>
              </w:rPr>
              <w:t>fulvestrant</w:t>
            </w:r>
            <w:proofErr w:type="spellEnd"/>
            <w:r w:rsidRPr="00567DF8">
              <w:rPr>
                <w:color w:val="0070C0"/>
              </w:rPr>
              <w:t xml:space="preserve"> compared with </w:t>
            </w:r>
            <w:proofErr w:type="spellStart"/>
            <w:r w:rsidRPr="00567DF8">
              <w:rPr>
                <w:color w:val="0070C0"/>
              </w:rPr>
              <w:t>alpelisib</w:t>
            </w:r>
            <w:proofErr w:type="spellEnd"/>
            <w:r w:rsidRPr="00567DF8">
              <w:rPr>
                <w:color w:val="0070C0"/>
              </w:rPr>
              <w:t xml:space="preserve"> plus </w:t>
            </w:r>
            <w:proofErr w:type="spellStart"/>
            <w:r w:rsidRPr="00567DF8">
              <w:rPr>
                <w:color w:val="0070C0"/>
              </w:rPr>
              <w:t>fulvestrant</w:t>
            </w:r>
            <w:proofErr w:type="spellEnd"/>
            <w:r w:rsidRPr="00567DF8">
              <w:rPr>
                <w:color w:val="0070C0"/>
              </w:rPr>
              <w:t xml:space="preserve"> in patients with hormone receptor (HR)-positive, human epidermal growth factor receptor 2 (HER2) -negative, PIK3CAmutated, locally advanced (LA) or metastatic breast cancer (</w:t>
            </w:r>
            <w:proofErr w:type="spellStart"/>
            <w:r w:rsidRPr="00567DF8">
              <w:rPr>
                <w:color w:val="0070C0"/>
              </w:rPr>
              <w:t>mBC</w:t>
            </w:r>
            <w:proofErr w:type="spellEnd"/>
            <w:r w:rsidRPr="00567DF8">
              <w:rPr>
                <w:color w:val="0070C0"/>
              </w:rPr>
              <w:t>), who progressed during or after CDK4/6i</w:t>
            </w:r>
            <w:r w:rsidRPr="00567DF8">
              <w:rPr>
                <w:color w:val="0070C0"/>
              </w:rPr>
              <w:noBreakHyphen/>
              <w:t>based therapy.</w:t>
            </w:r>
          </w:p>
          <w:p w14:paraId="10D74454" w14:textId="77777777" w:rsidR="00CC0EB0" w:rsidRPr="00567DF8" w:rsidRDefault="00CC0EB0" w:rsidP="00CC0EB0">
            <w:pPr>
              <w:rPr>
                <w:rFonts w:ascii="Arial" w:hAnsi="Arial" w:cs="Arial"/>
                <w:color w:val="0070C0"/>
                <w:sz w:val="18"/>
              </w:rPr>
            </w:pPr>
          </w:p>
          <w:p w14:paraId="2D650171" w14:textId="77777777" w:rsidR="00CC0EB0" w:rsidRPr="00567DF8" w:rsidRDefault="00CC0EB0" w:rsidP="00CC0EB0">
            <w:pPr>
              <w:rPr>
                <w:rFonts w:ascii="Arial" w:hAnsi="Arial" w:cs="Arial"/>
                <w:color w:val="0070C0"/>
                <w:sz w:val="18"/>
              </w:rPr>
            </w:pPr>
          </w:p>
          <w:p w14:paraId="16F50500" w14:textId="77777777" w:rsidR="00CC0EB0" w:rsidRPr="00567DF8" w:rsidRDefault="00CC0EB0" w:rsidP="00CC0EB0">
            <w:pPr>
              <w:rPr>
                <w:rFonts w:ascii="Arial" w:hAnsi="Arial" w:cs="Arial"/>
                <w:color w:val="0070C0"/>
                <w:sz w:val="18"/>
              </w:rPr>
            </w:pPr>
            <w:r w:rsidRPr="00567DF8">
              <w:rPr>
                <w:color w:val="0070C0"/>
              </w:rPr>
              <w:t xml:space="preserve">Open label study </w:t>
            </w:r>
          </w:p>
          <w:p w14:paraId="50CD8646" w14:textId="77777777" w:rsidR="00CC0EB0" w:rsidRDefault="00CC0EB0" w:rsidP="00CC0EB0">
            <w:pPr>
              <w:rPr>
                <w:rFonts w:ascii="Arial" w:hAnsi="Arial" w:cs="Arial"/>
                <w:sz w:val="18"/>
              </w:rPr>
            </w:pPr>
          </w:p>
          <w:p w14:paraId="77A50AE3" w14:textId="77777777" w:rsidR="00CC0EB0" w:rsidRPr="00EF5DBF" w:rsidRDefault="00CC0EB0" w:rsidP="00CC0EB0">
            <w:pPr>
              <w:rPr>
                <w:rFonts w:ascii="Arial" w:hAnsi="Arial" w:cs="Arial"/>
                <w:color w:val="0070C0"/>
              </w:rPr>
            </w:pPr>
            <w:proofErr w:type="spellStart"/>
            <w:r w:rsidRPr="00EF5DBF">
              <w:rPr>
                <w:b/>
                <w:bCs/>
                <w:color w:val="0070C0"/>
              </w:rPr>
              <w:t>Inavolisib</w:t>
            </w:r>
            <w:proofErr w:type="spellEnd"/>
            <w:r w:rsidRPr="00EF5DBF">
              <w:rPr>
                <w:b/>
                <w:bCs/>
                <w:color w:val="0070C0"/>
              </w:rPr>
              <w:t xml:space="preserve"> </w:t>
            </w:r>
            <w:r w:rsidRPr="00EF5DBF">
              <w:rPr>
                <w:color w:val="0070C0"/>
              </w:rPr>
              <w:t>3mg or 9mg immediate-release tablet</w:t>
            </w:r>
          </w:p>
          <w:p w14:paraId="119F900B" w14:textId="77777777" w:rsidR="00CC0EB0" w:rsidRDefault="00CC0EB0" w:rsidP="00CC0EB0">
            <w:pPr>
              <w:rPr>
                <w:color w:val="0070C0"/>
              </w:rPr>
            </w:pPr>
            <w:r w:rsidRPr="00EF5DBF">
              <w:rPr>
                <w:color w:val="0070C0"/>
              </w:rPr>
              <w:t xml:space="preserve">Oral 9mg OD, dose may be reduced up to two times if required due to intolerable side effects, full details are given in the </w:t>
            </w:r>
            <w:proofErr w:type="gramStart"/>
            <w:r w:rsidRPr="00EF5DBF">
              <w:rPr>
                <w:color w:val="0070C0"/>
              </w:rPr>
              <w:t>protocol</w:t>
            </w:r>
            <w:r>
              <w:rPr>
                <w:color w:val="0070C0"/>
              </w:rPr>
              <w:t xml:space="preserve">  </w:t>
            </w:r>
            <w:r w:rsidRPr="00EF5DBF">
              <w:rPr>
                <w:color w:val="FF0000"/>
              </w:rPr>
              <w:t>Unlicensed</w:t>
            </w:r>
            <w:proofErr w:type="gramEnd"/>
          </w:p>
          <w:p w14:paraId="123ECB31" w14:textId="77777777" w:rsidR="00CC0EB0" w:rsidRDefault="00CC0EB0" w:rsidP="00CC0EB0">
            <w:pPr>
              <w:rPr>
                <w:color w:val="0070C0"/>
              </w:rPr>
            </w:pPr>
          </w:p>
          <w:p w14:paraId="16133B8F" w14:textId="7779AF16" w:rsidR="00CC0EB0" w:rsidRPr="005A329C" w:rsidRDefault="00CC0EB0" w:rsidP="00CC0EB0">
            <w:pPr>
              <w:rPr>
                <w:color w:val="0070C0"/>
              </w:rPr>
            </w:pPr>
            <w:r w:rsidRPr="005A329C">
              <w:rPr>
                <w:color w:val="0070C0"/>
              </w:rPr>
              <w:t xml:space="preserve">Treatment: </w:t>
            </w:r>
          </w:p>
          <w:p w14:paraId="7AE09BA9" w14:textId="77777777" w:rsidR="00CC0EB0" w:rsidRPr="005A329C" w:rsidRDefault="00CC0EB0" w:rsidP="00CC0EB0">
            <w:pPr>
              <w:rPr>
                <w:color w:val="0070C0"/>
              </w:rPr>
            </w:pPr>
          </w:p>
          <w:p w14:paraId="15C0A3E0" w14:textId="77777777" w:rsidR="00CC0EB0" w:rsidRPr="005A329C" w:rsidRDefault="00CC0EB0" w:rsidP="00CC0EB0">
            <w:pPr>
              <w:rPr>
                <w:color w:val="0070C0"/>
              </w:rPr>
            </w:pPr>
            <w:r w:rsidRPr="005A329C">
              <w:rPr>
                <w:color w:val="0070C0"/>
              </w:rPr>
              <w:lastRenderedPageBreak/>
              <w:t xml:space="preserve">– Experimental: </w:t>
            </w:r>
            <w:proofErr w:type="spellStart"/>
            <w:r w:rsidRPr="005A329C">
              <w:rPr>
                <w:color w:val="0070C0"/>
              </w:rPr>
              <w:t>inavolisib</w:t>
            </w:r>
            <w:proofErr w:type="spellEnd"/>
            <w:r w:rsidRPr="005A329C">
              <w:rPr>
                <w:color w:val="0070C0"/>
              </w:rPr>
              <w:t xml:space="preserve"> plus </w:t>
            </w:r>
            <w:proofErr w:type="spellStart"/>
            <w:r w:rsidRPr="005A329C">
              <w:rPr>
                <w:color w:val="0070C0"/>
              </w:rPr>
              <w:t>fulvestrant</w:t>
            </w:r>
            <w:proofErr w:type="spellEnd"/>
            <w:r w:rsidRPr="005A329C">
              <w:rPr>
                <w:color w:val="0070C0"/>
              </w:rPr>
              <w:t xml:space="preserve">: </w:t>
            </w:r>
            <w:proofErr w:type="spellStart"/>
            <w:r w:rsidRPr="005A329C">
              <w:rPr>
                <w:color w:val="0070C0"/>
              </w:rPr>
              <w:t>inavolisib</w:t>
            </w:r>
            <w:proofErr w:type="spellEnd"/>
            <w:r w:rsidRPr="005A329C">
              <w:rPr>
                <w:color w:val="0070C0"/>
              </w:rPr>
              <w:t xml:space="preserve"> 9 mg tablet taken PO QD on Days 1</w:t>
            </w:r>
            <w:r w:rsidRPr="005A329C">
              <w:rPr>
                <w:color w:val="0070C0"/>
              </w:rPr>
              <w:sym w:font="Symbol" w:char="F02D"/>
            </w:r>
            <w:r w:rsidRPr="005A329C">
              <w:rPr>
                <w:color w:val="0070C0"/>
              </w:rPr>
              <w:t xml:space="preserve">28 of each 28-day cycle, plus </w:t>
            </w:r>
            <w:proofErr w:type="spellStart"/>
            <w:r w:rsidRPr="005A329C">
              <w:rPr>
                <w:color w:val="0070C0"/>
              </w:rPr>
              <w:t>fulvestrant</w:t>
            </w:r>
            <w:proofErr w:type="spellEnd"/>
            <w:r w:rsidRPr="005A329C">
              <w:rPr>
                <w:color w:val="0070C0"/>
              </w:rPr>
              <w:t xml:space="preserve"> 500 mg administered by IM injection on Days 1 and 15 of Cycle 1 and then on Day 1 of each subsequent 28</w:t>
            </w:r>
            <w:r w:rsidRPr="005A329C">
              <w:rPr>
                <w:color w:val="0070C0"/>
              </w:rPr>
              <w:noBreakHyphen/>
              <w:t>day cycle until radiographic progression per BICR</w:t>
            </w:r>
            <w:r w:rsidRPr="005A329C">
              <w:rPr>
                <w:color w:val="0070C0"/>
              </w:rPr>
              <w:noBreakHyphen/>
              <w:t xml:space="preserve">assessed RECIST v1.1, unacceptable toxicity, withdrawal of consent, death, or predefined study end. </w:t>
            </w:r>
          </w:p>
          <w:p w14:paraId="1A5B770F" w14:textId="77777777" w:rsidR="00CC0EB0" w:rsidRPr="005A329C" w:rsidRDefault="00CC0EB0" w:rsidP="00CC0EB0">
            <w:pPr>
              <w:rPr>
                <w:color w:val="0070C0"/>
              </w:rPr>
            </w:pPr>
          </w:p>
          <w:p w14:paraId="5E7536A6" w14:textId="5356E747" w:rsidR="00CC0EB0" w:rsidRDefault="00CC0EB0" w:rsidP="00CC0EB0">
            <w:pPr>
              <w:rPr>
                <w:color w:val="0070C0"/>
              </w:rPr>
            </w:pPr>
            <w:r w:rsidRPr="005A329C">
              <w:rPr>
                <w:color w:val="0070C0"/>
              </w:rPr>
              <w:t xml:space="preserve">– Control: </w:t>
            </w:r>
            <w:proofErr w:type="spellStart"/>
            <w:r w:rsidRPr="005A329C">
              <w:rPr>
                <w:color w:val="0070C0"/>
              </w:rPr>
              <w:t>alpelisib</w:t>
            </w:r>
            <w:proofErr w:type="spellEnd"/>
            <w:r w:rsidRPr="005A329C">
              <w:rPr>
                <w:color w:val="0070C0"/>
              </w:rPr>
              <w:t xml:space="preserve"> plus </w:t>
            </w:r>
            <w:proofErr w:type="spellStart"/>
            <w:r w:rsidRPr="005A329C">
              <w:rPr>
                <w:color w:val="0070C0"/>
              </w:rPr>
              <w:t>fulvestrant</w:t>
            </w:r>
            <w:proofErr w:type="spellEnd"/>
            <w:r w:rsidRPr="005A329C">
              <w:rPr>
                <w:color w:val="0070C0"/>
              </w:rPr>
              <w:t xml:space="preserve">: </w:t>
            </w:r>
            <w:proofErr w:type="spellStart"/>
            <w:r w:rsidRPr="005A329C">
              <w:rPr>
                <w:color w:val="0070C0"/>
              </w:rPr>
              <w:t>alpelisib</w:t>
            </w:r>
            <w:proofErr w:type="spellEnd"/>
            <w:r w:rsidRPr="005A329C">
              <w:rPr>
                <w:color w:val="0070C0"/>
              </w:rPr>
              <w:t xml:space="preserve"> 300 mg (2 </w:t>
            </w:r>
            <w:r w:rsidRPr="005A329C">
              <w:rPr>
                <w:color w:val="0070C0"/>
              </w:rPr>
              <w:sym w:font="Symbol" w:char="F0B4"/>
            </w:r>
            <w:r w:rsidRPr="005A329C">
              <w:rPr>
                <w:color w:val="0070C0"/>
              </w:rPr>
              <w:t xml:space="preserve"> 150 mg tablets) taken PO QD on Days 1</w:t>
            </w:r>
            <w:r w:rsidRPr="005A329C">
              <w:rPr>
                <w:color w:val="0070C0"/>
              </w:rPr>
              <w:sym w:font="Symbol" w:char="F02D"/>
            </w:r>
            <w:r w:rsidRPr="005A329C">
              <w:rPr>
                <w:color w:val="0070C0"/>
              </w:rPr>
              <w:t xml:space="preserve">28 of each 28-day cycle, plus </w:t>
            </w:r>
            <w:proofErr w:type="spellStart"/>
            <w:r w:rsidRPr="005A329C">
              <w:rPr>
                <w:color w:val="0070C0"/>
              </w:rPr>
              <w:t>fulvestrant</w:t>
            </w:r>
            <w:proofErr w:type="spellEnd"/>
            <w:r w:rsidRPr="005A329C">
              <w:rPr>
                <w:color w:val="0070C0"/>
              </w:rPr>
              <w:t xml:space="preserve"> 500 mg administered by IM injection on Days 1 and 15 of Cycle 1 and then on Day 1 of each subsequent 28</w:t>
            </w:r>
            <w:r w:rsidRPr="005A329C">
              <w:rPr>
                <w:color w:val="0070C0"/>
              </w:rPr>
              <w:noBreakHyphen/>
              <w:t>day cycle until radiographic progression per BICR</w:t>
            </w:r>
            <w:r w:rsidRPr="005A329C">
              <w:rPr>
                <w:color w:val="0070C0"/>
              </w:rPr>
              <w:sym w:font="Symbol" w:char="F02D"/>
            </w:r>
            <w:r w:rsidRPr="005A329C">
              <w:rPr>
                <w:color w:val="0070C0"/>
              </w:rPr>
              <w:t>assessed RECIST v1.1, unacceptable toxicity, withdrawal of consent, death, or predefined study end.</w:t>
            </w:r>
          </w:p>
          <w:p w14:paraId="78947E49" w14:textId="77777777" w:rsidR="00201C36" w:rsidRDefault="00201C36" w:rsidP="00CC0EB0">
            <w:pPr>
              <w:rPr>
                <w:rFonts w:ascii="Arial" w:hAnsi="Arial" w:cs="Arial"/>
                <w:color w:val="0070C0"/>
              </w:rPr>
            </w:pPr>
          </w:p>
          <w:p w14:paraId="5028E82D" w14:textId="3F2FF7C0" w:rsidR="00201C36" w:rsidRDefault="00201C36" w:rsidP="00CC0EB0">
            <w:pPr>
              <w:rPr>
                <w:rFonts w:ascii="Arial" w:hAnsi="Arial" w:cs="Arial"/>
                <w:color w:val="0070C0"/>
              </w:rPr>
            </w:pPr>
            <w:r>
              <w:rPr>
                <w:rFonts w:ascii="Arial" w:hAnsi="Arial" w:cs="Arial"/>
                <w:color w:val="0070C0"/>
              </w:rPr>
              <w:t>For AEs and SAEs please refer to the investigator brochure</w:t>
            </w:r>
          </w:p>
          <w:p w14:paraId="72DDC72F" w14:textId="3B98BD15" w:rsidR="00201C36" w:rsidRPr="005A329C" w:rsidRDefault="00201C36" w:rsidP="00CC0EB0">
            <w:pPr>
              <w:rPr>
                <w:rFonts w:ascii="Arial" w:hAnsi="Arial" w:cs="Arial"/>
                <w:color w:val="0070C0"/>
              </w:rPr>
            </w:pPr>
            <w:r>
              <w:rPr>
                <w:rFonts w:ascii="Arial" w:hAnsi="Arial" w:cs="Arial"/>
                <w:color w:val="0070C0"/>
              </w:rPr>
              <w:object w:dxaOrig="1499" w:dyaOrig="981" w14:anchorId="6D9AA73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pt;height:49pt" o:ole="">
                  <v:imagedata r:id="rId11" o:title=""/>
                </v:shape>
                <o:OLEObject Type="Embed" ProgID="AcroExch.Document.DC" ShapeID="_x0000_i1025" DrawAspect="Icon" ObjectID="_1767687819" r:id="rId12"/>
              </w:object>
            </w:r>
          </w:p>
          <w:p w14:paraId="231E460E" w14:textId="77777777" w:rsidR="00CC0EB0" w:rsidRPr="006A4FDC" w:rsidRDefault="00CC0EB0" w:rsidP="00CC0EB0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</w:tr>
      <w:tr w:rsidR="00CC0EB0" w:rsidRPr="006A4FDC" w14:paraId="4EBFC474" w14:textId="77777777" w:rsidTr="00EA186F">
        <w:tc>
          <w:tcPr>
            <w:tcW w:w="2235" w:type="dxa"/>
          </w:tcPr>
          <w:p w14:paraId="49F54432" w14:textId="24286C12" w:rsidR="00CC0EB0" w:rsidRPr="006A4FDC" w:rsidRDefault="00CC0EB0" w:rsidP="00CC0EB0">
            <w:pPr>
              <w:rPr>
                <w:rFonts w:ascii="Arial" w:hAnsi="Arial" w:cs="Arial"/>
                <w:b/>
                <w:sz w:val="24"/>
                <w:szCs w:val="24"/>
              </w:rPr>
            </w:pPr>
            <w:proofErr w:type="gramStart"/>
            <w:r w:rsidRPr="006A4FDC">
              <w:rPr>
                <w:rFonts w:ascii="Arial" w:hAnsi="Arial" w:cs="Arial"/>
                <w:b/>
                <w:sz w:val="24"/>
                <w:szCs w:val="24"/>
              </w:rPr>
              <w:lastRenderedPageBreak/>
              <w:t>In the event that</w:t>
            </w:r>
            <w:proofErr w:type="gramEnd"/>
            <w:r w:rsidRPr="006A4FDC">
              <w:rPr>
                <w:rFonts w:ascii="Arial" w:hAnsi="Arial" w:cs="Arial"/>
                <w:b/>
                <w:sz w:val="24"/>
                <w:szCs w:val="24"/>
              </w:rPr>
              <w:t xml:space="preserve"> a patient calls this hotline for advi</w:t>
            </w:r>
            <w:r>
              <w:rPr>
                <w:rFonts w:ascii="Arial" w:hAnsi="Arial" w:cs="Arial"/>
                <w:b/>
                <w:sz w:val="24"/>
                <w:szCs w:val="24"/>
              </w:rPr>
              <w:t>c</w:t>
            </w:r>
            <w:r w:rsidRPr="006A4FDC"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07" w:type="dxa"/>
          </w:tcPr>
          <w:p w14:paraId="6EB743D6" w14:textId="77777777" w:rsidR="006F0A08" w:rsidRPr="001A201D" w:rsidRDefault="006F0A08" w:rsidP="006F0A08">
            <w:pPr>
              <w:rPr>
                <w:rFonts w:cstheme="minorHAnsi"/>
                <w:color w:val="0070C0"/>
              </w:rPr>
            </w:pPr>
            <w:r w:rsidRPr="001A201D">
              <w:rPr>
                <w:rFonts w:cstheme="minorHAnsi"/>
                <w:color w:val="0070C0"/>
              </w:rPr>
              <w:t>Refer to SoC protocol for additional information regarding SoC treatment.</w:t>
            </w:r>
          </w:p>
          <w:p w14:paraId="07B2541E" w14:textId="30A9046C" w:rsidR="006F0A08" w:rsidRPr="001A201D" w:rsidRDefault="006F0A08" w:rsidP="006F0A08">
            <w:pPr>
              <w:rPr>
                <w:rFonts w:cstheme="minorHAnsi"/>
                <w:color w:val="0070C0"/>
              </w:rPr>
            </w:pPr>
            <w:r w:rsidRPr="001A201D">
              <w:rPr>
                <w:rFonts w:cstheme="minorHAnsi"/>
                <w:color w:val="0070C0"/>
              </w:rPr>
              <w:t xml:space="preserve">Advise patient to seek medical assistance via nearest available healthcare provider depending upon severity of symptoms. </w:t>
            </w:r>
            <w:r w:rsidRPr="001A201D">
              <w:rPr>
                <w:rFonts w:cstheme="minorHAnsi"/>
                <w:color w:val="0070C0"/>
              </w:rPr>
              <w:br/>
              <w:t>Advise patient to keep all relevant trial paperwork with them for review by treating clinician.</w:t>
            </w:r>
          </w:p>
          <w:p w14:paraId="5F51C19D" w14:textId="77777777" w:rsidR="006F0A08" w:rsidRPr="001A201D" w:rsidRDefault="006F0A08" w:rsidP="006F0A08">
            <w:pPr>
              <w:rPr>
                <w:rFonts w:cstheme="minorHAnsi"/>
                <w:color w:val="0070C0"/>
              </w:rPr>
            </w:pPr>
            <w:r w:rsidRPr="001A201D">
              <w:rPr>
                <w:rFonts w:cstheme="minorHAnsi"/>
                <w:color w:val="0070C0"/>
              </w:rPr>
              <w:t>Patients requiring admission may be reviewed by the on-call Oncology SpR/Consultant.</w:t>
            </w:r>
          </w:p>
          <w:p w14:paraId="704861CC" w14:textId="77777777" w:rsidR="001A201D" w:rsidRPr="001A201D" w:rsidRDefault="001A201D" w:rsidP="006F0A08">
            <w:pPr>
              <w:rPr>
                <w:rFonts w:cstheme="minorHAnsi"/>
                <w:color w:val="0070C0"/>
              </w:rPr>
            </w:pPr>
          </w:p>
          <w:p w14:paraId="2579A989" w14:textId="07EB7DDE" w:rsidR="001A201D" w:rsidRPr="001A201D" w:rsidRDefault="006F0A08" w:rsidP="006F0A08">
            <w:pPr>
              <w:rPr>
                <w:rFonts w:cstheme="minorHAnsi"/>
                <w:color w:val="0070C0"/>
              </w:rPr>
            </w:pPr>
            <w:r w:rsidRPr="001A201D">
              <w:rPr>
                <w:rFonts w:cstheme="minorHAnsi"/>
                <w:color w:val="0070C0"/>
              </w:rPr>
              <w:t>Day time contact number</w:t>
            </w:r>
            <w:r w:rsidR="001A201D" w:rsidRPr="001A201D">
              <w:rPr>
                <w:rFonts w:cstheme="minorHAnsi"/>
                <w:color w:val="0070C0"/>
              </w:rPr>
              <w:t>:</w:t>
            </w:r>
          </w:p>
          <w:p w14:paraId="3E76D18B" w14:textId="77777777" w:rsidR="001A201D" w:rsidRPr="001A201D" w:rsidRDefault="001A201D" w:rsidP="006F0A08">
            <w:pPr>
              <w:rPr>
                <w:rFonts w:cstheme="minorHAnsi"/>
                <w:color w:val="0070C0"/>
              </w:rPr>
            </w:pPr>
          </w:p>
          <w:p w14:paraId="36D36CBC" w14:textId="6D4DC473" w:rsidR="001A201D" w:rsidRPr="001A201D" w:rsidRDefault="001A201D" w:rsidP="006F0A08">
            <w:pPr>
              <w:rPr>
                <w:rFonts w:cstheme="minorHAnsi"/>
                <w:color w:val="0070C0"/>
              </w:rPr>
            </w:pPr>
            <w:r w:rsidRPr="001A201D">
              <w:rPr>
                <w:rFonts w:cstheme="minorHAnsi"/>
                <w:color w:val="0070C0"/>
              </w:rPr>
              <w:t>Principal Investigator:</w:t>
            </w:r>
          </w:p>
          <w:p w14:paraId="07B0D7D5" w14:textId="1CCE71EC" w:rsidR="001A201D" w:rsidRPr="001A201D" w:rsidRDefault="00D521CD" w:rsidP="006F0A08">
            <w:pPr>
              <w:rPr>
                <w:rFonts w:cstheme="minorHAnsi"/>
                <w:color w:val="0070C0"/>
              </w:rPr>
            </w:pPr>
            <w:hyperlink r:id="rId13" w:history="1">
              <w:r w:rsidR="001A201D" w:rsidRPr="001A201D">
                <w:rPr>
                  <w:rStyle w:val="Hyperlink"/>
                  <w:rFonts w:cstheme="minorHAnsi"/>
                  <w:color w:val="0070C0"/>
                </w:rPr>
                <w:t>Martin.hogg@lthtr.nhs.uk</w:t>
              </w:r>
            </w:hyperlink>
          </w:p>
          <w:p w14:paraId="1A53D797" w14:textId="77777777" w:rsidR="001A201D" w:rsidRPr="001A201D" w:rsidRDefault="001A201D" w:rsidP="006F0A08">
            <w:pPr>
              <w:rPr>
                <w:rFonts w:cstheme="minorHAnsi"/>
                <w:color w:val="0070C0"/>
              </w:rPr>
            </w:pPr>
          </w:p>
          <w:p w14:paraId="68AA4DD4" w14:textId="3EF310CE" w:rsidR="001A201D" w:rsidRPr="001A201D" w:rsidRDefault="001A201D" w:rsidP="006F0A08">
            <w:pPr>
              <w:rPr>
                <w:rFonts w:cstheme="minorHAnsi"/>
                <w:b/>
                <w:color w:val="0070C0"/>
              </w:rPr>
            </w:pPr>
            <w:r w:rsidRPr="001A201D">
              <w:rPr>
                <w:rFonts w:cstheme="minorHAnsi"/>
                <w:b/>
                <w:color w:val="0070C0"/>
              </w:rPr>
              <w:t>Tel: 01772 522699</w:t>
            </w:r>
          </w:p>
          <w:p w14:paraId="486D7609" w14:textId="77777777" w:rsidR="001A201D" w:rsidRPr="001A201D" w:rsidRDefault="001A201D" w:rsidP="006F0A08">
            <w:pPr>
              <w:rPr>
                <w:rFonts w:cstheme="minorHAnsi"/>
                <w:color w:val="0070C0"/>
              </w:rPr>
            </w:pPr>
          </w:p>
          <w:p w14:paraId="577245FF" w14:textId="77777777" w:rsidR="001A201D" w:rsidRPr="001A201D" w:rsidRDefault="001A201D" w:rsidP="006F0A08">
            <w:pPr>
              <w:rPr>
                <w:rFonts w:cstheme="minorHAnsi"/>
                <w:color w:val="0070C0"/>
              </w:rPr>
            </w:pPr>
            <w:r w:rsidRPr="001A201D">
              <w:rPr>
                <w:rFonts w:cstheme="minorHAnsi"/>
                <w:color w:val="0070C0"/>
              </w:rPr>
              <w:t xml:space="preserve">Research Nurse:   </w:t>
            </w:r>
          </w:p>
          <w:p w14:paraId="1147DBE9" w14:textId="01683ADD" w:rsidR="001A201D" w:rsidRPr="001A201D" w:rsidRDefault="00D521CD" w:rsidP="006F0A08">
            <w:pPr>
              <w:rPr>
                <w:rFonts w:cstheme="minorHAnsi"/>
                <w:color w:val="0070C0"/>
              </w:rPr>
            </w:pPr>
            <w:hyperlink r:id="rId14" w:history="1">
              <w:r w:rsidR="001A201D" w:rsidRPr="001A201D">
                <w:rPr>
                  <w:rStyle w:val="Hyperlink"/>
                  <w:rFonts w:eastAsia="Times New Roman" w:cstheme="minorHAnsi"/>
                  <w:color w:val="0070C0"/>
                  <w:lang w:eastAsia="en-GB"/>
                </w:rPr>
                <w:t>Haiyan.Huang@lthtr.nhs.uk</w:t>
              </w:r>
            </w:hyperlink>
          </w:p>
          <w:p w14:paraId="35DABAB1" w14:textId="6AE0A8F8" w:rsidR="001A201D" w:rsidRPr="001A201D" w:rsidRDefault="00D521CD" w:rsidP="006F0A08">
            <w:pPr>
              <w:rPr>
                <w:rFonts w:cstheme="minorHAnsi"/>
                <w:color w:val="0070C0"/>
              </w:rPr>
            </w:pPr>
            <w:hyperlink r:id="rId15" w:history="1">
              <w:r w:rsidR="001A201D" w:rsidRPr="001A201D">
                <w:rPr>
                  <w:rStyle w:val="Hyperlink"/>
                  <w:rFonts w:cstheme="minorHAnsi"/>
                  <w:color w:val="0070C0"/>
                </w:rPr>
                <w:t>Tel:01772</w:t>
              </w:r>
            </w:hyperlink>
            <w:r w:rsidR="001A201D" w:rsidRPr="001A201D">
              <w:rPr>
                <w:rFonts w:cstheme="minorHAnsi"/>
                <w:color w:val="0070C0"/>
              </w:rPr>
              <w:t xml:space="preserve"> 524656</w:t>
            </w:r>
          </w:p>
          <w:p w14:paraId="5F62182A" w14:textId="77777777" w:rsidR="001A201D" w:rsidRPr="001A201D" w:rsidRDefault="006F0A08" w:rsidP="006F0A08">
            <w:pPr>
              <w:rPr>
                <w:rFonts w:cstheme="minorHAnsi"/>
                <w:color w:val="0070C0"/>
              </w:rPr>
            </w:pPr>
            <w:r w:rsidRPr="001A201D">
              <w:rPr>
                <w:rFonts w:cstheme="minorHAnsi"/>
                <w:color w:val="0070C0"/>
              </w:rPr>
              <w:br/>
              <w:t xml:space="preserve">If out of hours escalation is required, please alert PI/Co-I on the above </w:t>
            </w:r>
            <w:r w:rsidR="001A201D" w:rsidRPr="001A201D">
              <w:rPr>
                <w:rFonts w:cstheme="minorHAnsi"/>
                <w:color w:val="0070C0"/>
              </w:rPr>
              <w:t>details.</w:t>
            </w:r>
          </w:p>
          <w:p w14:paraId="4218F8BD" w14:textId="77777777" w:rsidR="001A201D" w:rsidRPr="001A201D" w:rsidRDefault="001A201D" w:rsidP="006F0A08">
            <w:pPr>
              <w:rPr>
                <w:rFonts w:cstheme="minorHAnsi"/>
                <w:color w:val="0070C0"/>
              </w:rPr>
            </w:pPr>
          </w:p>
          <w:p w14:paraId="0C1BE902" w14:textId="20A6CA76" w:rsidR="00CC0EB0" w:rsidRPr="001A201D" w:rsidRDefault="006F0A08" w:rsidP="00CC0EB0">
            <w:pPr>
              <w:rPr>
                <w:rFonts w:cstheme="minorHAnsi"/>
                <w:b/>
                <w:color w:val="0070C0"/>
                <w:sz w:val="24"/>
                <w:szCs w:val="24"/>
              </w:rPr>
            </w:pPr>
            <w:r w:rsidRPr="001A201D">
              <w:rPr>
                <w:rFonts w:cstheme="minorHAnsi"/>
                <w:color w:val="0070C0"/>
              </w:rPr>
              <w:t>Treatment interruption/modification may be required.</w:t>
            </w:r>
          </w:p>
          <w:p w14:paraId="25C697F1" w14:textId="77777777" w:rsidR="00CC0EB0" w:rsidRPr="001A201D" w:rsidRDefault="00CC0EB0" w:rsidP="00CC0EB0">
            <w:pPr>
              <w:rPr>
                <w:rFonts w:cstheme="minorHAnsi"/>
                <w:b/>
                <w:color w:val="0070C0"/>
                <w:sz w:val="24"/>
                <w:szCs w:val="24"/>
              </w:rPr>
            </w:pPr>
          </w:p>
        </w:tc>
      </w:tr>
    </w:tbl>
    <w:p w14:paraId="2DE0700E" w14:textId="77777777" w:rsidR="007F7652" w:rsidRPr="00EA186F" w:rsidRDefault="007F7652" w:rsidP="00DF0282">
      <w:pPr>
        <w:tabs>
          <w:tab w:val="left" w:pos="6574"/>
        </w:tabs>
        <w:rPr>
          <w:b/>
          <w:sz w:val="28"/>
          <w:szCs w:val="28"/>
        </w:rPr>
      </w:pPr>
    </w:p>
    <w:sectPr w:rsidR="007F7652" w:rsidRPr="00EA186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C3CF1F" w14:textId="77777777" w:rsidR="00116E3C" w:rsidRDefault="00116E3C" w:rsidP="00DF0282">
      <w:pPr>
        <w:spacing w:after="0" w:line="240" w:lineRule="auto"/>
      </w:pPr>
      <w:r>
        <w:separator/>
      </w:r>
    </w:p>
  </w:endnote>
  <w:endnote w:type="continuationSeparator" w:id="0">
    <w:p w14:paraId="727D199D" w14:textId="77777777" w:rsidR="00116E3C" w:rsidRDefault="00116E3C" w:rsidP="00DF02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38D3B5" w14:textId="77777777" w:rsidR="00116E3C" w:rsidRDefault="00116E3C" w:rsidP="00DF0282">
      <w:pPr>
        <w:spacing w:after="0" w:line="240" w:lineRule="auto"/>
      </w:pPr>
      <w:r>
        <w:separator/>
      </w:r>
    </w:p>
  </w:footnote>
  <w:footnote w:type="continuationSeparator" w:id="0">
    <w:p w14:paraId="48631727" w14:textId="77777777" w:rsidR="00116E3C" w:rsidRDefault="00116E3C" w:rsidP="00DF02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86F"/>
    <w:rsid w:val="000126C2"/>
    <w:rsid w:val="00116E3C"/>
    <w:rsid w:val="0019448C"/>
    <w:rsid w:val="001A201D"/>
    <w:rsid w:val="00201C36"/>
    <w:rsid w:val="00244075"/>
    <w:rsid w:val="00350309"/>
    <w:rsid w:val="003707E6"/>
    <w:rsid w:val="003D1B0F"/>
    <w:rsid w:val="004317AA"/>
    <w:rsid w:val="004C3F1D"/>
    <w:rsid w:val="00543209"/>
    <w:rsid w:val="006A4FDC"/>
    <w:rsid w:val="006F0A08"/>
    <w:rsid w:val="00773A27"/>
    <w:rsid w:val="0077748E"/>
    <w:rsid w:val="007F7652"/>
    <w:rsid w:val="008D3CC8"/>
    <w:rsid w:val="009A0E4A"/>
    <w:rsid w:val="009A6214"/>
    <w:rsid w:val="00C34232"/>
    <w:rsid w:val="00C67E0C"/>
    <w:rsid w:val="00C85C94"/>
    <w:rsid w:val="00CC0EB0"/>
    <w:rsid w:val="00CE3043"/>
    <w:rsid w:val="00D07D6C"/>
    <w:rsid w:val="00D521CD"/>
    <w:rsid w:val="00DA416D"/>
    <w:rsid w:val="00DD3049"/>
    <w:rsid w:val="00DF0282"/>
    <w:rsid w:val="00EA186F"/>
    <w:rsid w:val="00ED0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D528189"/>
  <w15:docId w15:val="{F597415A-3FEA-43F6-950F-10D7161B1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18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186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A18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317A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F02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0282"/>
  </w:style>
  <w:style w:type="paragraph" w:styleId="Footer">
    <w:name w:val="footer"/>
    <w:basedOn w:val="Normal"/>
    <w:link w:val="FooterChar"/>
    <w:uiPriority w:val="99"/>
    <w:unhideWhenUsed/>
    <w:rsid w:val="00DF02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0282"/>
  </w:style>
  <w:style w:type="character" w:styleId="UnresolvedMention">
    <w:name w:val="Unresolved Mention"/>
    <w:basedOn w:val="DefaultParagraphFont"/>
    <w:uiPriority w:val="99"/>
    <w:semiHidden/>
    <w:unhideWhenUsed/>
    <w:rsid w:val="001A20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Martin.hogg@lthtr.nhs.uk" TargetMode="Externa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hyperlink" Target="Tel:01772" TargetMode="External"/><Relationship Id="rId10" Type="http://schemas.openxmlformats.org/officeDocument/2006/relationships/hyperlink" Target="mailto:Haiyan.Huang@lthtr.nhs.uk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mailto:Haiyan.Huang@lthtr.nhs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EC261D1CD874449E2AFF954207B563" ma:contentTypeVersion="11" ma:contentTypeDescription="Create a new document." ma:contentTypeScope="" ma:versionID="39f1ea54373afa98831638f1eb5526bc">
  <xsd:schema xmlns:xsd="http://www.w3.org/2001/XMLSchema" xmlns:xs="http://www.w3.org/2001/XMLSchema" xmlns:p="http://schemas.microsoft.com/office/2006/metadata/properties" xmlns:ns2="d2061287-bd95-4889-bd59-21d8fa3a3222" targetNamespace="http://schemas.microsoft.com/office/2006/metadata/properties" ma:root="true" ma:fieldsID="5d9815024e8435089d92bc0ee52a267e" ns2:_="">
    <xsd:import namespace="d2061287-bd95-4889-bd59-21d8fa3a3222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061287-bd95-4889-bd59-21d8fa3a3222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a2c34cfb-ee1c-43d0-9052-0674e61297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2061287-bd95-4889-bd59-21d8fa3a322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E7206A7-F777-4B07-A3C6-8EBFC02593F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EC7EA3A-D660-4AF8-9211-F93BB3AC29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061287-bd95-4889-bd59-21d8fa3a32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9A1DD18-7F36-49DE-AFF2-83DE9CF7A76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559</Words>
  <Characters>3189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Lancashire Teaching Hospitals</Company>
  <LinksUpToDate>false</LinksUpToDate>
  <CharactersWithSpaces>3741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Ritchie Nichola (LTHTR)</dc:creator>
  <cp:lastModifiedBy>Adams Heather (LTHTR)</cp:lastModifiedBy>
  <cp:revision>2</cp:revision>
  <dcterms:created xsi:type="dcterms:W3CDTF">2024-01-25T11:37:00Z</dcterms:created>
  <dcterms:modified xsi:type="dcterms:W3CDTF">2024-01-25T11:37:00Z</dcterms:modified>
</cp:coreProperties>
</file>