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8A17" w14:textId="77777777" w:rsidR="0038060A" w:rsidRPr="00182B6B" w:rsidRDefault="00AC4670">
      <w:pPr>
        <w:pStyle w:val="Heading1"/>
        <w:rPr>
          <w:rFonts w:asciiTheme="minorHAnsi" w:hAnsiTheme="minorHAnsi" w:cstheme="minorHAnsi"/>
        </w:rPr>
      </w:pPr>
      <w:r w:rsidRPr="00182B6B">
        <w:rPr>
          <w:rFonts w:asciiTheme="minorHAnsi" w:hAnsiTheme="minorHAnsi" w:cstheme="minorHAnsi"/>
        </w:rPr>
        <w:t>Supplementary guidance for completing the Lancashire &amp; South Cumbria ICB Integrated Impact Assessment</w:t>
      </w:r>
    </w:p>
    <w:p w14:paraId="549C7021" w14:textId="77777777" w:rsidR="0038060A" w:rsidRPr="00182B6B" w:rsidRDefault="00AC4670">
      <w:pPr>
        <w:pStyle w:val="Heading2"/>
        <w:rPr>
          <w:rFonts w:asciiTheme="minorHAnsi" w:hAnsiTheme="minorHAnsi" w:cstheme="minorHAnsi"/>
        </w:rPr>
      </w:pPr>
      <w:r w:rsidRPr="00182B6B">
        <w:rPr>
          <w:rFonts w:asciiTheme="minorHAnsi" w:hAnsiTheme="minorHAnsi" w:cstheme="minorHAnsi"/>
        </w:rPr>
        <w:t>1. Purpose and operating principle</w:t>
      </w:r>
    </w:p>
    <w:p w14:paraId="1BD975FD" w14:textId="52F25B12" w:rsidR="00C645A4" w:rsidRDefault="00AC4670">
      <w:pPr>
        <w:rPr>
          <w:rFonts w:cstheme="minorHAnsi"/>
        </w:rPr>
      </w:pPr>
      <w:r w:rsidRPr="00182B6B">
        <w:rPr>
          <w:rFonts w:cstheme="minorHAnsi"/>
        </w:rPr>
        <w:t xml:space="preserve">This supplementary guidance should sit alongside the uploaded </w:t>
      </w:r>
      <w:r w:rsidR="00C66DED" w:rsidRPr="007150CD">
        <w:rPr>
          <w:rFonts w:cstheme="minorHAnsi"/>
        </w:rPr>
        <w:t>Integrated Impact Assessment</w:t>
      </w:r>
      <w:r w:rsidR="00C66DED">
        <w:rPr>
          <w:rFonts w:cstheme="minorHAnsi"/>
        </w:rPr>
        <w:t xml:space="preserve">. </w:t>
      </w:r>
      <w:r w:rsidRPr="00182B6B">
        <w:rPr>
          <w:rFonts w:cstheme="minorHAnsi"/>
        </w:rPr>
        <w:t xml:space="preserve"> The template requires a scheme overview, stakeholder involvement, impact classification as </w:t>
      </w:r>
      <w:r w:rsidRPr="00182B6B">
        <w:rPr>
          <w:rFonts w:cstheme="minorHAnsi"/>
          <w:b/>
          <w:bCs/>
        </w:rPr>
        <w:t>positive / neutral / negative</w:t>
      </w:r>
      <w:r w:rsidRPr="00182B6B">
        <w:rPr>
          <w:rFonts w:cstheme="minorHAnsi"/>
        </w:rPr>
        <w:t xml:space="preserve">, initial and revised risk scoring, evidence, mitigations and review dates across </w:t>
      </w:r>
      <w:r w:rsidRPr="00182B6B">
        <w:rPr>
          <w:rFonts w:cstheme="minorHAnsi"/>
          <w:b/>
          <w:bCs/>
        </w:rPr>
        <w:t>Quality</w:t>
      </w:r>
      <w:r w:rsidRPr="00182B6B">
        <w:rPr>
          <w:rFonts w:cstheme="minorHAnsi"/>
        </w:rPr>
        <w:t xml:space="preserve">, </w:t>
      </w:r>
      <w:r w:rsidRPr="00182B6B">
        <w:rPr>
          <w:rFonts w:cstheme="minorHAnsi"/>
          <w:b/>
          <w:bCs/>
        </w:rPr>
        <w:t>Equality, Diversity &amp; Inclusion</w:t>
      </w:r>
      <w:r w:rsidRPr="00182B6B">
        <w:rPr>
          <w:rFonts w:cstheme="minorHAnsi"/>
        </w:rPr>
        <w:t xml:space="preserve">, </w:t>
      </w:r>
      <w:r w:rsidRPr="00182B6B">
        <w:rPr>
          <w:rFonts w:cstheme="minorHAnsi"/>
          <w:b/>
          <w:bCs/>
        </w:rPr>
        <w:t>Inclusion Health</w:t>
      </w:r>
      <w:r w:rsidRPr="00182B6B">
        <w:rPr>
          <w:rFonts w:cstheme="minorHAnsi"/>
        </w:rPr>
        <w:t xml:space="preserve">, </w:t>
      </w:r>
      <w:r w:rsidRPr="00182B6B">
        <w:rPr>
          <w:rFonts w:cstheme="minorHAnsi"/>
          <w:b/>
          <w:bCs/>
        </w:rPr>
        <w:t>Human Rights</w:t>
      </w:r>
      <w:r w:rsidRPr="00182B6B">
        <w:rPr>
          <w:rFonts w:cstheme="minorHAnsi"/>
        </w:rPr>
        <w:t xml:space="preserve"> and </w:t>
      </w:r>
      <w:r w:rsidRPr="00182B6B">
        <w:rPr>
          <w:rFonts w:cstheme="minorHAnsi"/>
          <w:b/>
          <w:bCs/>
        </w:rPr>
        <w:t>Sustainability</w:t>
      </w:r>
      <w:r w:rsidRPr="00182B6B">
        <w:rPr>
          <w:rFonts w:cstheme="minorHAnsi"/>
        </w:rPr>
        <w:t xml:space="preserve"> domains. </w:t>
      </w:r>
    </w:p>
    <w:p w14:paraId="76FEE8A5" w14:textId="1F3DAB18" w:rsidR="0038060A" w:rsidRPr="00182B6B" w:rsidRDefault="00AC4670">
      <w:pPr>
        <w:rPr>
          <w:rFonts w:cstheme="minorHAnsi"/>
        </w:rPr>
      </w:pPr>
      <w:r w:rsidRPr="00182B6B">
        <w:rPr>
          <w:rFonts w:cstheme="minorHAnsi"/>
        </w:rPr>
        <w:t xml:space="preserve">It should apply to </w:t>
      </w:r>
      <w:r w:rsidRPr="00182B6B">
        <w:rPr>
          <w:rFonts w:cstheme="minorHAnsi"/>
          <w:b/>
          <w:bCs/>
        </w:rPr>
        <w:t>all change proposals</w:t>
      </w:r>
      <w:r w:rsidRPr="00182B6B">
        <w:rPr>
          <w:rFonts w:cstheme="minorHAnsi"/>
        </w:rPr>
        <w:t xml:space="preserve">, including service redesign, commissioning or decommissioning, financial recovery schemes, pathway changes, procurement, policy creation/review and digital/estates changes, with the depth of analysis proportionate to scale, risk and affected populations. </w:t>
      </w:r>
    </w:p>
    <w:p w14:paraId="33973163" w14:textId="77777777" w:rsidR="00C645A4" w:rsidRDefault="00AC4670">
      <w:pPr>
        <w:rPr>
          <w:rFonts w:cstheme="minorHAnsi"/>
        </w:rPr>
      </w:pPr>
      <w:r w:rsidRPr="00182B6B">
        <w:rPr>
          <w:rFonts w:cstheme="minorHAnsi"/>
        </w:rPr>
        <w:t xml:space="preserve">The aim is not to “complete a form”; it is to create a defensible record showing that decision-makers have understood likely impacts, used evidence, engaged affected groups, identified mitigations, and set monitoring arrangements before implementation. </w:t>
      </w:r>
    </w:p>
    <w:p w14:paraId="27D029AB" w14:textId="00901C38" w:rsidR="0038060A" w:rsidRPr="00182B6B" w:rsidRDefault="00AC4670">
      <w:pPr>
        <w:rPr>
          <w:rFonts w:cstheme="minorHAnsi"/>
        </w:rPr>
      </w:pPr>
      <w:r w:rsidRPr="00182B6B">
        <w:rPr>
          <w:rFonts w:cstheme="minorHAnsi"/>
        </w:rPr>
        <w:t xml:space="preserve">NHS England’s 2025 Quality Impact Assessment framework says QIAs should be used for </w:t>
      </w:r>
      <w:r w:rsidRPr="00182B6B">
        <w:rPr>
          <w:rFonts w:cstheme="minorHAnsi"/>
          <w:b/>
          <w:bCs/>
        </w:rPr>
        <w:t>any proposed service change</w:t>
      </w:r>
      <w:r w:rsidRPr="00182B6B">
        <w:rPr>
          <w:rFonts w:cstheme="minorHAnsi"/>
        </w:rPr>
        <w:t xml:space="preserve">, not just financial efficiencies, and should remain live and iterative as proposals develop. GOV.UK PSED guidance also stresses that decision-makers should consider positive, negative and neutral impacts, fill evidence gaps proportionately, record their thinking, and monitor actual outcomes after implementation. </w:t>
      </w:r>
    </w:p>
    <w:p w14:paraId="672A6659" w14:textId="77777777" w:rsidR="0038060A" w:rsidRPr="00182B6B" w:rsidRDefault="0038060A">
      <w:pPr>
        <w:pBdr>
          <w:top w:val="single" w:sz="12" w:space="0" w:color="auto"/>
        </w:pBdr>
        <w:spacing w:after="0"/>
        <w:rPr>
          <w:rFonts w:cstheme="minorHAnsi"/>
        </w:rPr>
      </w:pPr>
    </w:p>
    <w:p w14:paraId="41A4CEE0" w14:textId="77777777" w:rsidR="0038060A" w:rsidRPr="00182B6B" w:rsidRDefault="00AC4670">
      <w:pPr>
        <w:pStyle w:val="Heading2"/>
        <w:rPr>
          <w:rFonts w:asciiTheme="minorHAnsi" w:hAnsiTheme="minorHAnsi" w:cstheme="minorHAnsi"/>
        </w:rPr>
      </w:pPr>
      <w:r w:rsidRPr="00182B6B">
        <w:rPr>
          <w:rFonts w:asciiTheme="minorHAnsi" w:hAnsiTheme="minorHAnsi" w:cstheme="minorHAnsi"/>
        </w:rPr>
        <w:t>2. Recommended assessment methodology</w:t>
      </w:r>
    </w:p>
    <w:p w14:paraId="4396BBD5" w14:textId="588389F9" w:rsidR="00C645A4" w:rsidRDefault="00AC4670">
      <w:pPr>
        <w:rPr>
          <w:rFonts w:cstheme="minorHAnsi"/>
        </w:rPr>
      </w:pPr>
      <w:r w:rsidRPr="00182B6B">
        <w:rPr>
          <w:rFonts w:cstheme="minorHAnsi"/>
        </w:rPr>
        <w:t xml:space="preserve">Use a </w:t>
      </w:r>
      <w:r w:rsidRPr="00182B6B">
        <w:rPr>
          <w:rFonts w:cstheme="minorHAnsi"/>
          <w:b/>
          <w:bCs/>
        </w:rPr>
        <w:t>single consistent method</w:t>
      </w:r>
      <w:r w:rsidRPr="00182B6B">
        <w:rPr>
          <w:rFonts w:cstheme="minorHAnsi"/>
        </w:rPr>
        <w:t xml:space="preserve"> for every IIA, while allowing proportionate completion. The assessment should move </w:t>
      </w:r>
      <w:r w:rsidR="00E35B57" w:rsidRPr="00182B6B">
        <w:rPr>
          <w:rFonts w:cstheme="minorHAnsi"/>
        </w:rPr>
        <w:t>through</w:t>
      </w:r>
      <w:r w:rsidRPr="00182B6B">
        <w:rPr>
          <w:rFonts w:cstheme="minorHAnsi"/>
        </w:rPr>
        <w:t xml:space="preserve"> proposal definition; affected stakeholders; full-domain screening; evidence triangulation; impact classification; risk scoring for negatives; SMART mitigations; governance sign-off; and post-implementation review. </w:t>
      </w:r>
    </w:p>
    <w:p w14:paraId="314EFC28" w14:textId="6A5C3493" w:rsidR="0038060A" w:rsidRPr="00182B6B" w:rsidRDefault="00AC4670">
      <w:pPr>
        <w:rPr>
          <w:rFonts w:cstheme="minorHAnsi"/>
        </w:rPr>
      </w:pPr>
      <w:r w:rsidRPr="00182B6B">
        <w:rPr>
          <w:rFonts w:cstheme="minorHAnsi"/>
        </w:rPr>
        <w:t xml:space="preserve">This reflects the ICB process flow already drafted, which includes identifying the need for assessment, conducting the assessment, cross-functional scrutiny, approval, and monitoring/managing mitigating actions. It also aligns with NHS England’s principles of board oversight, multidisciplinary review, dynamic reassessment, standardised tools and monitoring. </w:t>
      </w:r>
    </w:p>
    <w:p w14:paraId="0A37501D" w14:textId="77777777" w:rsidR="0038060A" w:rsidRPr="00182B6B" w:rsidRDefault="0038060A">
      <w:pPr>
        <w:rPr>
          <w:rFonts w:cstheme="minorHAnsi"/>
        </w:rPr>
      </w:pPr>
    </w:p>
    <w:p w14:paraId="5306013D" w14:textId="77777777" w:rsidR="0038060A" w:rsidRDefault="00AC4670">
      <w:pPr>
        <w:rPr>
          <w:rFonts w:cstheme="minorHAnsi"/>
          <w:i/>
          <w:iCs/>
        </w:rPr>
      </w:pPr>
      <w:r w:rsidRPr="00182B6B">
        <w:rPr>
          <w:rFonts w:cstheme="minorHAnsi"/>
          <w:i/>
          <w:iCs/>
        </w:rPr>
        <w:lastRenderedPageBreak/>
        <w:t>Figure 1: A proportionate IIA workflow showing how every change proposal moves from proposal definition through domain assessment, evidence triangulation, mitigation, governance sign-off and post-implementation review.</w:t>
      </w:r>
    </w:p>
    <w:p w14:paraId="40AF2128" w14:textId="540FB7D3" w:rsidR="00C645A4" w:rsidRPr="00182B6B" w:rsidRDefault="00D946F4" w:rsidP="00D946F4">
      <w:pPr>
        <w:jc w:val="center"/>
        <w:rPr>
          <w:rFonts w:cstheme="minorHAnsi"/>
        </w:rPr>
      </w:pPr>
      <w:r w:rsidRPr="00D946F4">
        <w:rPr>
          <w:rFonts w:cstheme="minorHAnsi"/>
          <w:noProof/>
        </w:rPr>
        <w:drawing>
          <wp:inline distT="0" distB="0" distL="0" distR="0" wp14:anchorId="7A0BED32" wp14:editId="3E14DF8E">
            <wp:extent cx="4352925" cy="3561484"/>
            <wp:effectExtent l="0" t="0" r="0" b="1270"/>
            <wp:docPr id="233831476" name="Picture 1">
              <a:extLst xmlns:a="http://schemas.openxmlformats.org/drawingml/2006/main">
                <a:ext uri="{FF2B5EF4-FFF2-40B4-BE49-F238E27FC236}">
                  <a16:creationId xmlns:a16="http://schemas.microsoft.com/office/drawing/2014/main" id="{8FE59AE4-5C0F-49CA-B3C7-53BDC1A0AE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31476" name=""/>
                    <pic:cNvPicPr/>
                  </pic:nvPicPr>
                  <pic:blipFill rotWithShape="1">
                    <a:blip r:embed="rId8"/>
                    <a:srcRect t="25362" b="59485"/>
                    <a:stretch>
                      <a:fillRect/>
                    </a:stretch>
                  </pic:blipFill>
                  <pic:spPr bwMode="auto">
                    <a:xfrm>
                      <a:off x="0" y="0"/>
                      <a:ext cx="4359150" cy="3566578"/>
                    </a:xfrm>
                    <a:prstGeom prst="rect">
                      <a:avLst/>
                    </a:prstGeom>
                    <a:ln>
                      <a:noFill/>
                    </a:ln>
                    <a:extLst>
                      <a:ext uri="{53640926-AAD7-44D8-BBD7-CCE9431645EC}">
                        <a14:shadowObscured xmlns:a14="http://schemas.microsoft.com/office/drawing/2010/main"/>
                      </a:ext>
                    </a:extLst>
                  </pic:spPr>
                </pic:pic>
              </a:graphicData>
            </a:graphic>
          </wp:inline>
        </w:drawing>
      </w:r>
    </w:p>
    <w:p w14:paraId="02E6158C" w14:textId="77777777" w:rsidR="00C645A4" w:rsidRDefault="00C645A4">
      <w:pPr>
        <w:pStyle w:val="Heading3"/>
        <w:rPr>
          <w:rFonts w:cstheme="minorHAnsi"/>
        </w:rPr>
      </w:pPr>
    </w:p>
    <w:p w14:paraId="052E8A9E" w14:textId="7894A348" w:rsidR="0038060A" w:rsidRPr="00182B6B" w:rsidRDefault="00DF1B6D">
      <w:pPr>
        <w:pStyle w:val="Heading3"/>
        <w:rPr>
          <w:rFonts w:cstheme="minorHAnsi"/>
        </w:rPr>
      </w:pPr>
      <w:r>
        <w:rPr>
          <w:rFonts w:cstheme="minorHAnsi"/>
        </w:rPr>
        <w:t xml:space="preserve">3. </w:t>
      </w:r>
      <w:r w:rsidR="00AC4670" w:rsidRPr="00182B6B">
        <w:rPr>
          <w:rFonts w:cstheme="minorHAnsi"/>
        </w:rPr>
        <w:t>Completion standards</w:t>
      </w:r>
    </w:p>
    <w:p w14:paraId="3CB74E04" w14:textId="77777777" w:rsidR="0038060A" w:rsidRPr="00182B6B" w:rsidRDefault="00AC4670">
      <w:pPr>
        <w:rPr>
          <w:rFonts w:cstheme="minorHAnsi"/>
        </w:rPr>
      </w:pPr>
      <w:r w:rsidRPr="00182B6B">
        <w:rPr>
          <w:rFonts w:cstheme="minorHAnsi"/>
        </w:rPr>
        <w:t>An IIA should not be accepted as complete unless it contains:</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7429"/>
      </w:tblGrid>
      <w:tr w:rsidR="0038060A" w:rsidRPr="00DF1B6D" w14:paraId="6262D580" w14:textId="77777777" w:rsidTr="003806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429F22" w14:textId="77777777" w:rsidR="0038060A" w:rsidRPr="00DF1B6D" w:rsidRDefault="00AC4670">
            <w:pPr>
              <w:rPr>
                <w:rFonts w:cstheme="minorHAnsi"/>
                <w:color w:val="FFFFFF" w:themeColor="background1"/>
                <w:sz w:val="20"/>
                <w:szCs w:val="20"/>
              </w:rPr>
            </w:pPr>
            <w:r w:rsidRPr="00DF1B6D">
              <w:rPr>
                <w:rFonts w:cstheme="minorHAnsi"/>
                <w:color w:val="FFFFFF" w:themeColor="background1"/>
                <w:sz w:val="20"/>
                <w:szCs w:val="20"/>
              </w:rPr>
              <w:t>Completion test</w:t>
            </w:r>
          </w:p>
        </w:tc>
        <w:tc>
          <w:tcPr>
            <w:tcW w:w="0" w:type="auto"/>
            <w:vAlign w:val="center"/>
          </w:tcPr>
          <w:p w14:paraId="45B09BE1" w14:textId="77777777" w:rsidR="0038060A" w:rsidRPr="00DF1B6D"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DF1B6D">
              <w:rPr>
                <w:rFonts w:cstheme="minorHAnsi"/>
                <w:color w:val="FFFFFF" w:themeColor="background1"/>
                <w:sz w:val="20"/>
                <w:szCs w:val="20"/>
              </w:rPr>
              <w:t>Minimum expectation</w:t>
            </w:r>
          </w:p>
        </w:tc>
      </w:tr>
      <w:tr w:rsidR="0038060A" w:rsidRPr="00DF1B6D" w14:paraId="2D4883B6" w14:textId="77777777" w:rsidTr="00380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1EDCA3" w14:textId="77777777" w:rsidR="0038060A" w:rsidRPr="00DF1B6D" w:rsidRDefault="00AC4670">
            <w:pPr>
              <w:rPr>
                <w:rFonts w:cstheme="minorHAnsi"/>
                <w:sz w:val="20"/>
                <w:szCs w:val="20"/>
              </w:rPr>
            </w:pPr>
            <w:r w:rsidRPr="00DF1B6D">
              <w:rPr>
                <w:rFonts w:cstheme="minorHAnsi"/>
                <w:sz w:val="20"/>
                <w:szCs w:val="20"/>
              </w:rPr>
              <w:t>Clear proposal</w:t>
            </w:r>
          </w:p>
        </w:tc>
        <w:tc>
          <w:tcPr>
            <w:tcW w:w="0" w:type="auto"/>
            <w:vAlign w:val="center"/>
          </w:tcPr>
          <w:p w14:paraId="2A7CB39B" w14:textId="77777777" w:rsidR="0038060A" w:rsidRPr="00DF1B6D"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F1B6D">
              <w:rPr>
                <w:rFonts w:cstheme="minorHAnsi"/>
                <w:sz w:val="20"/>
                <w:szCs w:val="20"/>
              </w:rPr>
              <w:t>Current state, future state, rationale, affected services, start/go-live dates and decision required.</w:t>
            </w:r>
          </w:p>
        </w:tc>
      </w:tr>
      <w:tr w:rsidR="0038060A" w:rsidRPr="00DF1B6D" w14:paraId="7FA3BAC9" w14:textId="77777777" w:rsidTr="0038060A">
        <w:tc>
          <w:tcPr>
            <w:cnfStyle w:val="001000000000" w:firstRow="0" w:lastRow="0" w:firstColumn="1" w:lastColumn="0" w:oddVBand="0" w:evenVBand="0" w:oddHBand="0" w:evenHBand="0" w:firstRowFirstColumn="0" w:firstRowLastColumn="0" w:lastRowFirstColumn="0" w:lastRowLastColumn="0"/>
            <w:tcW w:w="0" w:type="auto"/>
            <w:vAlign w:val="center"/>
          </w:tcPr>
          <w:p w14:paraId="3D7FA403" w14:textId="77777777" w:rsidR="0038060A" w:rsidRPr="00DF1B6D" w:rsidRDefault="00AC4670">
            <w:pPr>
              <w:rPr>
                <w:rFonts w:cstheme="minorHAnsi"/>
                <w:sz w:val="20"/>
                <w:szCs w:val="20"/>
              </w:rPr>
            </w:pPr>
            <w:r w:rsidRPr="00DF1B6D">
              <w:rPr>
                <w:rFonts w:cstheme="minorHAnsi"/>
                <w:sz w:val="20"/>
                <w:szCs w:val="20"/>
              </w:rPr>
              <w:t>All domains screened</w:t>
            </w:r>
          </w:p>
        </w:tc>
        <w:tc>
          <w:tcPr>
            <w:tcW w:w="0" w:type="auto"/>
            <w:vAlign w:val="center"/>
          </w:tcPr>
          <w:p w14:paraId="40CBDE28" w14:textId="77777777" w:rsidR="0038060A" w:rsidRPr="00DF1B6D"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F1B6D">
              <w:rPr>
                <w:rFonts w:cstheme="minorHAnsi"/>
                <w:sz w:val="20"/>
                <w:szCs w:val="20"/>
              </w:rPr>
              <w:t>Every Quality, EDI, Inclusion Health, Human Rights and Sustainability sub-domain considered; “neutral” must be justified, not left blank.</w:t>
            </w:r>
          </w:p>
        </w:tc>
      </w:tr>
      <w:tr w:rsidR="0038060A" w:rsidRPr="00DF1B6D" w14:paraId="31A25AE8" w14:textId="77777777" w:rsidTr="00380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FAB9E50" w14:textId="77777777" w:rsidR="0038060A" w:rsidRPr="00DF1B6D" w:rsidRDefault="00AC4670">
            <w:pPr>
              <w:rPr>
                <w:rFonts w:cstheme="minorHAnsi"/>
                <w:sz w:val="20"/>
                <w:szCs w:val="20"/>
              </w:rPr>
            </w:pPr>
            <w:r w:rsidRPr="00DF1B6D">
              <w:rPr>
                <w:rFonts w:cstheme="minorHAnsi"/>
                <w:sz w:val="20"/>
                <w:szCs w:val="20"/>
              </w:rPr>
              <w:t>Evidence-based judgement</w:t>
            </w:r>
          </w:p>
        </w:tc>
        <w:tc>
          <w:tcPr>
            <w:tcW w:w="0" w:type="auto"/>
            <w:vAlign w:val="center"/>
          </w:tcPr>
          <w:p w14:paraId="716C6456" w14:textId="77777777" w:rsidR="0038060A" w:rsidRPr="00DF1B6D"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F1B6D">
              <w:rPr>
                <w:rFonts w:cstheme="minorHAnsi"/>
                <w:sz w:val="20"/>
                <w:szCs w:val="20"/>
              </w:rPr>
              <w:t xml:space="preserve">Quantitative data, qualitative insight, professional judgement and lived-experience evidence triangulated where possible. NHS England expects QIAs to use quantitative and qualitative data, highlight data gaps, and document actions to address them. </w:t>
            </w:r>
            <w:hyperlink r:id="rId9" w:history="1">
              <w:r w:rsidRPr="00DF1B6D">
                <w:rPr>
                  <w:rStyle w:val="Hyperlink"/>
                  <w:rFonts w:cstheme="minorHAnsi"/>
                  <w:sz w:val="20"/>
                  <w:szCs w:val="20"/>
                </w:rPr>
                <w:t>[england.nhs.uk]</w:t>
              </w:r>
            </w:hyperlink>
          </w:p>
        </w:tc>
      </w:tr>
      <w:tr w:rsidR="0038060A" w:rsidRPr="00DF1B6D" w14:paraId="35D92920" w14:textId="77777777" w:rsidTr="0038060A">
        <w:tc>
          <w:tcPr>
            <w:cnfStyle w:val="001000000000" w:firstRow="0" w:lastRow="0" w:firstColumn="1" w:lastColumn="0" w:oddVBand="0" w:evenVBand="0" w:oddHBand="0" w:evenHBand="0" w:firstRowFirstColumn="0" w:firstRowLastColumn="0" w:lastRowFirstColumn="0" w:lastRowLastColumn="0"/>
            <w:tcW w:w="0" w:type="auto"/>
            <w:vAlign w:val="center"/>
          </w:tcPr>
          <w:p w14:paraId="7C6EA56B" w14:textId="77777777" w:rsidR="0038060A" w:rsidRPr="00DF1B6D" w:rsidRDefault="00AC4670">
            <w:pPr>
              <w:rPr>
                <w:rFonts w:cstheme="minorHAnsi"/>
                <w:sz w:val="20"/>
                <w:szCs w:val="20"/>
              </w:rPr>
            </w:pPr>
            <w:r w:rsidRPr="00DF1B6D">
              <w:rPr>
                <w:rFonts w:cstheme="minorHAnsi"/>
                <w:sz w:val="20"/>
                <w:szCs w:val="20"/>
              </w:rPr>
              <w:t>Engagement</w:t>
            </w:r>
          </w:p>
        </w:tc>
        <w:tc>
          <w:tcPr>
            <w:tcW w:w="0" w:type="auto"/>
            <w:vAlign w:val="center"/>
          </w:tcPr>
          <w:p w14:paraId="1DDD24B4" w14:textId="77777777" w:rsidR="0038060A" w:rsidRPr="00DF1B6D"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F1B6D">
              <w:rPr>
                <w:rFonts w:cstheme="minorHAnsi"/>
                <w:sz w:val="20"/>
                <w:szCs w:val="20"/>
              </w:rPr>
              <w:t xml:space="preserve">Stakeholders affected by the proposal identified, with completed or planned engagement linked to the domains it informs; NHS England highlights engagement with people using services, staff, local authorities and wider stakeholders as part of QIA processes. </w:t>
            </w:r>
            <w:hyperlink r:id="rId10" w:history="1">
              <w:r w:rsidRPr="00DF1B6D">
                <w:rPr>
                  <w:rStyle w:val="Hyperlink"/>
                  <w:rFonts w:cstheme="minorHAnsi"/>
                  <w:sz w:val="20"/>
                  <w:szCs w:val="20"/>
                </w:rPr>
                <w:t>[england.nhs.uk]</w:t>
              </w:r>
            </w:hyperlink>
          </w:p>
        </w:tc>
      </w:tr>
      <w:tr w:rsidR="0038060A" w:rsidRPr="00DF1B6D" w14:paraId="61D7F632" w14:textId="77777777" w:rsidTr="00380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A9FE83" w14:textId="77777777" w:rsidR="0038060A" w:rsidRPr="00DF1B6D" w:rsidRDefault="00AC4670">
            <w:pPr>
              <w:rPr>
                <w:rFonts w:cstheme="minorHAnsi"/>
                <w:sz w:val="20"/>
                <w:szCs w:val="20"/>
              </w:rPr>
            </w:pPr>
            <w:r w:rsidRPr="00DF1B6D">
              <w:rPr>
                <w:rFonts w:cstheme="minorHAnsi"/>
                <w:sz w:val="20"/>
                <w:szCs w:val="20"/>
              </w:rPr>
              <w:t>Mitigations</w:t>
            </w:r>
          </w:p>
        </w:tc>
        <w:tc>
          <w:tcPr>
            <w:tcW w:w="0" w:type="auto"/>
            <w:vAlign w:val="center"/>
          </w:tcPr>
          <w:p w14:paraId="7CFFC1F5" w14:textId="77777777" w:rsidR="0038060A" w:rsidRPr="00DF1B6D"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F1B6D">
              <w:rPr>
                <w:rFonts w:cstheme="minorHAnsi"/>
                <w:sz w:val="20"/>
                <w:szCs w:val="20"/>
              </w:rPr>
              <w:t xml:space="preserve">Every negative impact has a named mitigation, owner, timescale, revised risk score and KPI; NHS England recommends SMART mitigations with named leads, deadlines and linked KPIs. </w:t>
            </w:r>
            <w:hyperlink r:id="rId11" w:history="1">
              <w:r w:rsidRPr="00DF1B6D">
                <w:rPr>
                  <w:rStyle w:val="Hyperlink"/>
                  <w:rFonts w:cstheme="minorHAnsi"/>
                  <w:sz w:val="20"/>
                  <w:szCs w:val="20"/>
                </w:rPr>
                <w:t>[england.nhs.uk]</w:t>
              </w:r>
            </w:hyperlink>
          </w:p>
        </w:tc>
      </w:tr>
      <w:tr w:rsidR="0038060A" w:rsidRPr="00DF1B6D" w14:paraId="2AB3CA1D" w14:textId="77777777" w:rsidTr="0038060A">
        <w:tc>
          <w:tcPr>
            <w:cnfStyle w:val="001000000000" w:firstRow="0" w:lastRow="0" w:firstColumn="1" w:lastColumn="0" w:oddVBand="0" w:evenVBand="0" w:oddHBand="0" w:evenHBand="0" w:firstRowFirstColumn="0" w:firstRowLastColumn="0" w:lastRowFirstColumn="0" w:lastRowLastColumn="0"/>
            <w:tcW w:w="0" w:type="auto"/>
            <w:vAlign w:val="center"/>
          </w:tcPr>
          <w:p w14:paraId="03376DE5" w14:textId="77777777" w:rsidR="0038060A" w:rsidRPr="00DF1B6D" w:rsidRDefault="00AC4670">
            <w:pPr>
              <w:rPr>
                <w:rFonts w:cstheme="minorHAnsi"/>
                <w:sz w:val="20"/>
                <w:szCs w:val="20"/>
              </w:rPr>
            </w:pPr>
            <w:r w:rsidRPr="00DF1B6D">
              <w:rPr>
                <w:rFonts w:cstheme="minorHAnsi"/>
                <w:sz w:val="20"/>
                <w:szCs w:val="20"/>
              </w:rPr>
              <w:t>Governance and review</w:t>
            </w:r>
          </w:p>
        </w:tc>
        <w:tc>
          <w:tcPr>
            <w:tcW w:w="0" w:type="auto"/>
            <w:vAlign w:val="center"/>
          </w:tcPr>
          <w:p w14:paraId="41938494" w14:textId="77777777" w:rsidR="0038060A" w:rsidRPr="00DF1B6D"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F1B6D">
              <w:rPr>
                <w:rFonts w:cstheme="minorHAnsi"/>
                <w:sz w:val="20"/>
                <w:szCs w:val="20"/>
              </w:rPr>
              <w:t>Sign-off route documented; review frequency agreed; monitoring arrangements linked to ICB risk governance.</w:t>
            </w:r>
          </w:p>
        </w:tc>
      </w:tr>
    </w:tbl>
    <w:p w14:paraId="20ACC4F1" w14:textId="77777777" w:rsidR="00182B6B" w:rsidRPr="00182B6B" w:rsidRDefault="00182B6B">
      <w:pPr>
        <w:rPr>
          <w:rFonts w:eastAsiaTheme="majorEastAsia" w:cstheme="minorHAnsi"/>
          <w:color w:val="0F4761"/>
          <w:sz w:val="32"/>
          <w:szCs w:val="32"/>
        </w:rPr>
      </w:pPr>
      <w:r w:rsidRPr="00182B6B">
        <w:rPr>
          <w:rFonts w:cstheme="minorHAnsi"/>
        </w:rPr>
        <w:br w:type="page"/>
      </w:r>
    </w:p>
    <w:p w14:paraId="3663E10A" w14:textId="77777777" w:rsidR="00182B6B" w:rsidRDefault="00182B6B">
      <w:pPr>
        <w:pStyle w:val="Heading2"/>
        <w:rPr>
          <w:rFonts w:asciiTheme="minorHAnsi" w:hAnsiTheme="minorHAnsi" w:cstheme="minorHAnsi"/>
        </w:rPr>
        <w:sectPr w:rsidR="00182B6B">
          <w:pgSz w:w="11906" w:h="16838"/>
          <w:pgMar w:top="1440" w:right="1440" w:bottom="1440" w:left="1440" w:header="708" w:footer="708" w:gutter="0"/>
          <w:cols w:space="720"/>
          <w:docGrid w:linePitch="360"/>
        </w:sectPr>
      </w:pPr>
    </w:p>
    <w:p w14:paraId="32B80CD4" w14:textId="5E2958C4" w:rsidR="0038060A" w:rsidRPr="00182B6B" w:rsidRDefault="00DF1B6D">
      <w:pPr>
        <w:pStyle w:val="Heading2"/>
        <w:rPr>
          <w:rFonts w:asciiTheme="minorHAnsi" w:hAnsiTheme="minorHAnsi" w:cstheme="minorHAnsi"/>
        </w:rPr>
      </w:pPr>
      <w:r>
        <w:rPr>
          <w:rFonts w:asciiTheme="minorHAnsi" w:hAnsiTheme="minorHAnsi" w:cstheme="minorHAnsi"/>
        </w:rPr>
        <w:lastRenderedPageBreak/>
        <w:t>4</w:t>
      </w:r>
      <w:r w:rsidR="000927A9">
        <w:rPr>
          <w:rFonts w:asciiTheme="minorHAnsi" w:hAnsiTheme="minorHAnsi" w:cstheme="minorHAnsi"/>
        </w:rPr>
        <w:t xml:space="preserve">. </w:t>
      </w:r>
      <w:r w:rsidR="00AC4670" w:rsidRPr="00182B6B">
        <w:rPr>
          <w:rFonts w:asciiTheme="minorHAnsi" w:hAnsiTheme="minorHAnsi" w:cstheme="minorHAnsi"/>
        </w:rPr>
        <w:t>Cross-domain guidance</w:t>
      </w:r>
    </w:p>
    <w:p w14:paraId="7EF8D1EE" w14:textId="1210F692" w:rsidR="0038060A" w:rsidRPr="00182B6B" w:rsidRDefault="00AC4670">
      <w:pPr>
        <w:pStyle w:val="Heading2"/>
        <w:rPr>
          <w:rFonts w:asciiTheme="minorHAnsi" w:hAnsiTheme="minorHAnsi" w:cstheme="minorHAnsi"/>
        </w:rPr>
      </w:pPr>
      <w:r w:rsidRPr="00182B6B">
        <w:rPr>
          <w:rFonts w:asciiTheme="minorHAnsi" w:hAnsiTheme="minorHAnsi" w:cstheme="minorHAnsi"/>
        </w:rPr>
        <w:t>A. Quality domain guidance</w:t>
      </w:r>
    </w:p>
    <w:p w14:paraId="3B2B0E10" w14:textId="0C622DE6" w:rsidR="0038060A" w:rsidRPr="00182B6B" w:rsidRDefault="00AC4670">
      <w:pPr>
        <w:rPr>
          <w:rFonts w:cstheme="minorHAnsi"/>
        </w:rPr>
      </w:pPr>
      <w:r w:rsidRPr="00182B6B">
        <w:rPr>
          <w:rFonts w:cstheme="minorHAnsi"/>
        </w:rPr>
        <w:t xml:space="preserve">The ICB template separates Quality into </w:t>
      </w:r>
      <w:r w:rsidRPr="00182B6B">
        <w:rPr>
          <w:rFonts w:cstheme="minorHAnsi"/>
          <w:b/>
          <w:bCs/>
        </w:rPr>
        <w:t>Patient Safety, Clinical Effectiveness, Patient Experience, Staff Experience, and Targets / Performance</w:t>
      </w:r>
      <w:r w:rsidRPr="00182B6B">
        <w:rPr>
          <w:rFonts w:cstheme="minorHAnsi"/>
        </w:rPr>
        <w:t>. NHS England’s model QIA tool uses comparable quality domains and expects impact, evidence, mitigations, revised risk scoring and KPIs to be recorded.</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2862"/>
        <w:gridCol w:w="3274"/>
        <w:gridCol w:w="3184"/>
        <w:gridCol w:w="3321"/>
      </w:tblGrid>
      <w:tr w:rsidR="0038060A" w:rsidRPr="003C73EB" w14:paraId="7C931589" w14:textId="77777777" w:rsidTr="003C73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92A275D" w14:textId="77777777" w:rsidR="0038060A" w:rsidRPr="003C73EB" w:rsidRDefault="00AC4670">
            <w:pPr>
              <w:rPr>
                <w:rFonts w:cstheme="minorHAnsi"/>
                <w:color w:val="FFFFFF" w:themeColor="background1"/>
                <w:sz w:val="18"/>
                <w:szCs w:val="18"/>
              </w:rPr>
            </w:pPr>
            <w:r w:rsidRPr="003C73EB">
              <w:rPr>
                <w:rFonts w:cstheme="minorHAnsi"/>
                <w:color w:val="FFFFFF" w:themeColor="background1"/>
                <w:sz w:val="18"/>
                <w:szCs w:val="18"/>
              </w:rPr>
              <w:t>Domain</w:t>
            </w:r>
          </w:p>
        </w:tc>
        <w:tc>
          <w:tcPr>
            <w:tcW w:w="2862" w:type="dxa"/>
            <w:vAlign w:val="center"/>
          </w:tcPr>
          <w:p w14:paraId="09593138" w14:textId="02B33BAD" w:rsidR="0038060A" w:rsidRPr="003C73EB" w:rsidRDefault="009C659D">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D</w:t>
            </w:r>
            <w:r w:rsidR="00AC4670" w:rsidRPr="003C73EB">
              <w:rPr>
                <w:rFonts w:cstheme="minorHAnsi"/>
                <w:color w:val="FFFFFF" w:themeColor="background1"/>
                <w:sz w:val="18"/>
                <w:szCs w:val="18"/>
              </w:rPr>
              <w:t>escription and why it matters</w:t>
            </w:r>
          </w:p>
        </w:tc>
        <w:tc>
          <w:tcPr>
            <w:tcW w:w="3274" w:type="dxa"/>
            <w:vAlign w:val="center"/>
          </w:tcPr>
          <w:p w14:paraId="43BF7AF3" w14:textId="77777777" w:rsidR="0038060A" w:rsidRPr="003C73EB"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Prompts assessors must answer</w:t>
            </w:r>
          </w:p>
        </w:tc>
        <w:tc>
          <w:tcPr>
            <w:tcW w:w="3184" w:type="dxa"/>
            <w:vAlign w:val="center"/>
          </w:tcPr>
          <w:p w14:paraId="42BB58A9" w14:textId="77777777" w:rsidR="0038060A" w:rsidRPr="003C73EB"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Impact examples</w:t>
            </w:r>
          </w:p>
        </w:tc>
        <w:tc>
          <w:tcPr>
            <w:tcW w:w="3321" w:type="dxa"/>
            <w:vAlign w:val="center"/>
          </w:tcPr>
          <w:p w14:paraId="1D123A4C" w14:textId="77777777" w:rsidR="0038060A" w:rsidRPr="003C73EB"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Evidence, KPIs and mitigations</w:t>
            </w:r>
          </w:p>
        </w:tc>
      </w:tr>
      <w:tr w:rsidR="0038060A" w:rsidRPr="003C73EB" w14:paraId="4C9895D4" w14:textId="77777777" w:rsidTr="003C7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859B7D" w14:textId="77777777" w:rsidR="0038060A" w:rsidRPr="003C73EB" w:rsidRDefault="00AC4670">
            <w:pPr>
              <w:rPr>
                <w:rFonts w:cstheme="minorHAnsi"/>
                <w:sz w:val="18"/>
                <w:szCs w:val="18"/>
              </w:rPr>
            </w:pPr>
            <w:r w:rsidRPr="003C73EB">
              <w:rPr>
                <w:rFonts w:cstheme="minorHAnsi"/>
                <w:sz w:val="18"/>
                <w:szCs w:val="18"/>
              </w:rPr>
              <w:t>Patient Safety</w:t>
            </w:r>
          </w:p>
        </w:tc>
        <w:tc>
          <w:tcPr>
            <w:tcW w:w="2862" w:type="dxa"/>
            <w:vAlign w:val="center"/>
          </w:tcPr>
          <w:p w14:paraId="5C9D4F5C" w14:textId="17BAE68F"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 xml:space="preserve">Whether the proposal could increase or reduce avoidable harm. Safety must be considered before approval because QIAs place quality and patient safety alongside financial/operational factors. </w:t>
            </w:r>
          </w:p>
        </w:tc>
        <w:tc>
          <w:tcPr>
            <w:tcW w:w="3274" w:type="dxa"/>
            <w:vAlign w:val="center"/>
          </w:tcPr>
          <w:p w14:paraId="4F3DF86A" w14:textId="77777777"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Could harm, incidents, infection risk, safeguarding, medicines safety, clinical handover or continuity of care change? Are high-risk patients affected?</w:t>
            </w:r>
          </w:p>
        </w:tc>
        <w:tc>
          <w:tcPr>
            <w:tcW w:w="3184" w:type="dxa"/>
            <w:vAlign w:val="center"/>
          </w:tcPr>
          <w:p w14:paraId="0A330294" w14:textId="77777777" w:rsidR="002D21A8"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Positive:</w:t>
            </w:r>
            <w:r w:rsidRPr="003C73EB">
              <w:rPr>
                <w:rFonts w:cstheme="minorHAnsi"/>
                <w:sz w:val="18"/>
                <w:szCs w:val="18"/>
              </w:rPr>
              <w:t xml:space="preserve"> fewer handoffs. </w:t>
            </w:r>
          </w:p>
          <w:p w14:paraId="4BD9B4C4" w14:textId="77777777" w:rsidR="002D21A8" w:rsidRPr="003C73EB" w:rsidRDefault="002D21A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p w14:paraId="515184CE" w14:textId="77777777" w:rsidR="002D21A8"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Neutral:</w:t>
            </w:r>
            <w:r w:rsidRPr="003C73EB">
              <w:rPr>
                <w:rFonts w:cstheme="minorHAnsi"/>
                <w:sz w:val="18"/>
                <w:szCs w:val="18"/>
              </w:rPr>
              <w:t xml:space="preserve"> admin-only change with no clinical contact. </w:t>
            </w:r>
          </w:p>
          <w:p w14:paraId="7D459E10" w14:textId="77777777" w:rsidR="002D21A8" w:rsidRPr="003C73EB" w:rsidRDefault="002D21A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p w14:paraId="7B1EE283" w14:textId="3F60BD29"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Negative:</w:t>
            </w:r>
            <w:r w:rsidRPr="003C73EB">
              <w:rPr>
                <w:rFonts w:cstheme="minorHAnsi"/>
                <w:sz w:val="18"/>
                <w:szCs w:val="18"/>
              </w:rPr>
              <w:t xml:space="preserve"> reduced capacity causing unsafe waits.</w:t>
            </w:r>
          </w:p>
        </w:tc>
        <w:tc>
          <w:tcPr>
            <w:tcW w:w="3321" w:type="dxa"/>
            <w:vAlign w:val="center"/>
          </w:tcPr>
          <w:p w14:paraId="7BEE8843" w14:textId="77777777" w:rsid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Evidence</w:t>
            </w:r>
            <w:r w:rsidRPr="003C73EB">
              <w:rPr>
                <w:rFonts w:cstheme="minorHAnsi"/>
                <w:sz w:val="18"/>
                <w:szCs w:val="18"/>
              </w:rPr>
              <w:t xml:space="preserve">: incidents, PSIRF themes, safeguarding alerts, medicines incidents, infection data, mortality reviews. </w:t>
            </w:r>
          </w:p>
          <w:p w14:paraId="3ED54E6F" w14:textId="77777777" w:rsidR="003C73EB" w:rsidRDefault="003C73E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78023D56" w14:textId="77777777" w:rsid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KPIs:</w:t>
            </w:r>
            <w:r w:rsidRPr="003C73EB">
              <w:rPr>
                <w:rFonts w:cstheme="minorHAnsi"/>
                <w:sz w:val="18"/>
                <w:szCs w:val="18"/>
              </w:rPr>
              <w:t xml:space="preserve"> incident rate, serious incidents, avoidable harm, waiting-related harm. </w:t>
            </w:r>
          </w:p>
          <w:p w14:paraId="2FF0D881" w14:textId="77777777" w:rsidR="003C73EB" w:rsidRDefault="003C73E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12B9569A" w14:textId="08F812AB"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Mitigations:</w:t>
            </w:r>
            <w:r w:rsidRPr="003C73EB">
              <w:rPr>
                <w:rFonts w:cstheme="minorHAnsi"/>
                <w:sz w:val="18"/>
                <w:szCs w:val="18"/>
              </w:rPr>
              <w:t xml:space="preserve"> safety SOPs, escalation triggers, phased go-live, clinical review, safety huddles.</w:t>
            </w:r>
          </w:p>
        </w:tc>
      </w:tr>
      <w:tr w:rsidR="0038060A" w:rsidRPr="003C73EB" w14:paraId="100EEFB9" w14:textId="77777777" w:rsidTr="003C73EB">
        <w:tc>
          <w:tcPr>
            <w:cnfStyle w:val="001000000000" w:firstRow="0" w:lastRow="0" w:firstColumn="1" w:lastColumn="0" w:oddVBand="0" w:evenVBand="0" w:oddHBand="0" w:evenHBand="0" w:firstRowFirstColumn="0" w:firstRowLastColumn="0" w:lastRowFirstColumn="0" w:lastRowLastColumn="0"/>
            <w:tcW w:w="0" w:type="auto"/>
            <w:vAlign w:val="center"/>
          </w:tcPr>
          <w:p w14:paraId="3B9F82C4" w14:textId="77777777" w:rsidR="0038060A" w:rsidRPr="003C73EB" w:rsidRDefault="00AC4670">
            <w:pPr>
              <w:rPr>
                <w:rFonts w:cstheme="minorHAnsi"/>
                <w:sz w:val="18"/>
                <w:szCs w:val="18"/>
              </w:rPr>
            </w:pPr>
            <w:r w:rsidRPr="003C73EB">
              <w:rPr>
                <w:rFonts w:cstheme="minorHAnsi"/>
                <w:sz w:val="18"/>
                <w:szCs w:val="18"/>
              </w:rPr>
              <w:t>Clinical Effectiveness</w:t>
            </w:r>
          </w:p>
        </w:tc>
        <w:tc>
          <w:tcPr>
            <w:tcW w:w="2862" w:type="dxa"/>
            <w:vAlign w:val="center"/>
          </w:tcPr>
          <w:p w14:paraId="178F4DC4" w14:textId="77777777"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Whether care remains evidence-based, timely and likely to achieve intended outcomes.</w:t>
            </w:r>
          </w:p>
        </w:tc>
        <w:tc>
          <w:tcPr>
            <w:tcW w:w="3274" w:type="dxa"/>
            <w:vAlign w:val="center"/>
          </w:tcPr>
          <w:p w14:paraId="38C5D605" w14:textId="77777777"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Does the proposal affect access to NICE-guided care, outcomes, readmissions, continuity, diagnostics, referral thresholds or clinical variation?</w:t>
            </w:r>
          </w:p>
        </w:tc>
        <w:tc>
          <w:tcPr>
            <w:tcW w:w="3184" w:type="dxa"/>
            <w:vAlign w:val="center"/>
          </w:tcPr>
          <w:p w14:paraId="5E23AFA9" w14:textId="77777777" w:rsidR="002D21A8"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Positive:</w:t>
            </w:r>
            <w:r w:rsidRPr="003C73EB">
              <w:rPr>
                <w:rFonts w:cstheme="minorHAnsi"/>
                <w:sz w:val="18"/>
                <w:szCs w:val="18"/>
              </w:rPr>
              <w:t xml:space="preserve"> pathway aligns with best practice. </w:t>
            </w:r>
          </w:p>
          <w:p w14:paraId="796BA657" w14:textId="77777777" w:rsidR="002D21A8" w:rsidRPr="003C73EB" w:rsidRDefault="002D21A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790D7D53" w14:textId="77777777" w:rsidR="002D21A8"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Neutral:</w:t>
            </w:r>
            <w:r w:rsidRPr="003C73EB">
              <w:rPr>
                <w:rFonts w:cstheme="minorHAnsi"/>
                <w:sz w:val="18"/>
                <w:szCs w:val="18"/>
              </w:rPr>
              <w:t xml:space="preserve"> back-office change. </w:t>
            </w:r>
          </w:p>
          <w:p w14:paraId="7BAD82D6" w14:textId="77777777" w:rsidR="002D21A8" w:rsidRPr="003C73EB" w:rsidRDefault="002D21A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03E97DE8" w14:textId="158DCAE5"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Negative:</w:t>
            </w:r>
            <w:r w:rsidRPr="003C73EB">
              <w:rPr>
                <w:rFonts w:cstheme="minorHAnsi"/>
                <w:sz w:val="18"/>
                <w:szCs w:val="18"/>
              </w:rPr>
              <w:t xml:space="preserve"> patients wait longer than recommended timeframe.</w:t>
            </w:r>
          </w:p>
        </w:tc>
        <w:tc>
          <w:tcPr>
            <w:tcW w:w="3321" w:type="dxa"/>
            <w:vAlign w:val="center"/>
          </w:tcPr>
          <w:p w14:paraId="5555DD0B" w14:textId="77777777" w:rsid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Evidence</w:t>
            </w:r>
            <w:r w:rsidRPr="003C73EB">
              <w:rPr>
                <w:rFonts w:cstheme="minorHAnsi"/>
                <w:sz w:val="18"/>
                <w:szCs w:val="18"/>
              </w:rPr>
              <w:t xml:space="preserve">: clinical audit, outcome measures, GIRFT, Model Health System, readmission data, NICE standards. </w:t>
            </w:r>
          </w:p>
          <w:p w14:paraId="5FEC93BF" w14:textId="77777777" w:rsidR="003C73EB" w:rsidRDefault="003C73E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57404DE3" w14:textId="77777777" w:rsid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KPIs:</w:t>
            </w:r>
            <w:r w:rsidRPr="003C73EB">
              <w:rPr>
                <w:rFonts w:cstheme="minorHAnsi"/>
                <w:sz w:val="18"/>
                <w:szCs w:val="18"/>
              </w:rPr>
              <w:t xml:space="preserve"> outcomes, readmissions, time to treatment, compliance with pathway standards. </w:t>
            </w:r>
          </w:p>
          <w:p w14:paraId="5FE9A02B" w14:textId="77777777" w:rsidR="003C73EB" w:rsidRDefault="003C73E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B17504A" w14:textId="58F8E803"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Mitigations:</w:t>
            </w:r>
            <w:r w:rsidRPr="003C73EB">
              <w:rPr>
                <w:rFonts w:cstheme="minorHAnsi"/>
                <w:sz w:val="18"/>
                <w:szCs w:val="18"/>
              </w:rPr>
              <w:t xml:space="preserve"> clinical criteria, audit, exception routes, capacity modelling.</w:t>
            </w:r>
          </w:p>
        </w:tc>
      </w:tr>
      <w:tr w:rsidR="0038060A" w:rsidRPr="003C73EB" w14:paraId="44C19B5E" w14:textId="77777777" w:rsidTr="003C7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59FC23" w14:textId="77777777" w:rsidR="0038060A" w:rsidRPr="003C73EB" w:rsidRDefault="00AC4670">
            <w:pPr>
              <w:rPr>
                <w:rFonts w:cstheme="minorHAnsi"/>
                <w:sz w:val="18"/>
                <w:szCs w:val="18"/>
              </w:rPr>
            </w:pPr>
            <w:r w:rsidRPr="003C73EB">
              <w:rPr>
                <w:rFonts w:cstheme="minorHAnsi"/>
                <w:sz w:val="18"/>
                <w:szCs w:val="18"/>
              </w:rPr>
              <w:t>Patient Experience</w:t>
            </w:r>
          </w:p>
        </w:tc>
        <w:tc>
          <w:tcPr>
            <w:tcW w:w="2862" w:type="dxa"/>
            <w:vAlign w:val="center"/>
          </w:tcPr>
          <w:p w14:paraId="22FCD7AC" w14:textId="43EA2666"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 xml:space="preserve">Whether people find care accessible, understandable, respectful and </w:t>
            </w:r>
            <w:r w:rsidR="00E35B57" w:rsidRPr="003C73EB">
              <w:rPr>
                <w:rFonts w:cstheme="minorHAnsi"/>
                <w:sz w:val="18"/>
                <w:szCs w:val="18"/>
              </w:rPr>
              <w:t>person centred</w:t>
            </w:r>
            <w:r w:rsidRPr="003C73EB">
              <w:rPr>
                <w:rFonts w:cstheme="minorHAnsi"/>
                <w:sz w:val="18"/>
                <w:szCs w:val="18"/>
              </w:rPr>
              <w:t>.</w:t>
            </w:r>
          </w:p>
        </w:tc>
        <w:tc>
          <w:tcPr>
            <w:tcW w:w="3274" w:type="dxa"/>
            <w:vAlign w:val="center"/>
          </w:tcPr>
          <w:p w14:paraId="42A1FD5C" w14:textId="77777777"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Will access, choice, communication, travel, digital access, complaints, continuity or confidence change? Have patients/carers been asked?</w:t>
            </w:r>
          </w:p>
        </w:tc>
        <w:tc>
          <w:tcPr>
            <w:tcW w:w="3184" w:type="dxa"/>
            <w:vAlign w:val="center"/>
          </w:tcPr>
          <w:p w14:paraId="5DC6EF2C" w14:textId="77777777" w:rsidR="002D21A8"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Positive:</w:t>
            </w:r>
            <w:r w:rsidRPr="003C73EB">
              <w:rPr>
                <w:rFonts w:cstheme="minorHAnsi"/>
                <w:sz w:val="18"/>
                <w:szCs w:val="18"/>
              </w:rPr>
              <w:t xml:space="preserve"> care closer to home. </w:t>
            </w:r>
          </w:p>
          <w:p w14:paraId="28DD13D4" w14:textId="77777777" w:rsidR="002D21A8" w:rsidRPr="003C73EB" w:rsidRDefault="002D21A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p w14:paraId="11BFE7C3" w14:textId="77777777" w:rsidR="002D21A8"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Neutral:</w:t>
            </w:r>
            <w:r w:rsidRPr="003C73EB">
              <w:rPr>
                <w:rFonts w:cstheme="minorHAnsi"/>
                <w:sz w:val="18"/>
                <w:szCs w:val="18"/>
              </w:rPr>
              <w:t xml:space="preserve"> no patient-facing change. </w:t>
            </w:r>
          </w:p>
          <w:p w14:paraId="29C6A243" w14:textId="77777777" w:rsidR="002D21A8" w:rsidRPr="003C73EB" w:rsidRDefault="002D21A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p w14:paraId="7CEC709A" w14:textId="0A2ADF56"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Negative:</w:t>
            </w:r>
            <w:r w:rsidRPr="003C73EB">
              <w:rPr>
                <w:rFonts w:cstheme="minorHAnsi"/>
                <w:sz w:val="18"/>
                <w:szCs w:val="18"/>
              </w:rPr>
              <w:t xml:space="preserve"> digital-only access excludes some groups.</w:t>
            </w:r>
          </w:p>
        </w:tc>
        <w:tc>
          <w:tcPr>
            <w:tcW w:w="3321" w:type="dxa"/>
            <w:vAlign w:val="center"/>
          </w:tcPr>
          <w:p w14:paraId="4948ACE3" w14:textId="77777777" w:rsid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Evidence</w:t>
            </w:r>
            <w:r w:rsidRPr="003C73EB">
              <w:rPr>
                <w:rFonts w:cstheme="minorHAnsi"/>
                <w:sz w:val="18"/>
                <w:szCs w:val="18"/>
              </w:rPr>
              <w:t xml:space="preserve">: FFT, complaints, PALS, Healthwatch, surveys, focus groups. </w:t>
            </w:r>
          </w:p>
          <w:p w14:paraId="7429DEFF" w14:textId="77777777" w:rsidR="003C73EB" w:rsidRDefault="003C73E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54FF5E70" w14:textId="77777777" w:rsid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KPIs:</w:t>
            </w:r>
            <w:r w:rsidRPr="003C73EB">
              <w:rPr>
                <w:rFonts w:cstheme="minorHAnsi"/>
                <w:sz w:val="18"/>
                <w:szCs w:val="18"/>
              </w:rPr>
              <w:t xml:space="preserve"> complaints, DNAs, access times, satisfaction, digital uptake by group. </w:t>
            </w:r>
          </w:p>
          <w:p w14:paraId="42089284" w14:textId="77777777" w:rsidR="003C73EB" w:rsidRDefault="003C73E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11E10846" w14:textId="63D6C9CC"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lastRenderedPageBreak/>
              <w:t>Mitigations:</w:t>
            </w:r>
            <w:r w:rsidRPr="003C73EB">
              <w:rPr>
                <w:rFonts w:cstheme="minorHAnsi"/>
                <w:sz w:val="18"/>
                <w:szCs w:val="18"/>
              </w:rPr>
              <w:t xml:space="preserve"> non-digital routes, accessible comms, patient navigation, transport support.</w:t>
            </w:r>
          </w:p>
        </w:tc>
      </w:tr>
      <w:tr w:rsidR="0038060A" w:rsidRPr="003C73EB" w14:paraId="017564EE" w14:textId="77777777" w:rsidTr="003C73EB">
        <w:tc>
          <w:tcPr>
            <w:cnfStyle w:val="001000000000" w:firstRow="0" w:lastRow="0" w:firstColumn="1" w:lastColumn="0" w:oddVBand="0" w:evenVBand="0" w:oddHBand="0" w:evenHBand="0" w:firstRowFirstColumn="0" w:firstRowLastColumn="0" w:lastRowFirstColumn="0" w:lastRowLastColumn="0"/>
            <w:tcW w:w="0" w:type="auto"/>
            <w:vAlign w:val="center"/>
          </w:tcPr>
          <w:p w14:paraId="69A56F46" w14:textId="77777777" w:rsidR="0038060A" w:rsidRPr="003C73EB" w:rsidRDefault="00AC4670">
            <w:pPr>
              <w:rPr>
                <w:rFonts w:cstheme="minorHAnsi"/>
                <w:sz w:val="18"/>
                <w:szCs w:val="18"/>
              </w:rPr>
            </w:pPr>
            <w:r w:rsidRPr="003C73EB">
              <w:rPr>
                <w:rFonts w:cstheme="minorHAnsi"/>
                <w:sz w:val="18"/>
                <w:szCs w:val="18"/>
              </w:rPr>
              <w:lastRenderedPageBreak/>
              <w:t>Staff Experience</w:t>
            </w:r>
          </w:p>
        </w:tc>
        <w:tc>
          <w:tcPr>
            <w:tcW w:w="2862" w:type="dxa"/>
            <w:vAlign w:val="center"/>
          </w:tcPr>
          <w:p w14:paraId="08D84CC3" w14:textId="77777777"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Whether staff wellbeing, workload, capability, morale or retention are affected.</w:t>
            </w:r>
          </w:p>
        </w:tc>
        <w:tc>
          <w:tcPr>
            <w:tcW w:w="3274" w:type="dxa"/>
            <w:vAlign w:val="center"/>
          </w:tcPr>
          <w:p w14:paraId="395F26D8" w14:textId="77777777"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Will staffing levels, skill mix, workload, supervision, training, rota patterns, travel or psychological safety change?</w:t>
            </w:r>
          </w:p>
        </w:tc>
        <w:tc>
          <w:tcPr>
            <w:tcW w:w="3184" w:type="dxa"/>
            <w:vAlign w:val="center"/>
          </w:tcPr>
          <w:p w14:paraId="25E33DE1" w14:textId="77777777" w:rsidR="002D21A8"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Positive:</w:t>
            </w:r>
            <w:r w:rsidRPr="003C73EB">
              <w:rPr>
                <w:rFonts w:cstheme="minorHAnsi"/>
                <w:sz w:val="18"/>
                <w:szCs w:val="18"/>
              </w:rPr>
              <w:t xml:space="preserve"> clearer roles, reduced duplication. </w:t>
            </w:r>
          </w:p>
          <w:p w14:paraId="69F0BDFB" w14:textId="77777777" w:rsidR="002D21A8" w:rsidRPr="003C73EB" w:rsidRDefault="002D21A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68F31CD2" w14:textId="77777777" w:rsidR="002D21A8"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Neutral:</w:t>
            </w:r>
            <w:r w:rsidRPr="003C73EB">
              <w:rPr>
                <w:rFonts w:cstheme="minorHAnsi"/>
                <w:sz w:val="18"/>
                <w:szCs w:val="18"/>
              </w:rPr>
              <w:t xml:space="preserve"> no workforce effect. </w:t>
            </w:r>
          </w:p>
          <w:p w14:paraId="57FB0618" w14:textId="77777777" w:rsidR="002D21A8" w:rsidRPr="003C73EB" w:rsidRDefault="002D21A8">
            <w:pP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2D0044D7" w14:textId="51A592BC"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Negative:</w:t>
            </w:r>
            <w:r w:rsidRPr="003C73EB">
              <w:rPr>
                <w:rFonts w:cstheme="minorHAnsi"/>
                <w:sz w:val="18"/>
                <w:szCs w:val="18"/>
              </w:rPr>
              <w:t xml:space="preserve"> workload shift without training/capacity.</w:t>
            </w:r>
          </w:p>
        </w:tc>
        <w:tc>
          <w:tcPr>
            <w:tcW w:w="3321" w:type="dxa"/>
            <w:vAlign w:val="center"/>
          </w:tcPr>
          <w:p w14:paraId="695EF1AF" w14:textId="77777777" w:rsid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Evidence:</w:t>
            </w:r>
            <w:r w:rsidRPr="003C73EB">
              <w:rPr>
                <w:rFonts w:cstheme="minorHAnsi"/>
                <w:sz w:val="18"/>
                <w:szCs w:val="18"/>
              </w:rPr>
              <w:t xml:space="preserve"> staff survey, sickness, turnover, ESR, FTSU themes, consultation feedback. </w:t>
            </w:r>
          </w:p>
          <w:p w14:paraId="68032F64" w14:textId="77777777" w:rsidR="003C73EB" w:rsidRDefault="003C73E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0FDA50B" w14:textId="77777777" w:rsid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KPIs:</w:t>
            </w:r>
            <w:r w:rsidRPr="003C73EB">
              <w:rPr>
                <w:rFonts w:cstheme="minorHAnsi"/>
                <w:sz w:val="18"/>
                <w:szCs w:val="18"/>
              </w:rPr>
              <w:t xml:space="preserve"> vacancy, turnover, sickness, agency use, training completion. </w:t>
            </w:r>
          </w:p>
          <w:p w14:paraId="6C004AE0" w14:textId="77777777" w:rsidR="003C73EB" w:rsidRDefault="003C73E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607F9496" w14:textId="0DB175C9" w:rsidR="0038060A" w:rsidRPr="003C73EB" w:rsidRDefault="00AC46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b/>
                <w:bCs/>
                <w:sz w:val="18"/>
                <w:szCs w:val="18"/>
              </w:rPr>
              <w:t>Mitigations:</w:t>
            </w:r>
            <w:r w:rsidRPr="003C73EB">
              <w:rPr>
                <w:rFonts w:cstheme="minorHAnsi"/>
                <w:sz w:val="18"/>
                <w:szCs w:val="18"/>
              </w:rPr>
              <w:t xml:space="preserve"> workforce plan, training, supervision, phased transition, workload review.</w:t>
            </w:r>
          </w:p>
        </w:tc>
      </w:tr>
      <w:tr w:rsidR="0038060A" w:rsidRPr="003C73EB" w14:paraId="4DAFDB0C" w14:textId="77777777" w:rsidTr="003C7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891483" w14:textId="77777777" w:rsidR="0038060A" w:rsidRPr="003C73EB" w:rsidRDefault="00AC4670">
            <w:pPr>
              <w:rPr>
                <w:rFonts w:cstheme="minorHAnsi"/>
                <w:sz w:val="18"/>
                <w:szCs w:val="18"/>
              </w:rPr>
            </w:pPr>
            <w:r w:rsidRPr="003C73EB">
              <w:rPr>
                <w:rFonts w:cstheme="minorHAnsi"/>
                <w:sz w:val="18"/>
                <w:szCs w:val="18"/>
              </w:rPr>
              <w:t>Targets / Performance</w:t>
            </w:r>
          </w:p>
        </w:tc>
        <w:tc>
          <w:tcPr>
            <w:tcW w:w="2862" w:type="dxa"/>
            <w:vAlign w:val="center"/>
          </w:tcPr>
          <w:p w14:paraId="5EC14452" w14:textId="77777777"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Whether the proposal affects statutory, national, local or contractual standards.</w:t>
            </w:r>
          </w:p>
        </w:tc>
        <w:tc>
          <w:tcPr>
            <w:tcW w:w="3274" w:type="dxa"/>
            <w:vAlign w:val="center"/>
          </w:tcPr>
          <w:p w14:paraId="2E30129C" w14:textId="77777777"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Does it affect RTT, cancer, urgent care, diagnostics, mental health, primary care, finance, contract quality schedules or local recovery targets?</w:t>
            </w:r>
          </w:p>
        </w:tc>
        <w:tc>
          <w:tcPr>
            <w:tcW w:w="3184" w:type="dxa"/>
            <w:vAlign w:val="center"/>
          </w:tcPr>
          <w:p w14:paraId="451FA201" w14:textId="77777777" w:rsidR="002D21A8"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Positive:</w:t>
            </w:r>
            <w:r w:rsidRPr="003C73EB">
              <w:rPr>
                <w:rFonts w:cstheme="minorHAnsi"/>
                <w:sz w:val="18"/>
                <w:szCs w:val="18"/>
              </w:rPr>
              <w:t xml:space="preserve"> improves throughput. </w:t>
            </w:r>
          </w:p>
          <w:p w14:paraId="5D79D4D3" w14:textId="77777777" w:rsidR="002D21A8" w:rsidRPr="003C73EB" w:rsidRDefault="002D21A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p w14:paraId="19C676F8" w14:textId="77777777" w:rsidR="002D21A8"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Neutral:</w:t>
            </w:r>
            <w:r w:rsidRPr="003C73EB">
              <w:rPr>
                <w:rFonts w:cstheme="minorHAnsi"/>
                <w:sz w:val="18"/>
                <w:szCs w:val="18"/>
              </w:rPr>
              <w:t xml:space="preserve"> no pathway impact. </w:t>
            </w:r>
          </w:p>
          <w:p w14:paraId="31182987" w14:textId="77777777" w:rsidR="002D21A8" w:rsidRPr="003C73EB" w:rsidRDefault="002D21A8">
            <w:pP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p w14:paraId="136F79C9" w14:textId="6DCEC994"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Negative:</w:t>
            </w:r>
            <w:r w:rsidRPr="003C73EB">
              <w:rPr>
                <w:rFonts w:cstheme="minorHAnsi"/>
                <w:sz w:val="18"/>
                <w:szCs w:val="18"/>
              </w:rPr>
              <w:t xml:space="preserve"> temporary breach while service moves.</w:t>
            </w:r>
          </w:p>
        </w:tc>
        <w:tc>
          <w:tcPr>
            <w:tcW w:w="3321" w:type="dxa"/>
            <w:vAlign w:val="center"/>
          </w:tcPr>
          <w:p w14:paraId="1CDA4D3D" w14:textId="77777777" w:rsid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Evidence:</w:t>
            </w:r>
            <w:r w:rsidRPr="003C73EB">
              <w:rPr>
                <w:rFonts w:cstheme="minorHAnsi"/>
                <w:sz w:val="18"/>
                <w:szCs w:val="18"/>
              </w:rPr>
              <w:t xml:space="preserve"> performance dashboard, contract KPIs, demand/capacity modelling. </w:t>
            </w:r>
          </w:p>
          <w:p w14:paraId="79963CD6" w14:textId="77777777" w:rsidR="003C73EB" w:rsidRDefault="003C73E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4CFEC533" w14:textId="77777777" w:rsid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KPIs:</w:t>
            </w:r>
            <w:r w:rsidRPr="003C73EB">
              <w:rPr>
                <w:rFonts w:cstheme="minorHAnsi"/>
                <w:sz w:val="18"/>
                <w:szCs w:val="18"/>
              </w:rPr>
              <w:t xml:space="preserve"> relevant access standards, backlog, productivity, cancellations. </w:t>
            </w:r>
          </w:p>
          <w:p w14:paraId="03C5AECC" w14:textId="77777777" w:rsidR="003C73EB" w:rsidRDefault="003C73E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2ED1AF74" w14:textId="64E01655" w:rsidR="0038060A" w:rsidRPr="003C73EB" w:rsidRDefault="00AC4670">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b/>
                <w:bCs/>
                <w:sz w:val="18"/>
                <w:szCs w:val="18"/>
              </w:rPr>
              <w:t xml:space="preserve">Mitigations: </w:t>
            </w:r>
            <w:r w:rsidRPr="003C73EB">
              <w:rPr>
                <w:rFonts w:cstheme="minorHAnsi"/>
                <w:sz w:val="18"/>
                <w:szCs w:val="18"/>
              </w:rPr>
              <w:t>trajectory, recovery plan, escalation thresholds, interim capacity.</w:t>
            </w:r>
          </w:p>
        </w:tc>
      </w:tr>
    </w:tbl>
    <w:p w14:paraId="02EB378F" w14:textId="77777777" w:rsidR="0038060A" w:rsidRPr="00182B6B" w:rsidRDefault="0038060A">
      <w:pPr>
        <w:pBdr>
          <w:top w:val="single" w:sz="12" w:space="0" w:color="auto"/>
        </w:pBdr>
        <w:spacing w:after="0"/>
        <w:rPr>
          <w:rFonts w:cstheme="minorHAnsi"/>
        </w:rPr>
      </w:pPr>
    </w:p>
    <w:p w14:paraId="05FCA578" w14:textId="782BB7E4" w:rsidR="000927A9" w:rsidRDefault="009E4171">
      <w:pPr>
        <w:rPr>
          <w:rFonts w:eastAsiaTheme="majorEastAsia" w:cstheme="minorHAnsi"/>
          <w:color w:val="0F4761"/>
          <w:sz w:val="32"/>
          <w:szCs w:val="32"/>
        </w:rPr>
      </w:pPr>
      <w:r>
        <w:t>External sources for further insights / guidance -</w:t>
      </w:r>
      <w:hyperlink r:id="rId12" w:history="1">
        <w:r w:rsidRPr="000927A9">
          <w:rPr>
            <w:rStyle w:val="Hyperlink"/>
            <w:rFonts w:cstheme="minorHAnsi"/>
            <w:sz w:val="20"/>
            <w:szCs w:val="20"/>
          </w:rPr>
          <w:t>[england.nhs.uk]</w:t>
        </w:r>
      </w:hyperlink>
    </w:p>
    <w:p w14:paraId="1E301D7E" w14:textId="77777777" w:rsidR="009E4171" w:rsidRDefault="009E4171">
      <w:pPr>
        <w:rPr>
          <w:rFonts w:eastAsiaTheme="majorEastAsia" w:cstheme="minorHAnsi"/>
          <w:color w:val="0F4761"/>
          <w:sz w:val="32"/>
          <w:szCs w:val="32"/>
        </w:rPr>
      </w:pPr>
      <w:r>
        <w:rPr>
          <w:rFonts w:cstheme="minorHAnsi"/>
        </w:rPr>
        <w:br w:type="page"/>
      </w:r>
    </w:p>
    <w:p w14:paraId="74BAB6C9" w14:textId="7F3137A1" w:rsidR="0038060A" w:rsidRPr="00182B6B" w:rsidRDefault="00AC4670">
      <w:pPr>
        <w:pStyle w:val="Heading2"/>
        <w:rPr>
          <w:rFonts w:asciiTheme="minorHAnsi" w:hAnsiTheme="minorHAnsi" w:cstheme="minorHAnsi"/>
        </w:rPr>
      </w:pPr>
      <w:r w:rsidRPr="00182B6B">
        <w:rPr>
          <w:rFonts w:asciiTheme="minorHAnsi" w:hAnsiTheme="minorHAnsi" w:cstheme="minorHAnsi"/>
        </w:rPr>
        <w:lastRenderedPageBreak/>
        <w:t>B. Equality, Diversity &amp; Inclusion guidance</w:t>
      </w:r>
    </w:p>
    <w:p w14:paraId="5D17FF2C" w14:textId="38F45B33" w:rsidR="0038060A" w:rsidRPr="005411D4" w:rsidRDefault="00AC4670">
      <w:pPr>
        <w:rPr>
          <w:rFonts w:cstheme="minorHAnsi"/>
          <w:sz w:val="22"/>
          <w:szCs w:val="22"/>
        </w:rPr>
      </w:pPr>
      <w:r w:rsidRPr="005411D4">
        <w:rPr>
          <w:rFonts w:cstheme="minorHAnsi"/>
          <w:sz w:val="22"/>
          <w:szCs w:val="22"/>
        </w:rPr>
        <w:t xml:space="preserve">The ICB template covers the nine Equality Act protected characteristics and asks assessors to identify positive, neutral and negative impacts, evidence and mitigations. The Equality Act public sector equality duty requires due regard to eliminating discrimination, advancing equality of opportunity and fostering good relations; section 149 lists the relevant protected characteristics for PSED purposes, while marriage and civil partnership has a more limited application. NHS England’s legal duties reference document also </w:t>
      </w:r>
      <w:r w:rsidR="000543F9" w:rsidRPr="005411D4">
        <w:rPr>
          <w:rFonts w:cstheme="minorHAnsi"/>
          <w:sz w:val="22"/>
          <w:szCs w:val="22"/>
        </w:rPr>
        <w:t>emphasizes</w:t>
      </w:r>
      <w:r w:rsidRPr="005411D4">
        <w:rPr>
          <w:rFonts w:cstheme="minorHAnsi"/>
          <w:sz w:val="22"/>
          <w:szCs w:val="22"/>
        </w:rPr>
        <w:t xml:space="preserve"> that equality and health inequalities duties should be embedded early and not treated as a tick-box exercise. </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5744"/>
        <w:gridCol w:w="2268"/>
        <w:gridCol w:w="2412"/>
        <w:gridCol w:w="2185"/>
      </w:tblGrid>
      <w:tr w:rsidR="009C659D" w:rsidRPr="003C73EB" w14:paraId="56EA381A" w14:textId="77777777" w:rsidTr="00FE2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9" w:type="dxa"/>
            <w:vAlign w:val="center"/>
          </w:tcPr>
          <w:p w14:paraId="2BF99992" w14:textId="77777777" w:rsidR="009C659D" w:rsidRPr="003C73EB" w:rsidRDefault="009C659D">
            <w:pPr>
              <w:rPr>
                <w:rFonts w:cstheme="minorHAnsi"/>
                <w:color w:val="FFFFFF" w:themeColor="background1"/>
                <w:sz w:val="18"/>
                <w:szCs w:val="18"/>
              </w:rPr>
            </w:pPr>
            <w:r w:rsidRPr="003C73EB">
              <w:rPr>
                <w:rFonts w:cstheme="minorHAnsi"/>
                <w:color w:val="FFFFFF" w:themeColor="background1"/>
                <w:sz w:val="18"/>
                <w:szCs w:val="18"/>
              </w:rPr>
              <w:t>Group</w:t>
            </w:r>
          </w:p>
        </w:tc>
        <w:tc>
          <w:tcPr>
            <w:tcW w:w="5744" w:type="dxa"/>
          </w:tcPr>
          <w:p w14:paraId="4F9A7D65" w14:textId="63D81763" w:rsidR="009C659D" w:rsidRPr="003C73EB" w:rsidRDefault="009C659D">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Description and why it matters</w:t>
            </w:r>
          </w:p>
        </w:tc>
        <w:tc>
          <w:tcPr>
            <w:tcW w:w="2268" w:type="dxa"/>
            <w:vAlign w:val="center"/>
          </w:tcPr>
          <w:p w14:paraId="4DEFFD0A" w14:textId="5B8D1CE6" w:rsidR="009C659D" w:rsidRPr="003C73EB" w:rsidRDefault="009C659D">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Key assessment prompts</w:t>
            </w:r>
          </w:p>
        </w:tc>
        <w:tc>
          <w:tcPr>
            <w:tcW w:w="2412" w:type="dxa"/>
            <w:vAlign w:val="center"/>
          </w:tcPr>
          <w:p w14:paraId="122F9298" w14:textId="77777777" w:rsidR="009C659D" w:rsidRPr="003C73EB" w:rsidRDefault="009C659D">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Barriers / inequalities to consider</w:t>
            </w:r>
          </w:p>
        </w:tc>
        <w:tc>
          <w:tcPr>
            <w:tcW w:w="2185" w:type="dxa"/>
            <w:vAlign w:val="center"/>
          </w:tcPr>
          <w:p w14:paraId="47509043" w14:textId="77777777" w:rsidR="009C659D" w:rsidRPr="003C73EB" w:rsidRDefault="009C659D">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3C73EB">
              <w:rPr>
                <w:rFonts w:cstheme="minorHAnsi"/>
                <w:color w:val="FFFFFF" w:themeColor="background1"/>
                <w:sz w:val="18"/>
                <w:szCs w:val="18"/>
              </w:rPr>
              <w:t>Evidence and mitigations</w:t>
            </w:r>
          </w:p>
        </w:tc>
      </w:tr>
      <w:tr w:rsidR="009C659D" w:rsidRPr="003C73EB" w14:paraId="65B0CD2F" w14:textId="77777777" w:rsidTr="00FE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9" w:type="dxa"/>
            <w:vAlign w:val="center"/>
          </w:tcPr>
          <w:p w14:paraId="2DB1BF02" w14:textId="77777777" w:rsidR="009C659D" w:rsidRPr="003C73EB" w:rsidRDefault="009C659D">
            <w:pPr>
              <w:rPr>
                <w:rFonts w:cstheme="minorHAnsi"/>
                <w:sz w:val="18"/>
                <w:szCs w:val="18"/>
              </w:rPr>
            </w:pPr>
            <w:r w:rsidRPr="003C73EB">
              <w:rPr>
                <w:rFonts w:cstheme="minorHAnsi"/>
                <w:sz w:val="18"/>
                <w:szCs w:val="18"/>
              </w:rPr>
              <w:t>Age</w:t>
            </w:r>
          </w:p>
        </w:tc>
        <w:tc>
          <w:tcPr>
            <w:tcW w:w="5744" w:type="dxa"/>
          </w:tcPr>
          <w:p w14:paraId="1D0B311A" w14:textId="22499BC9" w:rsidR="009C659D" w:rsidRPr="003C73EB" w:rsidRDefault="007E750D" w:rsidP="009D0786">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 xml:space="preserve">This can refer to people of a specific age (e.g. 50 years old) or belonging to a particular age range (e.g. 18- to 30-year-olds or the general working age population). Age discrimination includes treating someone less </w:t>
            </w:r>
            <w:r w:rsidR="009D0786" w:rsidRPr="003C73EB">
              <w:rPr>
                <w:rFonts w:cstheme="minorHAnsi"/>
                <w:sz w:val="18"/>
                <w:szCs w:val="18"/>
              </w:rPr>
              <w:t>favorably</w:t>
            </w:r>
            <w:r w:rsidRPr="003C73EB">
              <w:rPr>
                <w:rFonts w:cstheme="minorHAnsi"/>
                <w:sz w:val="18"/>
                <w:szCs w:val="18"/>
              </w:rPr>
              <w:t xml:space="preserve"> for reasons relating to their age (whether young or old).</w:t>
            </w:r>
          </w:p>
        </w:tc>
        <w:tc>
          <w:tcPr>
            <w:tcW w:w="2268" w:type="dxa"/>
            <w:vAlign w:val="center"/>
          </w:tcPr>
          <w:p w14:paraId="0DE4A864" w14:textId="2C6796A6"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Which age groups gain or lose? Are children, young people, working-age adults or older adults differently affected?</w:t>
            </w:r>
          </w:p>
        </w:tc>
        <w:tc>
          <w:tcPr>
            <w:tcW w:w="2412" w:type="dxa"/>
            <w:vAlign w:val="center"/>
          </w:tcPr>
          <w:p w14:paraId="5FCE26F3"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Digital access, frailty, safeguarding, transition points, age-based eligibility.</w:t>
            </w:r>
          </w:p>
        </w:tc>
        <w:tc>
          <w:tcPr>
            <w:tcW w:w="2185" w:type="dxa"/>
            <w:vAlign w:val="center"/>
          </w:tcPr>
          <w:p w14:paraId="0686B63A"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Local population data, service activity by age, JSNA. Mitigate with age-specific pathways, transition plans, reasonable alternatives.</w:t>
            </w:r>
          </w:p>
        </w:tc>
      </w:tr>
      <w:tr w:rsidR="009C659D" w:rsidRPr="003C73EB" w14:paraId="5DA63E6F" w14:textId="77777777" w:rsidTr="00FE23A2">
        <w:tc>
          <w:tcPr>
            <w:cnfStyle w:val="001000000000" w:firstRow="0" w:lastRow="0" w:firstColumn="1" w:lastColumn="0" w:oddVBand="0" w:evenVBand="0" w:oddHBand="0" w:evenHBand="0" w:firstRowFirstColumn="0" w:firstRowLastColumn="0" w:lastRowFirstColumn="0" w:lastRowLastColumn="0"/>
            <w:tcW w:w="1339" w:type="dxa"/>
            <w:vAlign w:val="center"/>
          </w:tcPr>
          <w:p w14:paraId="3196EC1C" w14:textId="77777777" w:rsidR="009C659D" w:rsidRPr="003C73EB" w:rsidRDefault="009C659D">
            <w:pPr>
              <w:rPr>
                <w:rFonts w:cstheme="minorHAnsi"/>
                <w:sz w:val="18"/>
                <w:szCs w:val="18"/>
              </w:rPr>
            </w:pPr>
            <w:r w:rsidRPr="003C73EB">
              <w:rPr>
                <w:rFonts w:cstheme="minorHAnsi"/>
                <w:sz w:val="18"/>
                <w:szCs w:val="18"/>
              </w:rPr>
              <w:t>Disability</w:t>
            </w:r>
          </w:p>
        </w:tc>
        <w:tc>
          <w:tcPr>
            <w:tcW w:w="5744" w:type="dxa"/>
          </w:tcPr>
          <w:p w14:paraId="7A24F337" w14:textId="0ED82DF1" w:rsidR="009C659D" w:rsidRPr="003C73EB" w:rsidRDefault="00044E71" w:rsidP="009D0786">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A person has a disability if they have a physical, mental impairment, learning disability or sensory impairment which has a substantial and long-term adverse effect on their ability to carry out normal day-to-day activities. People with a past disability which falls under the definition remain protected</w:t>
            </w:r>
            <w:r w:rsidR="002065B3" w:rsidRPr="003C73EB">
              <w:rPr>
                <w:rFonts w:cstheme="minorHAnsi"/>
                <w:sz w:val="18"/>
                <w:szCs w:val="18"/>
              </w:rPr>
              <w:t>.</w:t>
            </w:r>
          </w:p>
        </w:tc>
        <w:tc>
          <w:tcPr>
            <w:tcW w:w="2268" w:type="dxa"/>
            <w:vAlign w:val="center"/>
          </w:tcPr>
          <w:p w14:paraId="1FDFCC26" w14:textId="77BBC942"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Are physical, sensory, learning disability, autism, mental health or long-term condition needs affected?</w:t>
            </w:r>
          </w:p>
        </w:tc>
        <w:tc>
          <w:tcPr>
            <w:tcW w:w="2412" w:type="dxa"/>
            <w:vAlign w:val="center"/>
          </w:tcPr>
          <w:p w14:paraId="315AF065" w14:textId="7A773693"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Reasonable adjustments, accessible information, transport, appointments, digital exclusion. NHS Accessible Information Standard requires NHS and adult social care organisations to identify, record, flag, share, meet and review information/communication support needs.</w:t>
            </w:r>
            <w:r w:rsidR="009D0786" w:rsidRPr="003C73EB">
              <w:rPr>
                <w:rFonts w:cstheme="minorHAnsi"/>
                <w:sz w:val="18"/>
                <w:szCs w:val="18"/>
              </w:rPr>
              <w:t xml:space="preserve"> </w:t>
            </w:r>
          </w:p>
        </w:tc>
        <w:tc>
          <w:tcPr>
            <w:tcW w:w="2185" w:type="dxa"/>
            <w:vAlign w:val="center"/>
          </w:tcPr>
          <w:p w14:paraId="3503BB4C" w14:textId="77777777"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AIS flags, Reasonable Adjustment Flag, complaints, LD/autism data. Mitigate with accessible formats, interpreters/BSL, longer appointments, step-free access.</w:t>
            </w:r>
          </w:p>
        </w:tc>
      </w:tr>
      <w:tr w:rsidR="009C659D" w:rsidRPr="003C73EB" w14:paraId="7920542A" w14:textId="77777777" w:rsidTr="00FE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9" w:type="dxa"/>
            <w:vAlign w:val="center"/>
          </w:tcPr>
          <w:p w14:paraId="3C006327" w14:textId="77777777" w:rsidR="009C659D" w:rsidRPr="003C73EB" w:rsidRDefault="009C659D">
            <w:pPr>
              <w:rPr>
                <w:rFonts w:cstheme="minorHAnsi"/>
                <w:sz w:val="18"/>
                <w:szCs w:val="18"/>
              </w:rPr>
            </w:pPr>
            <w:r w:rsidRPr="003C73EB">
              <w:rPr>
                <w:rFonts w:cstheme="minorHAnsi"/>
                <w:sz w:val="18"/>
                <w:szCs w:val="18"/>
              </w:rPr>
              <w:t>Gender reassignment</w:t>
            </w:r>
          </w:p>
        </w:tc>
        <w:tc>
          <w:tcPr>
            <w:tcW w:w="5744" w:type="dxa"/>
          </w:tcPr>
          <w:p w14:paraId="28CE84AA" w14:textId="1C5BF524" w:rsidR="009C659D" w:rsidRPr="003C73EB" w:rsidRDefault="002065B3" w:rsidP="002065B3">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 xml:space="preserve">This refers to a person proposing to undergo, who is undergoing (at any stage of the process) or has undergone the process of reassigning their sex by changing physiological or other attributes of sex. A person does not need to have undergone any specific clinical treatment or surgery to change from birth sex to preferred gender </w:t>
            </w:r>
            <w:proofErr w:type="gramStart"/>
            <w:r w:rsidRPr="003C73EB">
              <w:rPr>
                <w:rFonts w:cstheme="minorHAnsi"/>
                <w:sz w:val="18"/>
                <w:szCs w:val="18"/>
              </w:rPr>
              <w:t>in order to</w:t>
            </w:r>
            <w:proofErr w:type="gramEnd"/>
            <w:r w:rsidRPr="003C73EB">
              <w:rPr>
                <w:rFonts w:cstheme="minorHAnsi"/>
                <w:sz w:val="18"/>
                <w:szCs w:val="18"/>
              </w:rPr>
              <w:t xml:space="preserve"> be protected under this characteristic. The term ‘transgender’ is also protected under this characteristic</w:t>
            </w:r>
          </w:p>
        </w:tc>
        <w:tc>
          <w:tcPr>
            <w:tcW w:w="2268" w:type="dxa"/>
            <w:vAlign w:val="center"/>
          </w:tcPr>
          <w:p w14:paraId="33928391" w14:textId="1036FE82"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Could access, dignity, privacy, records or communications affect trans people?</w:t>
            </w:r>
          </w:p>
        </w:tc>
        <w:tc>
          <w:tcPr>
            <w:tcW w:w="2412" w:type="dxa"/>
            <w:vAlign w:val="center"/>
          </w:tcPr>
          <w:p w14:paraId="3A919BB0"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Misgendering, privacy, inappropriate single-sex assumptions, fear of discrimination.</w:t>
            </w:r>
          </w:p>
        </w:tc>
        <w:tc>
          <w:tcPr>
            <w:tcW w:w="2185" w:type="dxa"/>
            <w:vAlign w:val="center"/>
          </w:tcPr>
          <w:p w14:paraId="16B47E2E"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Engagement with relevant groups, complaints, policy review. Mitigate with respectful records, staff training, privacy safeguards.</w:t>
            </w:r>
          </w:p>
        </w:tc>
      </w:tr>
      <w:tr w:rsidR="009C659D" w:rsidRPr="003C73EB" w14:paraId="066B8DF8" w14:textId="77777777" w:rsidTr="00FE23A2">
        <w:tc>
          <w:tcPr>
            <w:cnfStyle w:val="001000000000" w:firstRow="0" w:lastRow="0" w:firstColumn="1" w:lastColumn="0" w:oddVBand="0" w:evenVBand="0" w:oddHBand="0" w:evenHBand="0" w:firstRowFirstColumn="0" w:firstRowLastColumn="0" w:lastRowFirstColumn="0" w:lastRowLastColumn="0"/>
            <w:tcW w:w="1339" w:type="dxa"/>
            <w:vAlign w:val="center"/>
          </w:tcPr>
          <w:p w14:paraId="7A1483F4" w14:textId="77777777" w:rsidR="009C659D" w:rsidRPr="003C73EB" w:rsidRDefault="009C659D">
            <w:pPr>
              <w:rPr>
                <w:rFonts w:cstheme="minorHAnsi"/>
                <w:sz w:val="18"/>
                <w:szCs w:val="18"/>
              </w:rPr>
            </w:pPr>
            <w:r w:rsidRPr="003C73EB">
              <w:rPr>
                <w:rFonts w:cstheme="minorHAnsi"/>
                <w:sz w:val="18"/>
                <w:szCs w:val="18"/>
              </w:rPr>
              <w:t>Marriage / civil partnership</w:t>
            </w:r>
          </w:p>
        </w:tc>
        <w:tc>
          <w:tcPr>
            <w:tcW w:w="5744" w:type="dxa"/>
          </w:tcPr>
          <w:p w14:paraId="5629333F" w14:textId="4C54EB29" w:rsidR="009C659D" w:rsidRPr="003C73EB" w:rsidRDefault="000543F9" w:rsidP="000543F9">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 xml:space="preserve">Protection under this characteristic is given to people that are legally married or in a legal civil partnership. Marriage is defined as a union between a man and a woman, or between same-sex couples. This </w:t>
            </w:r>
            <w:r w:rsidRPr="003C73EB">
              <w:rPr>
                <w:rFonts w:cstheme="minorHAnsi"/>
                <w:sz w:val="18"/>
                <w:szCs w:val="18"/>
              </w:rPr>
              <w:lastRenderedPageBreak/>
              <w:t>characteristic only recognises people in formally recognised unions and, therefore, does not include people that are not married, cohabiting couples, widows, divorcees and fiancées. Same-sex couples can also have their relationships recognised as civil partnerships. Civil partners must not be treated less favourably than married couples</w:t>
            </w:r>
          </w:p>
        </w:tc>
        <w:tc>
          <w:tcPr>
            <w:tcW w:w="2268" w:type="dxa"/>
            <w:vAlign w:val="center"/>
          </w:tcPr>
          <w:p w14:paraId="5C370CD2" w14:textId="4C3CDE4E"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lastRenderedPageBreak/>
              <w:t>Does the proposal affect staff terms, benefits or next-of-kin processes?</w:t>
            </w:r>
          </w:p>
        </w:tc>
        <w:tc>
          <w:tcPr>
            <w:tcW w:w="2412" w:type="dxa"/>
            <w:vAlign w:val="center"/>
          </w:tcPr>
          <w:p w14:paraId="0EC81B4D" w14:textId="77777777"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 xml:space="preserve">Usually employment-focused; do not overstate service impact unless relevant. </w:t>
            </w:r>
            <w:r w:rsidRPr="003C73EB">
              <w:rPr>
                <w:rFonts w:cstheme="minorHAnsi"/>
                <w:sz w:val="18"/>
                <w:szCs w:val="18"/>
              </w:rPr>
              <w:lastRenderedPageBreak/>
              <w:t>GOV.UK notes marriage/civil partnership is protected but not a “relevant” PSED characteristic except for the first aim in employment-related contexts.</w:t>
            </w:r>
          </w:p>
        </w:tc>
        <w:tc>
          <w:tcPr>
            <w:tcW w:w="2185" w:type="dxa"/>
            <w:vAlign w:val="center"/>
          </w:tcPr>
          <w:p w14:paraId="64263BE3" w14:textId="77777777"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lastRenderedPageBreak/>
              <w:t xml:space="preserve">HR policy checks, staff consultation. Mitigate with consistent </w:t>
            </w:r>
            <w:r w:rsidRPr="003C73EB">
              <w:rPr>
                <w:rFonts w:cstheme="minorHAnsi"/>
                <w:sz w:val="18"/>
                <w:szCs w:val="18"/>
              </w:rPr>
              <w:lastRenderedPageBreak/>
              <w:t>partner/next-of-kin processes.</w:t>
            </w:r>
          </w:p>
        </w:tc>
      </w:tr>
      <w:tr w:rsidR="009C659D" w:rsidRPr="003C73EB" w14:paraId="10A37DB6" w14:textId="77777777" w:rsidTr="00FE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9" w:type="dxa"/>
            <w:vAlign w:val="center"/>
          </w:tcPr>
          <w:p w14:paraId="4E3D17E6" w14:textId="77777777" w:rsidR="009C659D" w:rsidRPr="003C73EB" w:rsidRDefault="009C659D">
            <w:pPr>
              <w:rPr>
                <w:rFonts w:cstheme="minorHAnsi"/>
                <w:sz w:val="18"/>
                <w:szCs w:val="18"/>
              </w:rPr>
            </w:pPr>
            <w:r w:rsidRPr="003C73EB">
              <w:rPr>
                <w:rFonts w:cstheme="minorHAnsi"/>
                <w:sz w:val="18"/>
                <w:szCs w:val="18"/>
              </w:rPr>
              <w:lastRenderedPageBreak/>
              <w:t>Pregnancy / maternity</w:t>
            </w:r>
          </w:p>
        </w:tc>
        <w:tc>
          <w:tcPr>
            <w:tcW w:w="5744" w:type="dxa"/>
          </w:tcPr>
          <w:p w14:paraId="6E393C90" w14:textId="477904E7" w:rsidR="009C659D" w:rsidRPr="003C73EB" w:rsidRDefault="001722AB" w:rsidP="001722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The Equality Act protects people that are discriminated against due to their pregnancy or maternity status – which includes breastfeeding. This protection may relate to current or previous pregnancy. Maternity protection extends for 26 weeks from the date of the birth. Protection also includes where a baby was stillborn in cases where the pregnancy progressed for at least 24 weeks prior to birth.</w:t>
            </w:r>
          </w:p>
        </w:tc>
        <w:tc>
          <w:tcPr>
            <w:tcW w:w="2268" w:type="dxa"/>
            <w:vAlign w:val="center"/>
          </w:tcPr>
          <w:p w14:paraId="32F1DDFC" w14:textId="0AEE2CCC"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Are pregnant people, new parents, breastfeeding parents or maternity pathways affected?</w:t>
            </w:r>
          </w:p>
        </w:tc>
        <w:tc>
          <w:tcPr>
            <w:tcW w:w="2412" w:type="dxa"/>
            <w:vAlign w:val="center"/>
          </w:tcPr>
          <w:p w14:paraId="22FEF437"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Appointment timing, access to maternity advice, breastfeeding facilities, clinical risk.</w:t>
            </w:r>
          </w:p>
        </w:tc>
        <w:tc>
          <w:tcPr>
            <w:tcW w:w="2185" w:type="dxa"/>
            <w:vAlign w:val="center"/>
          </w:tcPr>
          <w:p w14:paraId="6552F555"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Maternity data, perinatal outcomes, complaints, safety incidents. Mitigate with priority access, continuity, safe clinical criteria.</w:t>
            </w:r>
          </w:p>
        </w:tc>
      </w:tr>
      <w:tr w:rsidR="009C659D" w:rsidRPr="003C73EB" w14:paraId="4E525ADB" w14:textId="77777777" w:rsidTr="00FE23A2">
        <w:tc>
          <w:tcPr>
            <w:cnfStyle w:val="001000000000" w:firstRow="0" w:lastRow="0" w:firstColumn="1" w:lastColumn="0" w:oddVBand="0" w:evenVBand="0" w:oddHBand="0" w:evenHBand="0" w:firstRowFirstColumn="0" w:firstRowLastColumn="0" w:lastRowFirstColumn="0" w:lastRowLastColumn="0"/>
            <w:tcW w:w="1339" w:type="dxa"/>
            <w:vAlign w:val="center"/>
          </w:tcPr>
          <w:p w14:paraId="487A3927" w14:textId="77777777" w:rsidR="009C659D" w:rsidRPr="003C73EB" w:rsidRDefault="009C659D">
            <w:pPr>
              <w:rPr>
                <w:rFonts w:cstheme="minorHAnsi"/>
                <w:sz w:val="18"/>
                <w:szCs w:val="18"/>
              </w:rPr>
            </w:pPr>
            <w:r w:rsidRPr="003C73EB">
              <w:rPr>
                <w:rFonts w:cstheme="minorHAnsi"/>
                <w:sz w:val="18"/>
                <w:szCs w:val="18"/>
              </w:rPr>
              <w:t>Race</w:t>
            </w:r>
          </w:p>
        </w:tc>
        <w:tc>
          <w:tcPr>
            <w:tcW w:w="5744" w:type="dxa"/>
          </w:tcPr>
          <w:p w14:paraId="03C49067" w14:textId="77777777" w:rsidR="0052675C" w:rsidRPr="003C73EB" w:rsidRDefault="0052675C" w:rsidP="0052675C">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 xml:space="preserve">Race includes skin colour, nationality, and/or ethnic or national origins. Nationality is determined </w:t>
            </w:r>
          </w:p>
          <w:p w14:paraId="66644053" w14:textId="11D0C475" w:rsidR="009C659D" w:rsidRPr="003C73EB" w:rsidRDefault="0052675C" w:rsidP="0052675C">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by citizenship. This can include specific inclusion health groups such as Gypsy, Roma and Traveller communities, or Asylum Seekers and Refugees.</w:t>
            </w:r>
            <w:r w:rsidR="00A5595D" w:rsidRPr="003C73EB">
              <w:rPr>
                <w:rFonts w:cstheme="minorHAnsi"/>
                <w:sz w:val="18"/>
                <w:szCs w:val="18"/>
              </w:rPr>
              <w:t xml:space="preserve"> </w:t>
            </w:r>
            <w:r w:rsidRPr="003C73EB">
              <w:rPr>
                <w:rFonts w:cstheme="minorHAnsi"/>
                <w:sz w:val="18"/>
                <w:szCs w:val="18"/>
              </w:rPr>
              <w:t>NHS organisations have adopted the term ‘ethnically diverse’ to describe groups that are not White British. If your proposal is likely to have a disproportionate impact on people from specific backgrounds, you should explore each one separately in your assessment.</w:t>
            </w:r>
          </w:p>
        </w:tc>
        <w:tc>
          <w:tcPr>
            <w:tcW w:w="2268" w:type="dxa"/>
            <w:vAlign w:val="center"/>
          </w:tcPr>
          <w:p w14:paraId="520B1AE4" w14:textId="7ED8A083"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Are ethnic groups, migrants, Gypsy/</w:t>
            </w:r>
            <w:r w:rsidR="00FE23A2" w:rsidRPr="003C73EB">
              <w:rPr>
                <w:rFonts w:cstheme="minorHAnsi"/>
                <w:sz w:val="18"/>
                <w:szCs w:val="18"/>
              </w:rPr>
              <w:t xml:space="preserve"> </w:t>
            </w:r>
            <w:r w:rsidRPr="003C73EB">
              <w:rPr>
                <w:rFonts w:cstheme="minorHAnsi"/>
                <w:sz w:val="18"/>
                <w:szCs w:val="18"/>
              </w:rPr>
              <w:t>Roma/Traveller communities or language needs differently affected?</w:t>
            </w:r>
          </w:p>
        </w:tc>
        <w:tc>
          <w:tcPr>
            <w:tcW w:w="2412" w:type="dxa"/>
            <w:vAlign w:val="center"/>
          </w:tcPr>
          <w:p w14:paraId="3CFAEAE7" w14:textId="77777777"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Language, trust, racism, cultural safety, registration barriers, differential outcomes.</w:t>
            </w:r>
          </w:p>
        </w:tc>
        <w:tc>
          <w:tcPr>
            <w:tcW w:w="2185" w:type="dxa"/>
            <w:vAlign w:val="center"/>
          </w:tcPr>
          <w:p w14:paraId="2B0B4AB6" w14:textId="77777777"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Ethnicity-coded activity/outcome data, JSNA, Healthwatch, VCSE insight. Mitigate with interpreting, outreach, culturally competent engagement.</w:t>
            </w:r>
          </w:p>
        </w:tc>
      </w:tr>
      <w:tr w:rsidR="009C659D" w:rsidRPr="003C73EB" w14:paraId="22263453" w14:textId="77777777" w:rsidTr="00FE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9" w:type="dxa"/>
            <w:vAlign w:val="center"/>
          </w:tcPr>
          <w:p w14:paraId="1E991EE0" w14:textId="77777777" w:rsidR="009C659D" w:rsidRPr="003C73EB" w:rsidRDefault="009C659D">
            <w:pPr>
              <w:rPr>
                <w:rFonts w:cstheme="minorHAnsi"/>
                <w:sz w:val="18"/>
                <w:szCs w:val="18"/>
              </w:rPr>
            </w:pPr>
            <w:r w:rsidRPr="003C73EB">
              <w:rPr>
                <w:rFonts w:cstheme="minorHAnsi"/>
                <w:sz w:val="18"/>
                <w:szCs w:val="18"/>
              </w:rPr>
              <w:t>Religion / belief</w:t>
            </w:r>
          </w:p>
        </w:tc>
        <w:tc>
          <w:tcPr>
            <w:tcW w:w="5744" w:type="dxa"/>
          </w:tcPr>
          <w:p w14:paraId="6CBDA101" w14:textId="561502ED" w:rsidR="00D5796D" w:rsidRPr="003C73EB" w:rsidRDefault="00D5796D" w:rsidP="00D5796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 xml:space="preserve">The Equality Act does not provide an explicit definition of religion or belief. It includes the main world religions such as Christianity, Islam, Judaism, Hinduism, Sikhism, Humanism, Secularism and Paganism. The Equality Act protects any religion, religious or philosophical belief – this also </w:t>
            </w:r>
          </w:p>
          <w:p w14:paraId="41D68884" w14:textId="77777777" w:rsidR="00D5796D" w:rsidRPr="003C73EB" w:rsidRDefault="00D5796D" w:rsidP="00D5796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includes a lack of religion / belief such as Atheism.</w:t>
            </w:r>
          </w:p>
          <w:p w14:paraId="249A7FAA" w14:textId="40550281" w:rsidR="009C659D" w:rsidRPr="003C73EB" w:rsidRDefault="00D5796D" w:rsidP="00D5796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If your proposal is likely to have a disproportionate impact on people who hold a specific religion or belief, you should explore each one separately in your assessment</w:t>
            </w:r>
          </w:p>
        </w:tc>
        <w:tc>
          <w:tcPr>
            <w:tcW w:w="2268" w:type="dxa"/>
            <w:vAlign w:val="center"/>
          </w:tcPr>
          <w:p w14:paraId="19C491B9" w14:textId="727243A8"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Does the change affect worship, dietary needs, modesty, chaplaincy, appointment timing or end-of-life preferences?</w:t>
            </w:r>
          </w:p>
        </w:tc>
        <w:tc>
          <w:tcPr>
            <w:tcW w:w="2412" w:type="dxa"/>
            <w:vAlign w:val="center"/>
          </w:tcPr>
          <w:p w14:paraId="6A0FC162"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Religious observance, fasting, gender of clinician, spiritual care.</w:t>
            </w:r>
          </w:p>
        </w:tc>
        <w:tc>
          <w:tcPr>
            <w:tcW w:w="2185" w:type="dxa"/>
            <w:vAlign w:val="center"/>
          </w:tcPr>
          <w:p w14:paraId="32781CE1"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Patient feedback, chaplaincy, community groups. Mitigate with flexible appointments, choice, culturally appropriate care.</w:t>
            </w:r>
          </w:p>
        </w:tc>
      </w:tr>
      <w:tr w:rsidR="009C659D" w:rsidRPr="003C73EB" w14:paraId="22372EBC" w14:textId="77777777" w:rsidTr="00FE23A2">
        <w:tc>
          <w:tcPr>
            <w:cnfStyle w:val="001000000000" w:firstRow="0" w:lastRow="0" w:firstColumn="1" w:lastColumn="0" w:oddVBand="0" w:evenVBand="0" w:oddHBand="0" w:evenHBand="0" w:firstRowFirstColumn="0" w:firstRowLastColumn="0" w:lastRowFirstColumn="0" w:lastRowLastColumn="0"/>
            <w:tcW w:w="1339" w:type="dxa"/>
            <w:vAlign w:val="center"/>
          </w:tcPr>
          <w:p w14:paraId="1A7FF3C2" w14:textId="77777777" w:rsidR="009C659D" w:rsidRPr="003C73EB" w:rsidRDefault="009C659D">
            <w:pPr>
              <w:rPr>
                <w:rFonts w:cstheme="minorHAnsi"/>
                <w:sz w:val="18"/>
                <w:szCs w:val="18"/>
              </w:rPr>
            </w:pPr>
            <w:r w:rsidRPr="003C73EB">
              <w:rPr>
                <w:rFonts w:cstheme="minorHAnsi"/>
                <w:sz w:val="18"/>
                <w:szCs w:val="18"/>
              </w:rPr>
              <w:t>Sex</w:t>
            </w:r>
          </w:p>
        </w:tc>
        <w:tc>
          <w:tcPr>
            <w:tcW w:w="5744" w:type="dxa"/>
          </w:tcPr>
          <w:p w14:paraId="44893170" w14:textId="0D40DE81" w:rsidR="00FE23A2" w:rsidRPr="003C73EB" w:rsidRDefault="00FE23A2" w:rsidP="00FE23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 xml:space="preserve">Sex refers to individual male and female people, but also includes males and females as groups. Sex discrimination involves treating a male or female, or males and females, less </w:t>
            </w:r>
          </w:p>
          <w:p w14:paraId="6573B694" w14:textId="087654B3" w:rsidR="009C659D" w:rsidRPr="003C73EB" w:rsidRDefault="00FE23A2" w:rsidP="00FE23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favourably for reasons relating to their sex. People describing themselves as non-binary are not currently recognised within the Act</w:t>
            </w:r>
          </w:p>
        </w:tc>
        <w:tc>
          <w:tcPr>
            <w:tcW w:w="2268" w:type="dxa"/>
            <w:vAlign w:val="center"/>
          </w:tcPr>
          <w:p w14:paraId="42A1E30F" w14:textId="25526830"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Are women or men differently affected in access, outcomes, safety, privacy or workforce impact?</w:t>
            </w:r>
          </w:p>
        </w:tc>
        <w:tc>
          <w:tcPr>
            <w:tcW w:w="2412" w:type="dxa"/>
            <w:vAlign w:val="center"/>
          </w:tcPr>
          <w:p w14:paraId="72237438" w14:textId="77777777"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Sex-specific disease prevalence, caring roles, domestic abuse, single-sex privacy.</w:t>
            </w:r>
          </w:p>
        </w:tc>
        <w:tc>
          <w:tcPr>
            <w:tcW w:w="2185" w:type="dxa"/>
            <w:vAlign w:val="center"/>
          </w:tcPr>
          <w:p w14:paraId="49345655" w14:textId="77777777" w:rsidR="009C659D" w:rsidRPr="003C73EB" w:rsidRDefault="009C659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C73EB">
              <w:rPr>
                <w:rFonts w:cstheme="minorHAnsi"/>
                <w:sz w:val="18"/>
                <w:szCs w:val="18"/>
              </w:rPr>
              <w:t>Data by sex, safeguarding data, pathway outcomes. Mitigate with sex-sensitive pathway design and privacy arrangements.</w:t>
            </w:r>
          </w:p>
        </w:tc>
      </w:tr>
      <w:tr w:rsidR="009C659D" w:rsidRPr="003C73EB" w14:paraId="13872A86" w14:textId="77777777" w:rsidTr="00FE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9" w:type="dxa"/>
            <w:vAlign w:val="center"/>
          </w:tcPr>
          <w:p w14:paraId="3ECCE157" w14:textId="77777777" w:rsidR="009C659D" w:rsidRPr="003C73EB" w:rsidRDefault="009C659D">
            <w:pPr>
              <w:rPr>
                <w:rFonts w:cstheme="minorHAnsi"/>
                <w:sz w:val="18"/>
                <w:szCs w:val="18"/>
              </w:rPr>
            </w:pPr>
            <w:r w:rsidRPr="003C73EB">
              <w:rPr>
                <w:rFonts w:cstheme="minorHAnsi"/>
                <w:sz w:val="18"/>
                <w:szCs w:val="18"/>
              </w:rPr>
              <w:t>Sexual orientation</w:t>
            </w:r>
          </w:p>
        </w:tc>
        <w:tc>
          <w:tcPr>
            <w:tcW w:w="5744" w:type="dxa"/>
          </w:tcPr>
          <w:p w14:paraId="57A32656" w14:textId="57E8A134" w:rsidR="009C659D" w:rsidRPr="003C73EB" w:rsidRDefault="00AC0702" w:rsidP="00CE0E0C">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 xml:space="preserve">A person’s sexual attraction towards their own sex, the opposite sex or more than one sex. This </w:t>
            </w:r>
            <w:r w:rsidR="00E0279F" w:rsidRPr="003C73EB">
              <w:rPr>
                <w:rFonts w:cstheme="minorHAnsi"/>
                <w:sz w:val="18"/>
                <w:szCs w:val="18"/>
              </w:rPr>
              <w:t>includes</w:t>
            </w:r>
            <w:r w:rsidRPr="003C73EB">
              <w:rPr>
                <w:rFonts w:cstheme="minorHAnsi"/>
                <w:sz w:val="18"/>
                <w:szCs w:val="18"/>
              </w:rPr>
              <w:t xml:space="preserve"> people who are lesbian, gay, bisexual, or heterosexual.  If your proposal is likely to have a disproportionate impact on people with a specific sexual orientation, you should explore each one separately in your assessment</w:t>
            </w:r>
          </w:p>
        </w:tc>
        <w:tc>
          <w:tcPr>
            <w:tcW w:w="2268" w:type="dxa"/>
            <w:vAlign w:val="center"/>
          </w:tcPr>
          <w:p w14:paraId="26026A73" w14:textId="56D8D654"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Could LGBTQ+ people experience different access, disclosure, dignity or partner recognition?</w:t>
            </w:r>
          </w:p>
        </w:tc>
        <w:tc>
          <w:tcPr>
            <w:tcW w:w="2412" w:type="dxa"/>
            <w:vAlign w:val="center"/>
          </w:tcPr>
          <w:p w14:paraId="4066DA48"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Fear of discrimination, assumptions about relationships, confidentiality.</w:t>
            </w:r>
          </w:p>
        </w:tc>
        <w:tc>
          <w:tcPr>
            <w:tcW w:w="2185" w:type="dxa"/>
            <w:vAlign w:val="center"/>
          </w:tcPr>
          <w:p w14:paraId="46CFB507" w14:textId="77777777" w:rsidR="009C659D" w:rsidRPr="003C73EB" w:rsidRDefault="009C659D">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C73EB">
              <w:rPr>
                <w:rFonts w:cstheme="minorHAnsi"/>
                <w:sz w:val="18"/>
                <w:szCs w:val="18"/>
              </w:rPr>
              <w:t>Patient/staff feedback, complaints, local VCSE insight. Mitigate with inclusive language, partner recognition, staff training.</w:t>
            </w:r>
          </w:p>
        </w:tc>
      </w:tr>
    </w:tbl>
    <w:p w14:paraId="59D607C2" w14:textId="21391119" w:rsidR="000927A9" w:rsidRDefault="005411D4">
      <w:pPr>
        <w:rPr>
          <w:rFonts w:eastAsiaTheme="majorEastAsia" w:cstheme="minorHAnsi"/>
          <w:color w:val="0F4761"/>
          <w:sz w:val="32"/>
          <w:szCs w:val="32"/>
        </w:rPr>
      </w:pPr>
      <w:r>
        <w:t xml:space="preserve">External sources for further insights / guidance - </w:t>
      </w:r>
      <w:hyperlink r:id="rId13" w:history="1">
        <w:r w:rsidRPr="005411D4">
          <w:rPr>
            <w:rStyle w:val="Hyperlink"/>
            <w:rFonts w:cstheme="minorHAnsi"/>
            <w:sz w:val="22"/>
            <w:szCs w:val="22"/>
          </w:rPr>
          <w:t>[legislation.gov.uk]</w:t>
        </w:r>
      </w:hyperlink>
      <w:r w:rsidR="000927A9">
        <w:rPr>
          <w:rFonts w:cstheme="minorHAnsi"/>
        </w:rPr>
        <w:br w:type="page"/>
      </w:r>
    </w:p>
    <w:p w14:paraId="79C26656" w14:textId="4864B08E" w:rsidR="0038060A" w:rsidRPr="00182B6B" w:rsidRDefault="00AC4670">
      <w:pPr>
        <w:pStyle w:val="Heading2"/>
        <w:rPr>
          <w:rFonts w:asciiTheme="minorHAnsi" w:hAnsiTheme="minorHAnsi" w:cstheme="minorHAnsi"/>
        </w:rPr>
      </w:pPr>
      <w:r w:rsidRPr="00182B6B">
        <w:rPr>
          <w:rFonts w:asciiTheme="minorHAnsi" w:hAnsiTheme="minorHAnsi" w:cstheme="minorHAnsi"/>
        </w:rPr>
        <w:lastRenderedPageBreak/>
        <w:t>C. Inclusion Health guidance</w:t>
      </w:r>
    </w:p>
    <w:p w14:paraId="18B3B647" w14:textId="26D9D713" w:rsidR="0038060A" w:rsidRPr="005411D4" w:rsidRDefault="00AC4670">
      <w:pPr>
        <w:rPr>
          <w:rFonts w:cstheme="minorHAnsi"/>
          <w:sz w:val="22"/>
          <w:szCs w:val="22"/>
        </w:rPr>
      </w:pPr>
      <w:r w:rsidRPr="005411D4">
        <w:rPr>
          <w:rFonts w:cstheme="minorHAnsi"/>
          <w:sz w:val="22"/>
          <w:szCs w:val="22"/>
        </w:rPr>
        <w:t xml:space="preserve">The template includes carers, military veterans, looked after children, rural communities, refugees, people with poor literacy, people with addiction, people in contact with the justice system and sex workers. NHS England defines inclusion health as groups who experience social exclusion and multiple interacting risks such as stigma, discrimination, poverty, violence and complex trauma; it identifies groups including homelessness, drug/alcohol dependence, vulnerable migrants/refugees, Gypsy/Roma/Traveller communities, people in contact with justice, victims of modern slavery and sex workers </w:t>
      </w:r>
    </w:p>
    <w:tbl>
      <w:tblPr>
        <w:tblStyle w:val="GridTable4-Accent1"/>
        <w:tblW w:w="14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5021"/>
        <w:gridCol w:w="4536"/>
        <w:gridCol w:w="3014"/>
      </w:tblGrid>
      <w:tr w:rsidR="00D62C27" w:rsidRPr="001A12C3" w14:paraId="42D2B12D" w14:textId="77777777" w:rsidTr="001A12C3">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2998470B" w14:textId="77777777" w:rsidR="00D62C27" w:rsidRPr="001A12C3" w:rsidRDefault="00D62C27">
            <w:pPr>
              <w:rPr>
                <w:rFonts w:cstheme="minorHAnsi"/>
                <w:color w:val="FFFFFF" w:themeColor="background1"/>
                <w:sz w:val="16"/>
                <w:szCs w:val="16"/>
              </w:rPr>
            </w:pPr>
            <w:r w:rsidRPr="001A12C3">
              <w:rPr>
                <w:rFonts w:cstheme="minorHAnsi"/>
                <w:color w:val="FFFFFF" w:themeColor="background1"/>
                <w:sz w:val="16"/>
                <w:szCs w:val="16"/>
              </w:rPr>
              <w:t>Group</w:t>
            </w:r>
          </w:p>
        </w:tc>
        <w:tc>
          <w:tcPr>
            <w:tcW w:w="5021" w:type="dxa"/>
          </w:tcPr>
          <w:p w14:paraId="6032FBA4" w14:textId="45473846" w:rsidR="00D62C27" w:rsidRPr="001A12C3" w:rsidRDefault="00D62C27">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1A12C3">
              <w:rPr>
                <w:rFonts w:cstheme="minorHAnsi"/>
                <w:color w:val="FFFFFF" w:themeColor="background1"/>
                <w:sz w:val="16"/>
                <w:szCs w:val="16"/>
              </w:rPr>
              <w:t>Description and why it matters</w:t>
            </w:r>
          </w:p>
        </w:tc>
        <w:tc>
          <w:tcPr>
            <w:tcW w:w="4536" w:type="dxa"/>
            <w:vAlign w:val="center"/>
          </w:tcPr>
          <w:p w14:paraId="59462F9B" w14:textId="33C3236E" w:rsidR="00D62C27" w:rsidRPr="001A12C3" w:rsidRDefault="00D62C27">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1A12C3">
              <w:rPr>
                <w:rFonts w:cstheme="minorHAnsi"/>
                <w:color w:val="FFFFFF" w:themeColor="background1"/>
                <w:sz w:val="16"/>
                <w:szCs w:val="16"/>
              </w:rPr>
              <w:t>Prompts, barriers and evidence expectations</w:t>
            </w:r>
          </w:p>
        </w:tc>
        <w:tc>
          <w:tcPr>
            <w:tcW w:w="3014" w:type="dxa"/>
            <w:vAlign w:val="center"/>
          </w:tcPr>
          <w:p w14:paraId="468C2D66" w14:textId="2595441D" w:rsidR="00D62C27" w:rsidRPr="001A12C3" w:rsidRDefault="00D62C27">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6"/>
                <w:szCs w:val="16"/>
              </w:rPr>
            </w:pPr>
            <w:r w:rsidRPr="001A12C3">
              <w:rPr>
                <w:rFonts w:cstheme="minorHAnsi"/>
                <w:color w:val="FFFFFF" w:themeColor="background1"/>
                <w:sz w:val="16"/>
                <w:szCs w:val="16"/>
              </w:rPr>
              <w:t>Potential mitigations</w:t>
            </w:r>
          </w:p>
        </w:tc>
      </w:tr>
      <w:tr w:rsidR="00D62C27" w:rsidRPr="001A12C3" w14:paraId="17AE8DEB" w14:textId="77777777" w:rsidTr="001A12C3">
        <w:trPr>
          <w:cnfStyle w:val="000000100000" w:firstRow="0" w:lastRow="0" w:firstColumn="0" w:lastColumn="0" w:oddVBand="0" w:evenVBand="0" w:oddHBand="1" w:evenHBand="0" w:firstRowFirstColumn="0" w:firstRowLastColumn="0" w:lastRowFirstColumn="0" w:lastRowLastColumn="0"/>
          <w:trHeight w:val="1699"/>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56BEB227" w14:textId="77777777" w:rsidR="00D62C27" w:rsidRPr="001A12C3" w:rsidRDefault="00D62C27">
            <w:pPr>
              <w:rPr>
                <w:rFonts w:cstheme="minorHAnsi"/>
                <w:sz w:val="16"/>
                <w:szCs w:val="16"/>
              </w:rPr>
            </w:pPr>
            <w:r w:rsidRPr="001A12C3">
              <w:rPr>
                <w:rFonts w:cstheme="minorHAnsi"/>
                <w:sz w:val="16"/>
                <w:szCs w:val="16"/>
              </w:rPr>
              <w:t>Carers</w:t>
            </w:r>
          </w:p>
        </w:tc>
        <w:tc>
          <w:tcPr>
            <w:tcW w:w="5021" w:type="dxa"/>
          </w:tcPr>
          <w:p w14:paraId="7E6795A2" w14:textId="2271DEDA" w:rsidR="00D62C27" w:rsidRPr="001A12C3" w:rsidRDefault="00A709BF" w:rsidP="00A709BF">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A carer is anyone, including children and adults, who looks after a family member, partner or friend who needs help because of their illness, frailty, disability, a mental health problem or an addiction and cannot cope without their support. The care that they give is unpaid. Under the Equality Act, it is illegal to discriminate against a carer because of their responsibilities as a carer, or because of the individual(s) they care for.</w:t>
            </w:r>
          </w:p>
        </w:tc>
        <w:tc>
          <w:tcPr>
            <w:tcW w:w="4536" w:type="dxa"/>
            <w:vAlign w:val="center"/>
          </w:tcPr>
          <w:p w14:paraId="65BB8606" w14:textId="4EDFE52C"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 xml:space="preserve">Will unpaid carers’ ability to access services, appointments, information or respite be affected? NHS England notes public involvement duties were extended to secure involvement of carers and representatives as well as service users. </w:t>
            </w:r>
          </w:p>
        </w:tc>
        <w:tc>
          <w:tcPr>
            <w:tcW w:w="3014" w:type="dxa"/>
            <w:vAlign w:val="center"/>
          </w:tcPr>
          <w:p w14:paraId="1FBC5B06" w14:textId="5A71B84E"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Carer-aware comms, appointment flexibility, carer engagement, signposting to support, carer impact monitoring.</w:t>
            </w:r>
          </w:p>
        </w:tc>
      </w:tr>
      <w:tr w:rsidR="00D62C27" w:rsidRPr="001A12C3" w14:paraId="4EC4E7C8" w14:textId="77777777" w:rsidTr="001A12C3">
        <w:trPr>
          <w:trHeight w:val="1684"/>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582BC681" w14:textId="77777777" w:rsidR="00D62C27" w:rsidRPr="001A12C3" w:rsidRDefault="00D62C27">
            <w:pPr>
              <w:rPr>
                <w:rFonts w:cstheme="minorHAnsi"/>
                <w:sz w:val="16"/>
                <w:szCs w:val="16"/>
              </w:rPr>
            </w:pPr>
            <w:r w:rsidRPr="001A12C3">
              <w:rPr>
                <w:rFonts w:cstheme="minorHAnsi"/>
                <w:sz w:val="16"/>
                <w:szCs w:val="16"/>
              </w:rPr>
              <w:t>Military veterans</w:t>
            </w:r>
          </w:p>
        </w:tc>
        <w:tc>
          <w:tcPr>
            <w:tcW w:w="5021" w:type="dxa"/>
          </w:tcPr>
          <w:p w14:paraId="5F4BE4CC" w14:textId="6E471591" w:rsidR="00D62C27" w:rsidRPr="001A12C3" w:rsidRDefault="001A12C3" w:rsidP="001A12C3">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Veterans are defined as anyone who has served for at least on</w:t>
            </w:r>
            <w:r w:rsidR="00E521E1">
              <w:rPr>
                <w:rFonts w:cstheme="minorHAnsi"/>
                <w:sz w:val="16"/>
                <w:szCs w:val="16"/>
              </w:rPr>
              <w:t>e</w:t>
            </w:r>
            <w:r w:rsidRPr="001A12C3">
              <w:rPr>
                <w:rFonts w:cstheme="minorHAnsi"/>
                <w:sz w:val="16"/>
                <w:szCs w:val="16"/>
              </w:rPr>
              <w:t xml:space="preserve"> day in Her Majesty’s Armed Forces (Regular or Reserve) or Merchant Mariners who have seen duty on legally defined military operations.  The Armed Forces Covenant is a promise by the Nation that those who serve, or have served, and their families are treated fairly. The Armed Forces Covenant is part of the NHS Constitution. In relation to healthcare, the Covenant states that the Armed Forces Community should enjoy the same standard of, and access to, healthcare as that received by any other UK citizen in the area they live and that Veterans should receive priority treatment where it relates to a condition that results from their service in the Armed Forces, subject to clinical need.</w:t>
            </w:r>
          </w:p>
        </w:tc>
        <w:tc>
          <w:tcPr>
            <w:tcW w:w="4536" w:type="dxa"/>
            <w:vAlign w:val="center"/>
          </w:tcPr>
          <w:p w14:paraId="021A38BA" w14:textId="0E846102"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 xml:space="preserve">Could veterans or armed forces families be disadvantaged? NHS England states ICBs are responsible for commissioning and delivery of health services for veterans and reservists when not mobilised, and the Armed Forces Covenant requires fair treatment and no disadvantage. </w:t>
            </w:r>
          </w:p>
        </w:tc>
        <w:tc>
          <w:tcPr>
            <w:tcW w:w="3014" w:type="dxa"/>
            <w:vAlign w:val="center"/>
          </w:tcPr>
          <w:p w14:paraId="63A08982" w14:textId="7ECABBE0"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Ask about veteran status, link to Op COURAGE/armed forces leads, avoid disadvantage from service history, monitor access.</w:t>
            </w:r>
          </w:p>
        </w:tc>
      </w:tr>
      <w:tr w:rsidR="00D62C27" w:rsidRPr="001A12C3" w14:paraId="06DB98F1" w14:textId="77777777" w:rsidTr="001A12C3">
        <w:trPr>
          <w:cnfStyle w:val="000000100000" w:firstRow="0" w:lastRow="0" w:firstColumn="0" w:lastColumn="0" w:oddVBand="0" w:evenVBand="0" w:oddHBand="1" w:evenHBand="0" w:firstRowFirstColumn="0" w:firstRowLastColumn="0" w:lastRowFirstColumn="0" w:lastRowLastColumn="0"/>
          <w:trHeight w:val="1445"/>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4038416C" w14:textId="77777777" w:rsidR="00D62C27" w:rsidRPr="001A12C3" w:rsidRDefault="00D62C27">
            <w:pPr>
              <w:rPr>
                <w:rFonts w:cstheme="minorHAnsi"/>
                <w:sz w:val="16"/>
                <w:szCs w:val="16"/>
              </w:rPr>
            </w:pPr>
            <w:r w:rsidRPr="001A12C3">
              <w:rPr>
                <w:rFonts w:cstheme="minorHAnsi"/>
                <w:sz w:val="16"/>
                <w:szCs w:val="16"/>
              </w:rPr>
              <w:t>Looked after children</w:t>
            </w:r>
          </w:p>
        </w:tc>
        <w:tc>
          <w:tcPr>
            <w:tcW w:w="5021" w:type="dxa"/>
          </w:tcPr>
          <w:p w14:paraId="0B8AFAC4" w14:textId="004C3585" w:rsidR="000E66E1" w:rsidRPr="000E66E1" w:rsidRDefault="000E66E1" w:rsidP="000E66E1">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E66E1">
              <w:rPr>
                <w:rFonts w:cstheme="minorHAnsi"/>
                <w:sz w:val="16"/>
                <w:szCs w:val="16"/>
              </w:rPr>
              <w:t xml:space="preserve">A child or young person who has been in the care of a local authority for more than 24 hours is known as a ‘looked after child’. Looked after children are sometimes referred to as ‘children in care’, a term which many children and young people may prefer. In general, looked after </w:t>
            </w:r>
          </w:p>
          <w:p w14:paraId="66843322" w14:textId="0DFD68CA" w:rsidR="000E66E1" w:rsidRPr="000E66E1" w:rsidRDefault="000E66E1" w:rsidP="000E66E1">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E66E1">
              <w:rPr>
                <w:rFonts w:cstheme="minorHAnsi"/>
                <w:sz w:val="16"/>
                <w:szCs w:val="16"/>
              </w:rPr>
              <w:t>children are living with foster parents, living in a residential children’s home, or living in residential settings like schools or secure units.</w:t>
            </w:r>
          </w:p>
          <w:p w14:paraId="3D4396E3" w14:textId="537B0B7A" w:rsidR="00D62C27" w:rsidRPr="001A12C3" w:rsidRDefault="000E66E1" w:rsidP="000E66E1">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E66E1">
              <w:rPr>
                <w:rFonts w:cstheme="minorHAnsi"/>
                <w:sz w:val="16"/>
                <w:szCs w:val="16"/>
              </w:rPr>
              <w:t>Looked after children and young people often have physical and mental health and wellbeing needs that are different from many other children and young people. For example, they may have a higher likelihood of having been subjected to trauma or severe neglect; have experienced high levels of social disadvantage; have multi-layered, unmet and complex needs; not be accessing services in a</w:t>
            </w:r>
            <w:r>
              <w:rPr>
                <w:rFonts w:cstheme="minorHAnsi"/>
                <w:sz w:val="16"/>
                <w:szCs w:val="16"/>
              </w:rPr>
              <w:t xml:space="preserve"> </w:t>
            </w:r>
            <w:r w:rsidRPr="000E66E1">
              <w:rPr>
                <w:rFonts w:cstheme="minorHAnsi"/>
                <w:sz w:val="16"/>
                <w:szCs w:val="16"/>
              </w:rPr>
              <w:t>timely manner in the first place (despite their elevated levels of need)</w:t>
            </w:r>
          </w:p>
        </w:tc>
        <w:tc>
          <w:tcPr>
            <w:tcW w:w="4536" w:type="dxa"/>
            <w:vAlign w:val="center"/>
          </w:tcPr>
          <w:p w14:paraId="6B9ABEA7" w14:textId="5E354922"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Are children in care/care leavers affected in access, safeguarding, transition or continuity? NICE says services should work together to deliver high-quality care, stable placements and nurturing relationships for looked-after children and young people.</w:t>
            </w:r>
          </w:p>
        </w:tc>
        <w:tc>
          <w:tcPr>
            <w:tcW w:w="3014" w:type="dxa"/>
            <w:vAlign w:val="center"/>
          </w:tcPr>
          <w:p w14:paraId="4FBD5A90" w14:textId="334FCA0B"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Safeguarding review, designated professional input, transition planning, trauma-informed engagement.</w:t>
            </w:r>
          </w:p>
        </w:tc>
      </w:tr>
      <w:tr w:rsidR="00D62C27" w:rsidRPr="001A12C3" w14:paraId="6BA94479" w14:textId="77777777" w:rsidTr="001A12C3">
        <w:trPr>
          <w:trHeight w:val="968"/>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795EDE99" w14:textId="77777777" w:rsidR="00D62C27" w:rsidRPr="001A12C3" w:rsidRDefault="00D62C27">
            <w:pPr>
              <w:rPr>
                <w:rFonts w:cstheme="minorHAnsi"/>
                <w:sz w:val="16"/>
                <w:szCs w:val="16"/>
              </w:rPr>
            </w:pPr>
            <w:r w:rsidRPr="001A12C3">
              <w:rPr>
                <w:rFonts w:cstheme="minorHAnsi"/>
                <w:sz w:val="16"/>
                <w:szCs w:val="16"/>
              </w:rPr>
              <w:lastRenderedPageBreak/>
              <w:t>Rural communities</w:t>
            </w:r>
          </w:p>
        </w:tc>
        <w:tc>
          <w:tcPr>
            <w:tcW w:w="5021" w:type="dxa"/>
          </w:tcPr>
          <w:p w14:paraId="798A6923" w14:textId="15B7BD84" w:rsidR="00085299" w:rsidRPr="00085299" w:rsidRDefault="00085299" w:rsidP="00085299">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85299">
              <w:rPr>
                <w:rFonts w:cstheme="minorHAnsi"/>
                <w:sz w:val="16"/>
                <w:szCs w:val="16"/>
              </w:rPr>
              <w:t xml:space="preserve">Nearly 10 million people in England live in areas defined as rural. This number is increasing, and the population is growing older. Rural and remote communities are often very diverse environments which are difficult to understand.as a whole. Although many rural areas are </w:t>
            </w:r>
          </w:p>
          <w:p w14:paraId="4A47A9C1" w14:textId="74D8FE33" w:rsidR="00085299" w:rsidRPr="00085299" w:rsidRDefault="00085299" w:rsidP="00085299">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85299">
              <w:rPr>
                <w:rFonts w:cstheme="minorHAnsi"/>
                <w:sz w:val="16"/>
                <w:szCs w:val="16"/>
              </w:rPr>
              <w:t xml:space="preserve">affluent in general, there can be pockets of high deprivation, ill health and inequalities. While poverty, deprivation and the ill health that accompanies them look much the same everywhere that they exist in England, they can be more difficult to identify in rural areas than </w:t>
            </w:r>
          </w:p>
          <w:p w14:paraId="53C131C9" w14:textId="23621922" w:rsidR="00D62C27" w:rsidRPr="001A12C3" w:rsidRDefault="00085299" w:rsidP="00085299">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85299">
              <w:rPr>
                <w:rFonts w:cstheme="minorHAnsi"/>
                <w:sz w:val="16"/>
                <w:szCs w:val="16"/>
              </w:rPr>
              <w:t>they are in urban area due to a lack of statistics.</w:t>
            </w:r>
            <w:r>
              <w:rPr>
                <w:rFonts w:cstheme="minorHAnsi"/>
                <w:sz w:val="16"/>
                <w:szCs w:val="16"/>
              </w:rPr>
              <w:t xml:space="preserve">  </w:t>
            </w:r>
            <w:r w:rsidRPr="00085299">
              <w:rPr>
                <w:rFonts w:cstheme="minorHAnsi"/>
                <w:sz w:val="16"/>
                <w:szCs w:val="16"/>
              </w:rPr>
              <w:t>Overall, health outcomes are more favorable in rural areas, but this often masks small pockets of significant deprivation and poor health outcomes. There is an absence of detailed statistical information on health outcomes in rural areas, as national statistics often do not reveal differences within small areas.</w:t>
            </w:r>
          </w:p>
        </w:tc>
        <w:tc>
          <w:tcPr>
            <w:tcW w:w="4536" w:type="dxa"/>
            <w:vAlign w:val="center"/>
          </w:tcPr>
          <w:p w14:paraId="720E19A8" w14:textId="389F4185"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 xml:space="preserve">Does the change increase travel, reduce local access, assume digital connectivity, or hide small-area deprivation? NHS England notes people in remote, rural, coastal or island locations can face access barriers and higher service delivery costs. </w:t>
            </w:r>
          </w:p>
        </w:tc>
        <w:tc>
          <w:tcPr>
            <w:tcW w:w="3014" w:type="dxa"/>
            <w:vAlign w:val="center"/>
          </w:tcPr>
          <w:p w14:paraId="47FBC5B7" w14:textId="673546EF"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Rural proofing, transport analysis, hybrid access, outreach, digital alternatives, travel reimbursement.</w:t>
            </w:r>
          </w:p>
        </w:tc>
      </w:tr>
      <w:tr w:rsidR="00D62C27" w:rsidRPr="001A12C3" w14:paraId="5E60B207" w14:textId="77777777" w:rsidTr="001A12C3">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4C29A1F2" w14:textId="77777777" w:rsidR="00D62C27" w:rsidRPr="001A12C3" w:rsidRDefault="00D62C27">
            <w:pPr>
              <w:rPr>
                <w:rFonts w:cstheme="minorHAnsi"/>
                <w:sz w:val="16"/>
                <w:szCs w:val="16"/>
              </w:rPr>
            </w:pPr>
            <w:r w:rsidRPr="001A12C3">
              <w:rPr>
                <w:rFonts w:cstheme="minorHAnsi"/>
                <w:sz w:val="16"/>
                <w:szCs w:val="16"/>
              </w:rPr>
              <w:t>Refugees / asylum seekers</w:t>
            </w:r>
          </w:p>
        </w:tc>
        <w:tc>
          <w:tcPr>
            <w:tcW w:w="5021" w:type="dxa"/>
          </w:tcPr>
          <w:p w14:paraId="5AAF705A" w14:textId="4525BE46" w:rsidR="004B696F" w:rsidRPr="004B696F" w:rsidRDefault="004B696F" w:rsidP="004B696F">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B696F">
              <w:rPr>
                <w:rFonts w:cstheme="minorHAnsi"/>
                <w:sz w:val="16"/>
                <w:szCs w:val="16"/>
              </w:rPr>
              <w:t xml:space="preserve">A refugee is a person who owing to a well-founded fear of being persecuted for reasons of race, religion, nationality, membership of a particular social group or political opinion, is outside the </w:t>
            </w:r>
          </w:p>
          <w:p w14:paraId="0ADEF9CF" w14:textId="218FC621" w:rsidR="004B696F" w:rsidRPr="004B696F" w:rsidRDefault="004B696F" w:rsidP="004B696F">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B696F">
              <w:rPr>
                <w:rFonts w:cstheme="minorHAnsi"/>
                <w:sz w:val="16"/>
                <w:szCs w:val="16"/>
              </w:rPr>
              <w:t xml:space="preserve">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w:t>
            </w:r>
          </w:p>
          <w:p w14:paraId="27223146" w14:textId="77777777" w:rsidR="004B696F" w:rsidRPr="004B696F" w:rsidRDefault="004B696F" w:rsidP="004B696F">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B696F">
              <w:rPr>
                <w:rFonts w:cstheme="minorHAnsi"/>
                <w:sz w:val="16"/>
                <w:szCs w:val="16"/>
              </w:rPr>
              <w:t>unwilling to return to it.</w:t>
            </w:r>
          </w:p>
          <w:p w14:paraId="2D59911F" w14:textId="77777777" w:rsidR="00D62C27" w:rsidRDefault="004B696F" w:rsidP="004B696F">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B696F">
              <w:rPr>
                <w:rFonts w:cstheme="minorHAnsi"/>
                <w:sz w:val="16"/>
                <w:szCs w:val="16"/>
              </w:rPr>
              <w:t>An asylum seeker is someone who has applied for asylum and is waiting for a decision. In other words, in the UK an asylum seeker is someone who has asked the Government for refugee status and is waiting to hear the outcome of their application. Someone who seeks asylum in the UK is asking for protection under well-established international law. If they are accepted, they are granted refugee status</w:t>
            </w:r>
            <w:r>
              <w:rPr>
                <w:rFonts w:cstheme="minorHAnsi"/>
                <w:sz w:val="16"/>
                <w:szCs w:val="16"/>
              </w:rPr>
              <w:t>.</w:t>
            </w:r>
          </w:p>
          <w:p w14:paraId="0292C6BA" w14:textId="753CD789" w:rsidR="00B74103" w:rsidRPr="001A12C3" w:rsidRDefault="00B74103" w:rsidP="004B696F">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B74103">
              <w:rPr>
                <w:rFonts w:cstheme="minorHAnsi"/>
                <w:sz w:val="16"/>
                <w:szCs w:val="16"/>
              </w:rPr>
              <w:t>Asylum Seekers and Refugees (including those applying for asylum, humanitarian protection or temporary protection whose claims, including appeals, have not yet been determined) are entitled to free and full access to primary and secondary care services.</w:t>
            </w:r>
          </w:p>
        </w:tc>
        <w:tc>
          <w:tcPr>
            <w:tcW w:w="4536" w:type="dxa"/>
            <w:vAlign w:val="center"/>
          </w:tcPr>
          <w:p w14:paraId="14F36038" w14:textId="2E373260"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 xml:space="preserve">Are language, trauma, registration, entitlement, digital or trust barriers addressed? Inclusion Health guidance identifies vulnerable migrants/refugees as inclusion health groups and highlights translation barriers. </w:t>
            </w:r>
          </w:p>
        </w:tc>
        <w:tc>
          <w:tcPr>
            <w:tcW w:w="3014" w:type="dxa"/>
            <w:vAlign w:val="center"/>
          </w:tcPr>
          <w:p w14:paraId="79E3729F" w14:textId="2084CF6B"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Interpreting, translated materials, safe registration, trauma-informed care, VCSE partners.</w:t>
            </w:r>
          </w:p>
        </w:tc>
      </w:tr>
      <w:tr w:rsidR="00D62C27" w:rsidRPr="001A12C3" w14:paraId="19A29996" w14:textId="77777777" w:rsidTr="001A12C3">
        <w:trPr>
          <w:trHeight w:val="143"/>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3D25555D" w14:textId="77777777" w:rsidR="00D62C27" w:rsidRPr="001A12C3" w:rsidRDefault="00D62C27">
            <w:pPr>
              <w:rPr>
                <w:rFonts w:cstheme="minorHAnsi"/>
                <w:sz w:val="16"/>
                <w:szCs w:val="16"/>
              </w:rPr>
            </w:pPr>
            <w:r w:rsidRPr="001A12C3">
              <w:rPr>
                <w:rFonts w:cstheme="minorHAnsi"/>
                <w:sz w:val="16"/>
                <w:szCs w:val="16"/>
              </w:rPr>
              <w:t>Poor literacy / health literacy</w:t>
            </w:r>
          </w:p>
        </w:tc>
        <w:tc>
          <w:tcPr>
            <w:tcW w:w="5021" w:type="dxa"/>
          </w:tcPr>
          <w:p w14:paraId="3447B465" w14:textId="1FC3393F" w:rsidR="00201C0B" w:rsidRPr="00201C0B" w:rsidRDefault="00201C0B" w:rsidP="00201C0B">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01C0B">
              <w:rPr>
                <w:rFonts w:cstheme="minorHAnsi"/>
                <w:sz w:val="16"/>
                <w:szCs w:val="16"/>
              </w:rPr>
              <w:t xml:space="preserve">Poor literacy can be a main contributor to a life of hardship and/or disadvantage, and to an intergenerational cycle of poverty. As many as 15% of adults in England read at or below a basic level (proficient only at or below what is known as Level 1 in literacy), struggling with basic </w:t>
            </w:r>
          </w:p>
          <w:p w14:paraId="010D8903" w14:textId="75873343" w:rsidR="00201C0B" w:rsidRPr="00201C0B" w:rsidRDefault="00201C0B" w:rsidP="00201C0B">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01C0B">
              <w:rPr>
                <w:rFonts w:cstheme="minorHAnsi"/>
                <w:sz w:val="16"/>
                <w:szCs w:val="16"/>
              </w:rPr>
              <w:t>reading skills that most of us take for granted. In other words, significant numbers of adults do not possess the basic information-processing skills considered necessary to succeed in today’s world.</w:t>
            </w:r>
          </w:p>
          <w:p w14:paraId="02B4FC04" w14:textId="10C1498B" w:rsidR="00201C0B" w:rsidRPr="00201C0B" w:rsidRDefault="00201C0B" w:rsidP="00201C0B">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01C0B">
              <w:rPr>
                <w:rFonts w:cstheme="minorHAnsi"/>
                <w:sz w:val="16"/>
                <w:szCs w:val="16"/>
              </w:rPr>
              <w:t xml:space="preserve">Those with poor literacy skills are more than twice as likely to be unemployed than those who can read beyond the most basic of levels. Research shows that the median hourly wage of workers scoring higher on literacy scales is more than 60% higher than for workers scoring at </w:t>
            </w:r>
          </w:p>
          <w:p w14:paraId="2A610E22" w14:textId="4355391A" w:rsidR="00201C0B" w:rsidRPr="00201C0B" w:rsidRDefault="00201C0B" w:rsidP="00201C0B">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01C0B">
              <w:rPr>
                <w:rFonts w:cstheme="minorHAnsi"/>
                <w:sz w:val="16"/>
                <w:szCs w:val="16"/>
              </w:rPr>
              <w:t xml:space="preserve">lower levels. ‘Health literacy’ is defined as the personal characteristics and social resources needed for individuals and communities to access, </w:t>
            </w:r>
            <w:r w:rsidRPr="00201C0B">
              <w:rPr>
                <w:rFonts w:cstheme="minorHAnsi"/>
                <w:sz w:val="16"/>
                <w:szCs w:val="16"/>
              </w:rPr>
              <w:lastRenderedPageBreak/>
              <w:t xml:space="preserve">understand, appraise and use information and services to make decisions about health. People with limited financial and social resources are more </w:t>
            </w:r>
          </w:p>
          <w:p w14:paraId="7F636D5E" w14:textId="3D3DDDEA" w:rsidR="00D62C27" w:rsidRPr="001A12C3" w:rsidRDefault="00201C0B" w:rsidP="00201C0B">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01C0B">
              <w:rPr>
                <w:rFonts w:cstheme="minorHAnsi"/>
                <w:sz w:val="16"/>
                <w:szCs w:val="16"/>
              </w:rPr>
              <w:t>likely to have limited health literac</w:t>
            </w:r>
            <w:r>
              <w:rPr>
                <w:rFonts w:cstheme="minorHAnsi"/>
                <w:sz w:val="16"/>
                <w:szCs w:val="16"/>
              </w:rPr>
              <w:t>y.</w:t>
            </w:r>
          </w:p>
        </w:tc>
        <w:tc>
          <w:tcPr>
            <w:tcW w:w="4536" w:type="dxa"/>
            <w:vAlign w:val="center"/>
          </w:tcPr>
          <w:p w14:paraId="715CAE09" w14:textId="2D17B763"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lastRenderedPageBreak/>
              <w:t xml:space="preserve">Can people understand, appraise and use information? NHS England says low health literacy risks widening inequalities when information/services do not meet needs. </w:t>
            </w:r>
          </w:p>
        </w:tc>
        <w:tc>
          <w:tcPr>
            <w:tcW w:w="3014" w:type="dxa"/>
            <w:vAlign w:val="center"/>
          </w:tcPr>
          <w:p w14:paraId="6ED67E0C" w14:textId="7B14E3F8"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Plain English, Easy Read, Teach Back, pictures, phone/face-to-face options, user testing.</w:t>
            </w:r>
          </w:p>
        </w:tc>
      </w:tr>
      <w:tr w:rsidR="00D62C27" w:rsidRPr="001A12C3" w14:paraId="2C8FC901" w14:textId="77777777" w:rsidTr="001A12C3">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3E30500D" w14:textId="77777777" w:rsidR="00D62C27" w:rsidRPr="001A12C3" w:rsidRDefault="00D62C27">
            <w:pPr>
              <w:rPr>
                <w:rFonts w:cstheme="minorHAnsi"/>
                <w:sz w:val="16"/>
                <w:szCs w:val="16"/>
              </w:rPr>
            </w:pPr>
            <w:r w:rsidRPr="001A12C3">
              <w:rPr>
                <w:rFonts w:cstheme="minorHAnsi"/>
                <w:sz w:val="16"/>
                <w:szCs w:val="16"/>
              </w:rPr>
              <w:t>People with addiction</w:t>
            </w:r>
          </w:p>
        </w:tc>
        <w:tc>
          <w:tcPr>
            <w:tcW w:w="5021" w:type="dxa"/>
          </w:tcPr>
          <w:p w14:paraId="19AB4039" w14:textId="3DB39601" w:rsidR="00D62C27" w:rsidRPr="001A12C3" w:rsidRDefault="00941EB6" w:rsidP="00941EB6">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941EB6">
              <w:rPr>
                <w:rFonts w:cstheme="minorHAnsi"/>
                <w:sz w:val="16"/>
                <w:szCs w:val="16"/>
              </w:rPr>
              <w:t xml:space="preserve">Substance misuse develops when you continue to take substances which change the way you feel and think, such as alcohol, drugs, or food, even though they may cause problems with your body, your mind and the way you behave. The </w:t>
            </w:r>
            <w:r w:rsidR="00201C0B" w:rsidRPr="00941EB6">
              <w:rPr>
                <w:rFonts w:cstheme="minorHAnsi"/>
                <w:sz w:val="16"/>
                <w:szCs w:val="16"/>
              </w:rPr>
              <w:t>most misused</w:t>
            </w:r>
            <w:r w:rsidRPr="00941EB6">
              <w:rPr>
                <w:rFonts w:cstheme="minorHAnsi"/>
                <w:sz w:val="16"/>
                <w:szCs w:val="16"/>
              </w:rPr>
              <w:t xml:space="preserve"> substances are alcohol, tobacco, opiates, stimulants, and food. The links between substance misuse and economic inequalities are well documented. This is particularly true of drug use which shows significantly positive correlations with areas of high levels of deprivation.</w:t>
            </w:r>
          </w:p>
        </w:tc>
        <w:tc>
          <w:tcPr>
            <w:tcW w:w="4536" w:type="dxa"/>
            <w:vAlign w:val="center"/>
          </w:tcPr>
          <w:p w14:paraId="62388D4B" w14:textId="25425439"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 xml:space="preserve">Could drug/alcohol dependence, stigma or service fragmentation reduce access? Inclusion Health framework includes people with drug and alcohol dependence and highlights stigma and service design barriers. </w:t>
            </w:r>
          </w:p>
        </w:tc>
        <w:tc>
          <w:tcPr>
            <w:tcW w:w="3014" w:type="dxa"/>
            <w:vAlign w:val="center"/>
          </w:tcPr>
          <w:p w14:paraId="159511DF" w14:textId="3EBC5197"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Joint working with substance misuse services, non-judgmental access, outreach, flexible appointments.</w:t>
            </w:r>
          </w:p>
        </w:tc>
      </w:tr>
      <w:tr w:rsidR="00D62C27" w:rsidRPr="001A12C3" w14:paraId="0B413BC0" w14:textId="77777777" w:rsidTr="001A12C3">
        <w:trPr>
          <w:trHeight w:val="143"/>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2403781F" w14:textId="77777777" w:rsidR="00D62C27" w:rsidRPr="001A12C3" w:rsidRDefault="00D62C27">
            <w:pPr>
              <w:rPr>
                <w:rFonts w:cstheme="minorHAnsi"/>
                <w:sz w:val="16"/>
                <w:szCs w:val="16"/>
              </w:rPr>
            </w:pPr>
            <w:r w:rsidRPr="001A12C3">
              <w:rPr>
                <w:rFonts w:cstheme="minorHAnsi"/>
                <w:sz w:val="16"/>
                <w:szCs w:val="16"/>
              </w:rPr>
              <w:t>Justice system</w:t>
            </w:r>
          </w:p>
        </w:tc>
        <w:tc>
          <w:tcPr>
            <w:tcW w:w="5021" w:type="dxa"/>
          </w:tcPr>
          <w:p w14:paraId="52D152EB" w14:textId="4D3DFC86" w:rsidR="00EA5F6C" w:rsidRPr="00EA5F6C" w:rsidRDefault="00EA5F6C" w:rsidP="00EA5F6C">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EA5F6C">
              <w:rPr>
                <w:rFonts w:cstheme="minorHAnsi"/>
                <w:sz w:val="16"/>
                <w:szCs w:val="16"/>
              </w:rPr>
              <w:t xml:space="preserve">Children, young people, and adults in contact with the Justice System, or those in detained settings, are more likely to smoke, misuse drugs or alcohol, have mental and physical health problems, report having a disability, self-harm or attempt suicide. Their lives are often further </w:t>
            </w:r>
          </w:p>
          <w:p w14:paraId="36757B65" w14:textId="19653111" w:rsidR="00EA5F6C" w:rsidRPr="00EA5F6C" w:rsidRDefault="00EA5F6C" w:rsidP="00EA5F6C">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EA5F6C">
              <w:rPr>
                <w:rFonts w:cstheme="minorHAnsi"/>
                <w:sz w:val="16"/>
                <w:szCs w:val="16"/>
              </w:rPr>
              <w:t xml:space="preserve">complicated by complex social and personal issues such as </w:t>
            </w:r>
            <w:r>
              <w:rPr>
                <w:rFonts w:cstheme="minorHAnsi"/>
                <w:sz w:val="16"/>
                <w:szCs w:val="16"/>
              </w:rPr>
              <w:t>u</w:t>
            </w:r>
            <w:r w:rsidRPr="00EA5F6C">
              <w:rPr>
                <w:rFonts w:cstheme="minorHAnsi"/>
                <w:sz w:val="16"/>
                <w:szCs w:val="16"/>
              </w:rPr>
              <w:t xml:space="preserve">nemployment, low educational attainment, homelessness, and social marginalisation. Consequently, people in contact with the Justice System often have lower life expectancy and experience poorer health outcomes. </w:t>
            </w:r>
          </w:p>
          <w:p w14:paraId="790654B5" w14:textId="451A34B7" w:rsidR="00D62C27" w:rsidRPr="001A12C3" w:rsidRDefault="00EA5F6C" w:rsidP="00EA5F6C">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EA5F6C">
              <w:rPr>
                <w:rFonts w:cstheme="minorHAnsi"/>
                <w:sz w:val="16"/>
                <w:szCs w:val="16"/>
              </w:rPr>
              <w:t>NHS organisations should aim to improve health and care outcomes for people in contact with the Justice System, support safer communities and improve social cohesion.</w:t>
            </w:r>
          </w:p>
        </w:tc>
        <w:tc>
          <w:tcPr>
            <w:tcW w:w="4536" w:type="dxa"/>
            <w:vAlign w:val="center"/>
          </w:tcPr>
          <w:p w14:paraId="2768F50E" w14:textId="55C66C52"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 xml:space="preserve">Are people in prison, on release, under probation or with prior justice contact affected? Inclusion Health guidance identifies people in contact with the justice system and notes distrust from previous negative experiences can deter NHS contact. </w:t>
            </w:r>
          </w:p>
        </w:tc>
        <w:tc>
          <w:tcPr>
            <w:tcW w:w="3014" w:type="dxa"/>
            <w:vAlign w:val="center"/>
          </w:tcPr>
          <w:p w14:paraId="31580141" w14:textId="759A69A1" w:rsidR="00D62C27" w:rsidRPr="001A12C3" w:rsidRDefault="00D62C2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A12C3">
              <w:rPr>
                <w:rFonts w:cstheme="minorHAnsi"/>
                <w:sz w:val="16"/>
                <w:szCs w:val="16"/>
              </w:rPr>
              <w:t>RECONNECT/probation links, continuity of medication, registration support, care navigation.</w:t>
            </w:r>
          </w:p>
        </w:tc>
      </w:tr>
      <w:tr w:rsidR="00D62C27" w:rsidRPr="001A12C3" w14:paraId="7A9FD8B2" w14:textId="77777777" w:rsidTr="001A12C3">
        <w:trPr>
          <w:cnfStyle w:val="000000100000" w:firstRow="0" w:lastRow="0" w:firstColumn="0" w:lastColumn="0" w:oddVBand="0" w:evenVBand="0" w:oddHBand="1" w:evenHBand="0" w:firstRowFirstColumn="0" w:firstRowLastColumn="0" w:lastRowFirstColumn="0" w:lastRowLastColumn="0"/>
          <w:trHeight w:val="1445"/>
        </w:trPr>
        <w:tc>
          <w:tcPr>
            <w:cnfStyle w:val="001000000000" w:firstRow="0" w:lastRow="0" w:firstColumn="1" w:lastColumn="0" w:oddVBand="0" w:evenVBand="0" w:oddHBand="0" w:evenHBand="0" w:firstRowFirstColumn="0" w:firstRowLastColumn="0" w:lastRowFirstColumn="0" w:lastRowLastColumn="0"/>
            <w:tcW w:w="1495" w:type="dxa"/>
            <w:vAlign w:val="center"/>
          </w:tcPr>
          <w:p w14:paraId="4B8BE83A" w14:textId="77777777" w:rsidR="00D62C27" w:rsidRPr="001A12C3" w:rsidRDefault="00D62C27">
            <w:pPr>
              <w:rPr>
                <w:rFonts w:cstheme="minorHAnsi"/>
                <w:sz w:val="16"/>
                <w:szCs w:val="16"/>
              </w:rPr>
            </w:pPr>
            <w:r w:rsidRPr="001A12C3">
              <w:rPr>
                <w:rFonts w:cstheme="minorHAnsi"/>
                <w:sz w:val="16"/>
                <w:szCs w:val="16"/>
              </w:rPr>
              <w:t>Sex workers</w:t>
            </w:r>
          </w:p>
        </w:tc>
        <w:tc>
          <w:tcPr>
            <w:tcW w:w="5021" w:type="dxa"/>
          </w:tcPr>
          <w:p w14:paraId="37914D17" w14:textId="7ED186BF" w:rsidR="00827B19" w:rsidRPr="00827B19" w:rsidRDefault="00827B19" w:rsidP="00827B19">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827B19">
              <w:rPr>
                <w:rFonts w:cstheme="minorHAnsi"/>
                <w:sz w:val="16"/>
                <w:szCs w:val="16"/>
              </w:rPr>
              <w:t xml:space="preserve">Sex work is a term used to describe a range of activities relating to the exchange of money (or its equivalent) for the provision of sexual services. In the UK, whilst sex work is not illegal, many associated acts are, such as ‘soliciting’, ‘kerb-crawling’ or running a ‘brothel’. Sex work is therefore, in practice, effectively criminalized which leads to the marginalisation and </w:t>
            </w:r>
          </w:p>
          <w:p w14:paraId="35058309" w14:textId="633E0C52" w:rsidR="00827B19" w:rsidRPr="00827B19" w:rsidRDefault="00827B19" w:rsidP="00827B19">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827B19">
              <w:rPr>
                <w:rFonts w:cstheme="minorHAnsi"/>
                <w:sz w:val="16"/>
                <w:szCs w:val="16"/>
              </w:rPr>
              <w:t>stigmatization of sex worker in society.</w:t>
            </w:r>
            <w:r>
              <w:rPr>
                <w:rFonts w:cstheme="minorHAnsi"/>
                <w:sz w:val="16"/>
                <w:szCs w:val="16"/>
              </w:rPr>
              <w:t xml:space="preserve">  </w:t>
            </w:r>
            <w:r w:rsidRPr="00827B19">
              <w:rPr>
                <w:rFonts w:cstheme="minorHAnsi"/>
                <w:sz w:val="16"/>
                <w:szCs w:val="16"/>
              </w:rPr>
              <w:t xml:space="preserve">The position of sex workers in society generally results in unmet needs and health inequalities. </w:t>
            </w:r>
          </w:p>
          <w:p w14:paraId="2531CFFA" w14:textId="61017E27" w:rsidR="00D62C27" w:rsidRPr="001A12C3" w:rsidRDefault="00827B19" w:rsidP="00827B19">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827B19">
              <w:rPr>
                <w:rFonts w:cstheme="minorHAnsi"/>
                <w:sz w:val="16"/>
                <w:szCs w:val="16"/>
              </w:rPr>
              <w:t>Sex workers are at higher risk of experiencing violence, social exclusion, substance misuse, poor mental health, and poorer health in general.</w:t>
            </w:r>
          </w:p>
        </w:tc>
        <w:tc>
          <w:tcPr>
            <w:tcW w:w="4536" w:type="dxa"/>
            <w:vAlign w:val="center"/>
          </w:tcPr>
          <w:p w14:paraId="61110932" w14:textId="2F0D72B2"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 xml:space="preserve">Could stigma, confidentiality concerns, opening hours or service location deter access? NHS England’s framework cites stigma, fear of discrimination and service location/opening hours as barriers for this group. </w:t>
            </w:r>
          </w:p>
        </w:tc>
        <w:tc>
          <w:tcPr>
            <w:tcW w:w="3014" w:type="dxa"/>
            <w:vAlign w:val="center"/>
          </w:tcPr>
          <w:p w14:paraId="1B808A07" w14:textId="348B330C" w:rsidR="00D62C27" w:rsidRPr="001A12C3" w:rsidRDefault="00D62C27">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1A12C3">
              <w:rPr>
                <w:rFonts w:cstheme="minorHAnsi"/>
                <w:sz w:val="16"/>
                <w:szCs w:val="16"/>
              </w:rPr>
              <w:t>Confidential access, outreach/VCSE partners, flexible hours, trauma-informed care, safeguarding routes.</w:t>
            </w:r>
          </w:p>
        </w:tc>
      </w:tr>
    </w:tbl>
    <w:p w14:paraId="5A39BBE3" w14:textId="77777777" w:rsidR="0038060A" w:rsidRDefault="0038060A">
      <w:pPr>
        <w:pBdr>
          <w:top w:val="single" w:sz="12" w:space="0" w:color="auto"/>
        </w:pBdr>
        <w:spacing w:after="0"/>
        <w:rPr>
          <w:rFonts w:cstheme="minorHAnsi"/>
        </w:rPr>
      </w:pPr>
    </w:p>
    <w:p w14:paraId="7B0784AE" w14:textId="70C2A7DD" w:rsidR="00952CE3" w:rsidRPr="005411D4" w:rsidRDefault="005411D4" w:rsidP="005411D4">
      <w:pPr>
        <w:pBdr>
          <w:top w:val="single" w:sz="12" w:space="0" w:color="auto"/>
        </w:pBdr>
        <w:spacing w:after="0"/>
        <w:rPr>
          <w:sz w:val="22"/>
          <w:szCs w:val="22"/>
        </w:rPr>
      </w:pPr>
      <w:r w:rsidRPr="005411D4">
        <w:rPr>
          <w:sz w:val="22"/>
          <w:szCs w:val="22"/>
        </w:rPr>
        <w:t xml:space="preserve">External sources for further insights / guidance - </w:t>
      </w:r>
      <w:hyperlink r:id="rId14" w:history="1">
        <w:r w:rsidR="008669CB" w:rsidRPr="005411D4">
          <w:rPr>
            <w:rStyle w:val="Hyperlink"/>
            <w:rFonts w:cstheme="minorHAnsi"/>
            <w:sz w:val="22"/>
            <w:szCs w:val="22"/>
          </w:rPr>
          <w:t>[england.nhs.uk]</w:t>
        </w:r>
      </w:hyperlink>
      <w:r w:rsidRPr="005411D4">
        <w:rPr>
          <w:sz w:val="22"/>
          <w:szCs w:val="22"/>
        </w:rPr>
        <w:t xml:space="preserve">, </w:t>
      </w:r>
      <w:hyperlink r:id="rId15" w:history="1">
        <w:r w:rsidR="00952CE3" w:rsidRPr="005411D4">
          <w:rPr>
            <w:rStyle w:val="Hyperlink"/>
            <w:rFonts w:cstheme="minorHAnsi"/>
            <w:sz w:val="22"/>
            <w:szCs w:val="22"/>
          </w:rPr>
          <w:t>[legislation.gov.uk]</w:t>
        </w:r>
      </w:hyperlink>
      <w:r w:rsidR="00952CE3" w:rsidRPr="005411D4">
        <w:rPr>
          <w:sz w:val="22"/>
          <w:szCs w:val="22"/>
        </w:rPr>
        <w:t xml:space="preserve"> </w:t>
      </w:r>
      <w:r w:rsidRPr="005411D4">
        <w:rPr>
          <w:sz w:val="22"/>
          <w:szCs w:val="22"/>
        </w:rPr>
        <w:t xml:space="preserve">, </w:t>
      </w:r>
      <w:hyperlink r:id="rId16" w:history="1">
        <w:r w:rsidR="00952CE3" w:rsidRPr="005411D4">
          <w:rPr>
            <w:rStyle w:val="Hyperlink"/>
            <w:rFonts w:cstheme="minorHAnsi"/>
            <w:sz w:val="22"/>
            <w:szCs w:val="22"/>
          </w:rPr>
          <w:t>[nice.org.uk]</w:t>
        </w:r>
      </w:hyperlink>
    </w:p>
    <w:p w14:paraId="799D588F" w14:textId="1FC59C3D" w:rsidR="000927A9" w:rsidRDefault="000927A9">
      <w:pPr>
        <w:rPr>
          <w:rFonts w:eastAsiaTheme="majorEastAsia" w:cstheme="minorHAnsi"/>
          <w:color w:val="0F4761"/>
          <w:sz w:val="32"/>
          <w:szCs w:val="32"/>
        </w:rPr>
      </w:pPr>
    </w:p>
    <w:p w14:paraId="27440AD9" w14:textId="77777777" w:rsidR="005411D4" w:rsidRDefault="005411D4">
      <w:pPr>
        <w:rPr>
          <w:rFonts w:eastAsiaTheme="majorEastAsia" w:cstheme="minorHAnsi"/>
          <w:color w:val="0F4761"/>
          <w:sz w:val="32"/>
          <w:szCs w:val="32"/>
        </w:rPr>
      </w:pPr>
      <w:r>
        <w:rPr>
          <w:rFonts w:cstheme="minorHAnsi"/>
        </w:rPr>
        <w:br w:type="page"/>
      </w:r>
    </w:p>
    <w:p w14:paraId="3FA3621F" w14:textId="02238222" w:rsidR="0038060A" w:rsidRPr="00182B6B" w:rsidRDefault="00AC4670">
      <w:pPr>
        <w:pStyle w:val="Heading2"/>
        <w:rPr>
          <w:rFonts w:asciiTheme="minorHAnsi" w:hAnsiTheme="minorHAnsi" w:cstheme="minorHAnsi"/>
        </w:rPr>
      </w:pPr>
      <w:r w:rsidRPr="00182B6B">
        <w:rPr>
          <w:rFonts w:asciiTheme="minorHAnsi" w:hAnsiTheme="minorHAnsi" w:cstheme="minorHAnsi"/>
        </w:rPr>
        <w:lastRenderedPageBreak/>
        <w:t>D. Human Rights Act guidance</w:t>
      </w:r>
    </w:p>
    <w:p w14:paraId="783A4E67" w14:textId="312C2C58" w:rsidR="0038060A" w:rsidRPr="005411D4" w:rsidRDefault="00AC4670">
      <w:pPr>
        <w:rPr>
          <w:rFonts w:cstheme="minorHAnsi"/>
          <w:sz w:val="22"/>
          <w:szCs w:val="22"/>
        </w:rPr>
      </w:pPr>
      <w:r w:rsidRPr="005411D4">
        <w:rPr>
          <w:rFonts w:cstheme="minorHAnsi"/>
          <w:sz w:val="22"/>
          <w:szCs w:val="22"/>
        </w:rPr>
        <w:t xml:space="preserve">The template asks assessors to consider Articles 2, 3, 5, 6, 8, 9, 10 and 14 and whether systems, processes and monitoring could fail to protect rights. The Human Rights Act incorporates ECHR rights into UK law and requires public bodies, including hospitals and publicly funded services, to respect and protect rights. CQC states that care that does not respect and promote human rights is neither safe nor high-quality, and links health and care regulations to relevant human rights articles. </w:t>
      </w:r>
    </w:p>
    <w:tbl>
      <w:tblPr>
        <w:tblStyle w:val="GridTable4-Accent1"/>
        <w:tblW w:w="13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6792"/>
        <w:gridCol w:w="4699"/>
      </w:tblGrid>
      <w:tr w:rsidR="0038060A" w:rsidRPr="000927A9" w14:paraId="09637721" w14:textId="77777777" w:rsidTr="00890306">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auto"/>
            <w:vAlign w:val="center"/>
          </w:tcPr>
          <w:p w14:paraId="603CFA96" w14:textId="77777777" w:rsidR="0038060A" w:rsidRPr="00890306" w:rsidRDefault="00AC4670">
            <w:pPr>
              <w:rPr>
                <w:rFonts w:cstheme="minorHAnsi"/>
                <w:color w:val="FFFFFF" w:themeColor="background1"/>
                <w:sz w:val="20"/>
                <w:szCs w:val="20"/>
              </w:rPr>
            </w:pPr>
            <w:r w:rsidRPr="00890306">
              <w:rPr>
                <w:rFonts w:cstheme="minorHAnsi"/>
                <w:color w:val="FFFFFF" w:themeColor="background1"/>
                <w:sz w:val="20"/>
                <w:szCs w:val="20"/>
              </w:rPr>
              <w:t>Article</w:t>
            </w:r>
          </w:p>
        </w:tc>
        <w:tc>
          <w:tcPr>
            <w:tcW w:w="0" w:type="auto"/>
            <w:vAlign w:val="center"/>
          </w:tcPr>
          <w:p w14:paraId="4D5B0A26" w14:textId="77777777" w:rsidR="0038060A" w:rsidRPr="00890306"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890306">
              <w:rPr>
                <w:rFonts w:cstheme="minorHAnsi"/>
                <w:color w:val="FFFFFF" w:themeColor="background1"/>
                <w:sz w:val="20"/>
                <w:szCs w:val="20"/>
              </w:rPr>
              <w:t>Health and care relevance</w:t>
            </w:r>
          </w:p>
        </w:tc>
        <w:tc>
          <w:tcPr>
            <w:tcW w:w="0" w:type="auto"/>
            <w:vAlign w:val="center"/>
          </w:tcPr>
          <w:p w14:paraId="57CFBBA8" w14:textId="77777777" w:rsidR="0038060A" w:rsidRPr="00890306"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890306">
              <w:rPr>
                <w:rFonts w:cstheme="minorHAnsi"/>
                <w:color w:val="FFFFFF" w:themeColor="background1"/>
                <w:sz w:val="20"/>
                <w:szCs w:val="20"/>
              </w:rPr>
              <w:t>Assessor questions</w:t>
            </w:r>
          </w:p>
        </w:tc>
      </w:tr>
      <w:tr w:rsidR="0038060A" w:rsidRPr="000927A9" w14:paraId="5FD06779" w14:textId="77777777" w:rsidTr="00890306">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0" w:type="auto"/>
            <w:vAlign w:val="center"/>
          </w:tcPr>
          <w:p w14:paraId="48E8C40F" w14:textId="77777777" w:rsidR="0038060A" w:rsidRPr="000927A9" w:rsidRDefault="00AC4670">
            <w:pPr>
              <w:rPr>
                <w:rFonts w:cstheme="minorHAnsi"/>
                <w:sz w:val="20"/>
                <w:szCs w:val="20"/>
              </w:rPr>
            </w:pPr>
            <w:r w:rsidRPr="000927A9">
              <w:rPr>
                <w:rFonts w:cstheme="minorHAnsi"/>
                <w:sz w:val="20"/>
                <w:szCs w:val="20"/>
              </w:rPr>
              <w:t>Article 2 – Right to life</w:t>
            </w:r>
          </w:p>
        </w:tc>
        <w:tc>
          <w:tcPr>
            <w:tcW w:w="0" w:type="auto"/>
            <w:vAlign w:val="center"/>
          </w:tcPr>
          <w:p w14:paraId="581C601F" w14:textId="541961D6"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Linked by CQC to safe care and treatment; examples include failure to provide appropriate safe care or access to hydration/food</w:t>
            </w:r>
          </w:p>
        </w:tc>
        <w:tc>
          <w:tcPr>
            <w:tcW w:w="0" w:type="auto"/>
            <w:vAlign w:val="center"/>
          </w:tcPr>
          <w:p w14:paraId="0CA933B6" w14:textId="77777777"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Could the change increase mortality, emergency risk, unsafe delay or failure to rescue?</w:t>
            </w:r>
          </w:p>
        </w:tc>
      </w:tr>
      <w:tr w:rsidR="0038060A" w:rsidRPr="000927A9" w14:paraId="7F9F922B" w14:textId="77777777" w:rsidTr="00890306">
        <w:trPr>
          <w:trHeight w:val="606"/>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927FFA" w14:textId="77777777" w:rsidR="0038060A" w:rsidRPr="000927A9" w:rsidRDefault="00AC4670">
            <w:pPr>
              <w:rPr>
                <w:rFonts w:cstheme="minorHAnsi"/>
                <w:sz w:val="20"/>
                <w:szCs w:val="20"/>
              </w:rPr>
            </w:pPr>
            <w:r w:rsidRPr="000927A9">
              <w:rPr>
                <w:rFonts w:cstheme="minorHAnsi"/>
                <w:sz w:val="20"/>
                <w:szCs w:val="20"/>
              </w:rPr>
              <w:t>Article 3 – Inhuman or degrading treatment</w:t>
            </w:r>
          </w:p>
        </w:tc>
        <w:tc>
          <w:tcPr>
            <w:tcW w:w="0" w:type="auto"/>
            <w:vAlign w:val="center"/>
          </w:tcPr>
          <w:p w14:paraId="51243420" w14:textId="4C6A2510"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CQC links this to safeguarding, dignity/respect and governance, including systemic abuse or failures to safeguard.</w:t>
            </w:r>
          </w:p>
        </w:tc>
        <w:tc>
          <w:tcPr>
            <w:tcW w:w="0" w:type="auto"/>
            <w:vAlign w:val="center"/>
          </w:tcPr>
          <w:p w14:paraId="0F9EF84C" w14:textId="77777777"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Could people experience neglect, abuse, humiliation, unsafe restraint, or loss of dignity?</w:t>
            </w:r>
          </w:p>
        </w:tc>
      </w:tr>
      <w:tr w:rsidR="0038060A" w:rsidRPr="000927A9" w14:paraId="1EF3252A" w14:textId="77777777" w:rsidTr="00890306">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0" w:type="auto"/>
            <w:vAlign w:val="center"/>
          </w:tcPr>
          <w:p w14:paraId="6F8413A9" w14:textId="77777777" w:rsidR="0038060A" w:rsidRPr="000927A9" w:rsidRDefault="00AC4670">
            <w:pPr>
              <w:rPr>
                <w:rFonts w:cstheme="minorHAnsi"/>
                <w:sz w:val="20"/>
                <w:szCs w:val="20"/>
              </w:rPr>
            </w:pPr>
            <w:r w:rsidRPr="000927A9">
              <w:rPr>
                <w:rFonts w:cstheme="minorHAnsi"/>
                <w:sz w:val="20"/>
                <w:szCs w:val="20"/>
              </w:rPr>
              <w:t>Article 5 – Liberty and security</w:t>
            </w:r>
          </w:p>
        </w:tc>
        <w:tc>
          <w:tcPr>
            <w:tcW w:w="0" w:type="auto"/>
            <w:vAlign w:val="center"/>
          </w:tcPr>
          <w:p w14:paraId="0FC83D91" w14:textId="2B91FE41"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Relevant where restrictive practice, detention, seclusion or deprivation of liberty may occur.</w:t>
            </w:r>
          </w:p>
        </w:tc>
        <w:tc>
          <w:tcPr>
            <w:tcW w:w="0" w:type="auto"/>
            <w:vAlign w:val="center"/>
          </w:tcPr>
          <w:p w14:paraId="450B6268" w14:textId="77777777"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Are restrictions lawful, necessary, proportionate, reviewed and least restrictive?</w:t>
            </w:r>
          </w:p>
        </w:tc>
      </w:tr>
      <w:tr w:rsidR="0038060A" w:rsidRPr="000927A9" w14:paraId="0927873F" w14:textId="77777777" w:rsidTr="00890306">
        <w:trPr>
          <w:trHeight w:val="90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290F5D" w14:textId="77777777" w:rsidR="0038060A" w:rsidRPr="000927A9" w:rsidRDefault="00AC4670">
            <w:pPr>
              <w:rPr>
                <w:rFonts w:cstheme="minorHAnsi"/>
                <w:sz w:val="20"/>
                <w:szCs w:val="20"/>
              </w:rPr>
            </w:pPr>
            <w:r w:rsidRPr="000927A9">
              <w:rPr>
                <w:rFonts w:cstheme="minorHAnsi"/>
                <w:sz w:val="20"/>
                <w:szCs w:val="20"/>
              </w:rPr>
              <w:t>Article 6 – Fair hearing</w:t>
            </w:r>
          </w:p>
        </w:tc>
        <w:tc>
          <w:tcPr>
            <w:tcW w:w="0" w:type="auto"/>
            <w:vAlign w:val="center"/>
          </w:tcPr>
          <w:p w14:paraId="342802F6" w14:textId="4AA496AD"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 xml:space="preserve">EHRC states Article 6 applies where a public authority </w:t>
            </w:r>
            <w:proofErr w:type="gramStart"/>
            <w:r w:rsidRPr="000927A9">
              <w:rPr>
                <w:rFonts w:cstheme="minorHAnsi"/>
                <w:sz w:val="20"/>
                <w:szCs w:val="20"/>
              </w:rPr>
              <w:t>makes a decision</w:t>
            </w:r>
            <w:proofErr w:type="gramEnd"/>
            <w:r w:rsidRPr="000927A9">
              <w:rPr>
                <w:rFonts w:cstheme="minorHAnsi"/>
                <w:sz w:val="20"/>
                <w:szCs w:val="20"/>
              </w:rPr>
              <w:t xml:space="preserve"> affecting civil rights/obligations and requires fair, timely, impartial process, relevant information and reasons.</w:t>
            </w:r>
          </w:p>
        </w:tc>
        <w:tc>
          <w:tcPr>
            <w:tcW w:w="0" w:type="auto"/>
            <w:vAlign w:val="center"/>
          </w:tcPr>
          <w:p w14:paraId="35AC5897" w14:textId="77777777"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Are complaints, eligibility decisions, panels or reviews fair, accessible, timely and reasoned?</w:t>
            </w:r>
          </w:p>
        </w:tc>
      </w:tr>
      <w:tr w:rsidR="0038060A" w:rsidRPr="000927A9" w14:paraId="67E08682" w14:textId="77777777" w:rsidTr="00890306">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C37C1E" w14:textId="77777777" w:rsidR="0038060A" w:rsidRPr="000927A9" w:rsidRDefault="00AC4670">
            <w:pPr>
              <w:rPr>
                <w:rFonts w:cstheme="minorHAnsi"/>
                <w:sz w:val="20"/>
                <w:szCs w:val="20"/>
              </w:rPr>
            </w:pPr>
            <w:r w:rsidRPr="000927A9">
              <w:rPr>
                <w:rFonts w:cstheme="minorHAnsi"/>
                <w:sz w:val="20"/>
                <w:szCs w:val="20"/>
              </w:rPr>
              <w:t>Article 8 – Private/family life</w:t>
            </w:r>
          </w:p>
        </w:tc>
        <w:tc>
          <w:tcPr>
            <w:tcW w:w="0" w:type="auto"/>
            <w:vAlign w:val="center"/>
          </w:tcPr>
          <w:p w14:paraId="64B394B3" w14:textId="44508650"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CQC links this to person-centred care, dignity, visitors, consent and blanket DNACPR risks.</w:t>
            </w:r>
          </w:p>
        </w:tc>
        <w:tc>
          <w:tcPr>
            <w:tcW w:w="0" w:type="auto"/>
            <w:vAlign w:val="center"/>
          </w:tcPr>
          <w:p w14:paraId="253FAF38" w14:textId="77777777"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Does the proposal affect privacy, family contact, confidentiality, autonomy, consent or relationships?</w:t>
            </w:r>
          </w:p>
        </w:tc>
      </w:tr>
      <w:tr w:rsidR="0038060A" w:rsidRPr="000927A9" w14:paraId="7C876478" w14:textId="77777777" w:rsidTr="00890306">
        <w:trPr>
          <w:trHeight w:val="625"/>
        </w:trPr>
        <w:tc>
          <w:tcPr>
            <w:cnfStyle w:val="001000000000" w:firstRow="0" w:lastRow="0" w:firstColumn="1" w:lastColumn="0" w:oddVBand="0" w:evenVBand="0" w:oddHBand="0" w:evenHBand="0" w:firstRowFirstColumn="0" w:firstRowLastColumn="0" w:lastRowFirstColumn="0" w:lastRowLastColumn="0"/>
            <w:tcW w:w="0" w:type="auto"/>
            <w:vAlign w:val="center"/>
          </w:tcPr>
          <w:p w14:paraId="201E6CB1" w14:textId="77777777" w:rsidR="0038060A" w:rsidRPr="000927A9" w:rsidRDefault="00AC4670">
            <w:pPr>
              <w:rPr>
                <w:rFonts w:cstheme="minorHAnsi"/>
                <w:sz w:val="20"/>
                <w:szCs w:val="20"/>
              </w:rPr>
            </w:pPr>
            <w:r w:rsidRPr="000927A9">
              <w:rPr>
                <w:rFonts w:cstheme="minorHAnsi"/>
                <w:sz w:val="20"/>
                <w:szCs w:val="20"/>
              </w:rPr>
              <w:t>Article 9 – Thought, conscience, religion</w:t>
            </w:r>
          </w:p>
        </w:tc>
        <w:tc>
          <w:tcPr>
            <w:tcW w:w="0" w:type="auto"/>
            <w:vAlign w:val="center"/>
          </w:tcPr>
          <w:p w14:paraId="15F28730" w14:textId="3314E41C"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CQC links this to person-centred and culturally appropriate care.</w:t>
            </w:r>
          </w:p>
        </w:tc>
        <w:tc>
          <w:tcPr>
            <w:tcW w:w="0" w:type="auto"/>
            <w:vAlign w:val="center"/>
          </w:tcPr>
          <w:p w14:paraId="07905BDC" w14:textId="77777777"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Are religious/spiritual practices, diet, modesty, worship or end-of-life needs affected?</w:t>
            </w:r>
          </w:p>
        </w:tc>
      </w:tr>
      <w:tr w:rsidR="0038060A" w:rsidRPr="000927A9" w14:paraId="5773B902" w14:textId="77777777" w:rsidTr="00890306">
        <w:trPr>
          <w:cnfStyle w:val="000000100000" w:firstRow="0" w:lastRow="0" w:firstColumn="0" w:lastColumn="0" w:oddVBand="0" w:evenVBand="0" w:oddHBand="1" w:evenHBand="0" w:firstRowFirstColumn="0" w:firstRowLastColumn="0" w:lastRowFirstColumn="0" w:lastRowLastColumn="0"/>
          <w:trHeight w:val="90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8F8D05" w14:textId="77777777" w:rsidR="0038060A" w:rsidRPr="000927A9" w:rsidRDefault="00AC4670">
            <w:pPr>
              <w:rPr>
                <w:rFonts w:cstheme="minorHAnsi"/>
                <w:sz w:val="20"/>
                <w:szCs w:val="20"/>
              </w:rPr>
            </w:pPr>
            <w:r w:rsidRPr="000927A9">
              <w:rPr>
                <w:rFonts w:cstheme="minorHAnsi"/>
                <w:sz w:val="20"/>
                <w:szCs w:val="20"/>
              </w:rPr>
              <w:t>Article 10 – Expression</w:t>
            </w:r>
          </w:p>
        </w:tc>
        <w:tc>
          <w:tcPr>
            <w:tcW w:w="0" w:type="auto"/>
            <w:vAlign w:val="center"/>
          </w:tcPr>
          <w:p w14:paraId="2D9B8EDB" w14:textId="18690B4E"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Article 10 protects holding opinions and expressing views; it is qualified and may be restricted only in certain circumstances.</w:t>
            </w:r>
          </w:p>
        </w:tc>
        <w:tc>
          <w:tcPr>
            <w:tcW w:w="0" w:type="auto"/>
            <w:vAlign w:val="center"/>
          </w:tcPr>
          <w:p w14:paraId="042517F5" w14:textId="77777777"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Can people and staff speak up, complain, give feedback and receive information without inappropriate restriction?</w:t>
            </w:r>
          </w:p>
        </w:tc>
      </w:tr>
      <w:tr w:rsidR="0038060A" w:rsidRPr="000927A9" w14:paraId="253DFDC6" w14:textId="77777777" w:rsidTr="00890306">
        <w:trPr>
          <w:trHeight w:val="606"/>
        </w:trPr>
        <w:tc>
          <w:tcPr>
            <w:cnfStyle w:val="001000000000" w:firstRow="0" w:lastRow="0" w:firstColumn="1" w:lastColumn="0" w:oddVBand="0" w:evenVBand="0" w:oddHBand="0" w:evenHBand="0" w:firstRowFirstColumn="0" w:firstRowLastColumn="0" w:lastRowFirstColumn="0" w:lastRowLastColumn="0"/>
            <w:tcW w:w="0" w:type="auto"/>
            <w:vAlign w:val="center"/>
          </w:tcPr>
          <w:p w14:paraId="219ADA80" w14:textId="77777777" w:rsidR="0038060A" w:rsidRPr="000927A9" w:rsidRDefault="00AC4670">
            <w:pPr>
              <w:rPr>
                <w:rFonts w:cstheme="minorHAnsi"/>
                <w:sz w:val="20"/>
                <w:szCs w:val="20"/>
              </w:rPr>
            </w:pPr>
            <w:r w:rsidRPr="000927A9">
              <w:rPr>
                <w:rFonts w:cstheme="minorHAnsi"/>
                <w:sz w:val="20"/>
                <w:szCs w:val="20"/>
              </w:rPr>
              <w:t>Article 14 – Non-discrimination</w:t>
            </w:r>
          </w:p>
        </w:tc>
        <w:tc>
          <w:tcPr>
            <w:tcW w:w="0" w:type="auto"/>
            <w:vAlign w:val="center"/>
          </w:tcPr>
          <w:p w14:paraId="0B413959" w14:textId="7E52973B"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CQC links this to failing to provide services that meet protected groups’ needs so outcomes are equal despite equality characteristics.</w:t>
            </w:r>
          </w:p>
        </w:tc>
        <w:tc>
          <w:tcPr>
            <w:tcW w:w="0" w:type="auto"/>
            <w:vAlign w:val="center"/>
          </w:tcPr>
          <w:p w14:paraId="7E64B248" w14:textId="77777777"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Are any rights protected differently because of who people are? Are inequalities mitigated?</w:t>
            </w:r>
          </w:p>
        </w:tc>
      </w:tr>
    </w:tbl>
    <w:p w14:paraId="12233A54" w14:textId="77777777" w:rsidR="00130117" w:rsidRDefault="00130117"/>
    <w:p w14:paraId="5E2EF416" w14:textId="36D21FD9" w:rsidR="000927A9" w:rsidRDefault="00130117">
      <w:pPr>
        <w:rPr>
          <w:rFonts w:eastAsiaTheme="majorEastAsia" w:cstheme="minorHAnsi"/>
          <w:color w:val="0F4761"/>
          <w:sz w:val="32"/>
          <w:szCs w:val="32"/>
        </w:rPr>
      </w:pPr>
      <w:r w:rsidRPr="005411D4">
        <w:rPr>
          <w:sz w:val="22"/>
          <w:szCs w:val="22"/>
        </w:rPr>
        <w:t xml:space="preserve">External sources for further insights / guidance - </w:t>
      </w:r>
      <w:hyperlink r:id="rId17" w:history="1">
        <w:r w:rsidRPr="005411D4">
          <w:rPr>
            <w:rStyle w:val="Hyperlink"/>
            <w:rFonts w:cstheme="minorHAnsi"/>
            <w:sz w:val="22"/>
            <w:szCs w:val="22"/>
          </w:rPr>
          <w:t>[england.nhs.uk]</w:t>
        </w:r>
      </w:hyperlink>
      <w:r w:rsidRPr="005411D4">
        <w:rPr>
          <w:rFonts w:cstheme="minorHAnsi"/>
          <w:sz w:val="22"/>
          <w:szCs w:val="22"/>
        </w:rPr>
        <w:t xml:space="preserve"> </w:t>
      </w:r>
      <w:hyperlink r:id="rId18" w:history="1">
        <w:r w:rsidRPr="005411D4">
          <w:rPr>
            <w:rStyle w:val="Hyperlink"/>
            <w:rFonts w:cstheme="minorHAnsi"/>
            <w:sz w:val="22"/>
            <w:szCs w:val="22"/>
          </w:rPr>
          <w:t>[equalityhu...rights.com]</w:t>
        </w:r>
      </w:hyperlink>
      <w:r w:rsidRPr="005411D4">
        <w:rPr>
          <w:rFonts w:cstheme="minorHAnsi"/>
          <w:sz w:val="22"/>
          <w:szCs w:val="22"/>
        </w:rPr>
        <w:t xml:space="preserve">, </w:t>
      </w:r>
      <w:hyperlink r:id="rId19" w:history="1">
        <w:r w:rsidRPr="005411D4">
          <w:rPr>
            <w:rStyle w:val="Hyperlink"/>
            <w:rFonts w:cstheme="minorHAnsi"/>
            <w:sz w:val="22"/>
            <w:szCs w:val="22"/>
          </w:rPr>
          <w:t>[cqc.org.uk]</w:t>
        </w:r>
      </w:hyperlink>
      <w:r w:rsidR="000927A9">
        <w:rPr>
          <w:rFonts w:cstheme="minorHAnsi"/>
        </w:rPr>
        <w:br w:type="page"/>
      </w:r>
    </w:p>
    <w:p w14:paraId="70932F3B" w14:textId="245B5094" w:rsidR="0038060A" w:rsidRPr="00182B6B" w:rsidRDefault="00AC4670">
      <w:pPr>
        <w:pStyle w:val="Heading2"/>
        <w:rPr>
          <w:rFonts w:asciiTheme="minorHAnsi" w:hAnsiTheme="minorHAnsi" w:cstheme="minorHAnsi"/>
        </w:rPr>
      </w:pPr>
      <w:r w:rsidRPr="00182B6B">
        <w:rPr>
          <w:rFonts w:asciiTheme="minorHAnsi" w:hAnsiTheme="minorHAnsi" w:cstheme="minorHAnsi"/>
        </w:rPr>
        <w:lastRenderedPageBreak/>
        <w:t>E. Sustainability guidance</w:t>
      </w:r>
    </w:p>
    <w:p w14:paraId="38D518E5" w14:textId="4180B230" w:rsidR="0038060A" w:rsidRPr="005411D4" w:rsidRDefault="00AC4670">
      <w:pPr>
        <w:rPr>
          <w:rFonts w:cstheme="minorHAnsi"/>
          <w:sz w:val="22"/>
          <w:szCs w:val="22"/>
        </w:rPr>
      </w:pPr>
      <w:r w:rsidRPr="005411D4">
        <w:rPr>
          <w:rFonts w:cstheme="minorHAnsi"/>
          <w:sz w:val="22"/>
          <w:szCs w:val="22"/>
        </w:rPr>
        <w:t xml:space="preserve">The template covers </w:t>
      </w:r>
      <w:r w:rsidRPr="005411D4">
        <w:rPr>
          <w:rFonts w:cstheme="minorHAnsi"/>
          <w:b/>
          <w:bCs/>
          <w:sz w:val="22"/>
          <w:szCs w:val="22"/>
        </w:rPr>
        <w:t>Adaptation to climate change, Procurement, Travel and transport, and Infrastructure</w:t>
      </w:r>
      <w:r w:rsidRPr="005411D4">
        <w:rPr>
          <w:rFonts w:cstheme="minorHAnsi"/>
          <w:sz w:val="22"/>
          <w:szCs w:val="22"/>
        </w:rPr>
        <w:t xml:space="preserve">, and removes community engagement/workforce from Sustainability to avoid duplication with Quality and EDI domains. NHS England’s Green Plan guidance expects ICBs and trusts to have board-approved green plans, consider statutory emissions and environmental targets, set SMART actions and KPIs, and align system green plans with joint forward plans, infrastructure strategy and capital plans. </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6569"/>
        <w:gridCol w:w="5759"/>
      </w:tblGrid>
      <w:tr w:rsidR="0038060A" w:rsidRPr="000927A9" w14:paraId="1E073AEF" w14:textId="77777777" w:rsidTr="003806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068520" w14:textId="77777777" w:rsidR="0038060A" w:rsidRPr="00890306" w:rsidRDefault="00AC4670">
            <w:pPr>
              <w:rPr>
                <w:rFonts w:cstheme="minorHAnsi"/>
                <w:color w:val="FFFFFF" w:themeColor="background1"/>
                <w:sz w:val="20"/>
                <w:szCs w:val="20"/>
              </w:rPr>
            </w:pPr>
            <w:r w:rsidRPr="00890306">
              <w:rPr>
                <w:rFonts w:cstheme="minorHAnsi"/>
                <w:color w:val="FFFFFF" w:themeColor="background1"/>
                <w:sz w:val="20"/>
                <w:szCs w:val="20"/>
              </w:rPr>
              <w:t>Sustainability domain</w:t>
            </w:r>
          </w:p>
        </w:tc>
        <w:tc>
          <w:tcPr>
            <w:tcW w:w="0" w:type="auto"/>
            <w:vAlign w:val="center"/>
          </w:tcPr>
          <w:p w14:paraId="25372E40" w14:textId="77777777" w:rsidR="0038060A" w:rsidRPr="00890306"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890306">
              <w:rPr>
                <w:rFonts w:cstheme="minorHAnsi"/>
                <w:color w:val="FFFFFF" w:themeColor="background1"/>
                <w:sz w:val="20"/>
                <w:szCs w:val="20"/>
              </w:rPr>
              <w:t>Description and prompts</w:t>
            </w:r>
          </w:p>
        </w:tc>
        <w:tc>
          <w:tcPr>
            <w:tcW w:w="0" w:type="auto"/>
            <w:vAlign w:val="center"/>
          </w:tcPr>
          <w:p w14:paraId="5C760E32" w14:textId="77777777" w:rsidR="0038060A" w:rsidRPr="00890306" w:rsidRDefault="00AC4670">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890306">
              <w:rPr>
                <w:rFonts w:cstheme="minorHAnsi"/>
                <w:color w:val="FFFFFF" w:themeColor="background1"/>
                <w:sz w:val="20"/>
                <w:szCs w:val="20"/>
              </w:rPr>
              <w:t>Evidence, metrics and mitigations</w:t>
            </w:r>
          </w:p>
        </w:tc>
      </w:tr>
      <w:tr w:rsidR="0038060A" w:rsidRPr="000927A9" w14:paraId="260EDABF" w14:textId="77777777" w:rsidTr="00380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A650AD" w14:textId="77777777" w:rsidR="0038060A" w:rsidRPr="000927A9" w:rsidRDefault="00AC4670">
            <w:pPr>
              <w:rPr>
                <w:rFonts w:cstheme="minorHAnsi"/>
                <w:sz w:val="20"/>
                <w:szCs w:val="20"/>
              </w:rPr>
            </w:pPr>
            <w:r w:rsidRPr="000927A9">
              <w:rPr>
                <w:rFonts w:cstheme="minorHAnsi"/>
                <w:sz w:val="20"/>
                <w:szCs w:val="20"/>
              </w:rPr>
              <w:t>Adaptation to climate change</w:t>
            </w:r>
          </w:p>
        </w:tc>
        <w:tc>
          <w:tcPr>
            <w:tcW w:w="0" w:type="auto"/>
            <w:vAlign w:val="center"/>
          </w:tcPr>
          <w:p w14:paraId="621FC03E" w14:textId="7AA0EF56"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 xml:space="preserve">Will the service remain safe and resilient during heatwaves, flooding, storms, air pollution, supply disruption or digital/utility outages? NHS England’s adaptation framework says effective adaptation needs evidence on climate risks, governance, inclusive planning and collaboration. </w:t>
            </w:r>
          </w:p>
        </w:tc>
        <w:tc>
          <w:tcPr>
            <w:tcW w:w="0" w:type="auto"/>
            <w:vAlign w:val="center"/>
          </w:tcPr>
          <w:p w14:paraId="00238CA7" w14:textId="77777777"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Evidence: local climate risk, EPRR risks, estates overheating/flood incidents. Metrics: overheating/flood occurrences, business continuity incidents. Mitigate via climate risk assessment, passive cooling, contingency plans, mutual aid, weather alerts.</w:t>
            </w:r>
          </w:p>
        </w:tc>
      </w:tr>
      <w:tr w:rsidR="0038060A" w:rsidRPr="000927A9" w14:paraId="00E91186" w14:textId="77777777" w:rsidTr="0038060A">
        <w:tc>
          <w:tcPr>
            <w:cnfStyle w:val="001000000000" w:firstRow="0" w:lastRow="0" w:firstColumn="1" w:lastColumn="0" w:oddVBand="0" w:evenVBand="0" w:oddHBand="0" w:evenHBand="0" w:firstRowFirstColumn="0" w:firstRowLastColumn="0" w:lastRowFirstColumn="0" w:lastRowLastColumn="0"/>
            <w:tcW w:w="0" w:type="auto"/>
            <w:vAlign w:val="center"/>
          </w:tcPr>
          <w:p w14:paraId="097EBA4D" w14:textId="77777777" w:rsidR="0038060A" w:rsidRPr="000927A9" w:rsidRDefault="00AC4670">
            <w:pPr>
              <w:rPr>
                <w:rFonts w:cstheme="minorHAnsi"/>
                <w:sz w:val="20"/>
                <w:szCs w:val="20"/>
              </w:rPr>
            </w:pPr>
            <w:r w:rsidRPr="000927A9">
              <w:rPr>
                <w:rFonts w:cstheme="minorHAnsi"/>
                <w:sz w:val="20"/>
                <w:szCs w:val="20"/>
              </w:rPr>
              <w:t>Procurement</w:t>
            </w:r>
          </w:p>
        </w:tc>
        <w:tc>
          <w:tcPr>
            <w:tcW w:w="0" w:type="auto"/>
            <w:vAlign w:val="center"/>
          </w:tcPr>
          <w:p w14:paraId="1CF53919" w14:textId="327F4256"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 xml:space="preserve">Does procurement reduce carbon, waste, modern slavery risk and improve social value? NHS England sustainable procurement requires all NHS procurements to include a minimum 10% net zero/social value weighting from April 2022 and extends Carbon Reduction Plan requirements across new procurements. </w:t>
            </w:r>
          </w:p>
        </w:tc>
        <w:tc>
          <w:tcPr>
            <w:tcW w:w="0" w:type="auto"/>
            <w:vAlign w:val="center"/>
          </w:tcPr>
          <w:p w14:paraId="5F0FE6F8" w14:textId="77777777"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Evidence: procurement strategy, CRP, Evergreen, social value KPIs. Mitigate via supplier CRP clauses, reusable/remanufactured options, modern slavery checks, lifecycle costing.</w:t>
            </w:r>
          </w:p>
        </w:tc>
      </w:tr>
      <w:tr w:rsidR="0038060A" w:rsidRPr="000927A9" w14:paraId="7C6C17AC" w14:textId="77777777" w:rsidTr="00380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A6D600" w14:textId="77777777" w:rsidR="0038060A" w:rsidRPr="000927A9" w:rsidRDefault="00AC4670">
            <w:pPr>
              <w:rPr>
                <w:rFonts w:cstheme="minorHAnsi"/>
                <w:sz w:val="20"/>
                <w:szCs w:val="20"/>
              </w:rPr>
            </w:pPr>
            <w:r w:rsidRPr="000927A9">
              <w:rPr>
                <w:rFonts w:cstheme="minorHAnsi"/>
                <w:sz w:val="20"/>
                <w:szCs w:val="20"/>
              </w:rPr>
              <w:t>Travel and transport</w:t>
            </w:r>
          </w:p>
        </w:tc>
        <w:tc>
          <w:tcPr>
            <w:tcW w:w="0" w:type="auto"/>
            <w:vAlign w:val="center"/>
          </w:tcPr>
          <w:p w14:paraId="7E162C15" w14:textId="5720A4B9"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 xml:space="preserve">Does the proposal increase or reduce patient, staff, fleet or supplier travel? NHS travel strategy says sustainable travel strategies should be incorporated into ICB/trust green plans by 2026 and sets milestones for zero-emission vehicles. </w:t>
            </w:r>
          </w:p>
        </w:tc>
        <w:tc>
          <w:tcPr>
            <w:tcW w:w="0" w:type="auto"/>
            <w:vAlign w:val="center"/>
          </w:tcPr>
          <w:p w14:paraId="5D4FAD1A" w14:textId="77777777" w:rsidR="0038060A" w:rsidRPr="000927A9" w:rsidRDefault="00AC467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927A9">
              <w:rPr>
                <w:rFonts w:cstheme="minorHAnsi"/>
                <w:sz w:val="20"/>
                <w:szCs w:val="20"/>
              </w:rPr>
              <w:t>Evidence: travel surveys, mileage, fleet data, public transport access. Metrics: fleet emissions, ULEV/ZEV proportion, staff travel emissions. Mitigate via digital-first where clinically appropriate, local access, active travel, EVs, route planning.</w:t>
            </w:r>
          </w:p>
        </w:tc>
      </w:tr>
      <w:tr w:rsidR="0038060A" w:rsidRPr="000927A9" w14:paraId="1ADACA55" w14:textId="77777777" w:rsidTr="0038060A">
        <w:tc>
          <w:tcPr>
            <w:cnfStyle w:val="001000000000" w:firstRow="0" w:lastRow="0" w:firstColumn="1" w:lastColumn="0" w:oddVBand="0" w:evenVBand="0" w:oddHBand="0" w:evenHBand="0" w:firstRowFirstColumn="0" w:firstRowLastColumn="0" w:lastRowFirstColumn="0" w:lastRowLastColumn="0"/>
            <w:tcW w:w="0" w:type="auto"/>
            <w:vAlign w:val="center"/>
          </w:tcPr>
          <w:p w14:paraId="08E7CB28" w14:textId="77777777" w:rsidR="0038060A" w:rsidRPr="000927A9" w:rsidRDefault="00AC4670">
            <w:pPr>
              <w:rPr>
                <w:rFonts w:cstheme="minorHAnsi"/>
                <w:sz w:val="20"/>
                <w:szCs w:val="20"/>
              </w:rPr>
            </w:pPr>
            <w:r w:rsidRPr="000927A9">
              <w:rPr>
                <w:rFonts w:cstheme="minorHAnsi"/>
                <w:sz w:val="20"/>
                <w:szCs w:val="20"/>
              </w:rPr>
              <w:t>Infrastructure</w:t>
            </w:r>
          </w:p>
        </w:tc>
        <w:tc>
          <w:tcPr>
            <w:tcW w:w="0" w:type="auto"/>
            <w:vAlign w:val="center"/>
          </w:tcPr>
          <w:p w14:paraId="1D11AE10" w14:textId="77777777"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Does the change affect estates, energy, ventilation, digital infrastructure, maintenance, accessibility or resilience? Green Plan guidance highlights estate energy efficiency, lower-carbon heating, renewable energy and net zero building standards for new builds/refurbishments.</w:t>
            </w:r>
          </w:p>
        </w:tc>
        <w:tc>
          <w:tcPr>
            <w:tcW w:w="0" w:type="auto"/>
            <w:vAlign w:val="center"/>
          </w:tcPr>
          <w:p w14:paraId="1F9F3923" w14:textId="78E51C6F" w:rsidR="0038060A" w:rsidRPr="000927A9" w:rsidRDefault="00AC467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927A9">
              <w:rPr>
                <w:rFonts w:cstheme="minorHAnsi"/>
                <w:sz w:val="20"/>
                <w:szCs w:val="20"/>
              </w:rPr>
              <w:t xml:space="preserve">Evidence: ERIC, estates backlog, heat </w:t>
            </w:r>
            <w:r w:rsidR="005411D4" w:rsidRPr="000927A9">
              <w:rPr>
                <w:rFonts w:cstheme="minorHAnsi"/>
                <w:sz w:val="20"/>
                <w:szCs w:val="20"/>
              </w:rPr>
              <w:t>decarbonization</w:t>
            </w:r>
            <w:r w:rsidRPr="000927A9">
              <w:rPr>
                <w:rFonts w:cstheme="minorHAnsi"/>
                <w:sz w:val="20"/>
                <w:szCs w:val="20"/>
              </w:rPr>
              <w:t xml:space="preserve"> plans, energy use. Metrics: fossil-fuel heating emissions, LED coverage, site HDPs. Mitigate via net zero building standard, heat </w:t>
            </w:r>
            <w:r w:rsidR="005411D4" w:rsidRPr="000927A9">
              <w:rPr>
                <w:rFonts w:cstheme="minorHAnsi"/>
                <w:sz w:val="20"/>
                <w:szCs w:val="20"/>
              </w:rPr>
              <w:t>decarbonization</w:t>
            </w:r>
            <w:r w:rsidRPr="000927A9">
              <w:rPr>
                <w:rFonts w:cstheme="minorHAnsi"/>
                <w:sz w:val="20"/>
                <w:szCs w:val="20"/>
              </w:rPr>
              <w:t>, insulation, renewable energy, accessible design.</w:t>
            </w:r>
          </w:p>
        </w:tc>
      </w:tr>
    </w:tbl>
    <w:p w14:paraId="72A3D3EC" w14:textId="77777777" w:rsidR="0038060A" w:rsidRPr="00182B6B" w:rsidRDefault="0038060A">
      <w:pPr>
        <w:pBdr>
          <w:top w:val="single" w:sz="12" w:space="0" w:color="auto"/>
        </w:pBdr>
        <w:spacing w:after="0"/>
        <w:rPr>
          <w:rFonts w:cstheme="minorHAnsi"/>
        </w:rPr>
      </w:pPr>
    </w:p>
    <w:p w14:paraId="22BF4069" w14:textId="15AD76B9" w:rsidR="0038060A" w:rsidRPr="003C73EB" w:rsidRDefault="005411D4" w:rsidP="003C73EB">
      <w:pPr>
        <w:rPr>
          <w:rFonts w:eastAsiaTheme="majorEastAsia" w:cstheme="minorHAnsi"/>
          <w:color w:val="0F4761"/>
          <w:sz w:val="32"/>
          <w:szCs w:val="32"/>
        </w:rPr>
      </w:pPr>
      <w:r>
        <w:t xml:space="preserve">External sources for further insights / guidance - </w:t>
      </w:r>
      <w:hyperlink r:id="rId20" w:history="1">
        <w:r w:rsidRPr="000927A9">
          <w:rPr>
            <w:rStyle w:val="Hyperlink"/>
            <w:rFonts w:cstheme="minorHAnsi"/>
            <w:sz w:val="20"/>
            <w:szCs w:val="20"/>
          </w:rPr>
          <w:t>[england.nhs.uk]</w:t>
        </w:r>
      </w:hyperlink>
    </w:p>
    <w:sectPr w:rsidR="0038060A" w:rsidRPr="003C73EB" w:rsidSect="00182B6B">
      <w:pgSz w:w="16838" w:h="11906" w:orient="landscape"/>
      <w:pgMar w:top="1440" w:right="1440" w:bottom="1440" w:left="144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A752"/>
    <w:multiLevelType w:val="hybridMultilevel"/>
    <w:tmpl w:val="FFFFFFFF"/>
    <w:lvl w:ilvl="0" w:tplc="F42E358E">
      <w:start w:val="1"/>
      <w:numFmt w:val="bullet"/>
      <w:lvlText w:val="●"/>
      <w:lvlJc w:val="left"/>
      <w:pPr>
        <w:ind w:left="720" w:hanging="360"/>
      </w:pPr>
    </w:lvl>
    <w:lvl w:ilvl="1" w:tplc="EEA0F372">
      <w:start w:val="1"/>
      <w:numFmt w:val="bullet"/>
      <w:lvlText w:val="○"/>
      <w:lvlJc w:val="left"/>
      <w:pPr>
        <w:ind w:left="1440" w:hanging="360"/>
      </w:pPr>
    </w:lvl>
    <w:lvl w:ilvl="2" w:tplc="EC2615C8">
      <w:start w:val="1"/>
      <w:numFmt w:val="bullet"/>
      <w:lvlText w:val="■"/>
      <w:lvlJc w:val="left"/>
      <w:pPr>
        <w:ind w:left="2160" w:hanging="360"/>
      </w:pPr>
    </w:lvl>
    <w:lvl w:ilvl="3" w:tplc="DFA67178">
      <w:start w:val="1"/>
      <w:numFmt w:val="bullet"/>
      <w:lvlText w:val="●"/>
      <w:lvlJc w:val="left"/>
      <w:pPr>
        <w:ind w:left="2880" w:hanging="360"/>
      </w:pPr>
    </w:lvl>
    <w:lvl w:ilvl="4" w:tplc="61C89468">
      <w:start w:val="1"/>
      <w:numFmt w:val="bullet"/>
      <w:lvlText w:val="○"/>
      <w:lvlJc w:val="left"/>
      <w:pPr>
        <w:ind w:left="3600" w:hanging="360"/>
      </w:pPr>
    </w:lvl>
    <w:lvl w:ilvl="5" w:tplc="F0081D0E">
      <w:start w:val="1"/>
      <w:numFmt w:val="bullet"/>
      <w:lvlText w:val="■"/>
      <w:lvlJc w:val="left"/>
      <w:pPr>
        <w:ind w:left="4320" w:hanging="360"/>
      </w:pPr>
    </w:lvl>
    <w:lvl w:ilvl="6" w:tplc="03C4BE4E">
      <w:start w:val="1"/>
      <w:numFmt w:val="bullet"/>
      <w:lvlText w:val="●"/>
      <w:lvlJc w:val="left"/>
      <w:pPr>
        <w:ind w:left="5040" w:hanging="360"/>
      </w:pPr>
    </w:lvl>
    <w:lvl w:ilvl="7" w:tplc="4148F466">
      <w:start w:val="1"/>
      <w:numFmt w:val="bullet"/>
      <w:lvlText w:val="●"/>
      <w:lvlJc w:val="left"/>
      <w:pPr>
        <w:ind w:left="5760" w:hanging="360"/>
      </w:pPr>
    </w:lvl>
    <w:lvl w:ilvl="8" w:tplc="A44803FA">
      <w:start w:val="1"/>
      <w:numFmt w:val="bullet"/>
      <w:lvlText w:val="●"/>
      <w:lvlJc w:val="left"/>
      <w:pPr>
        <w:ind w:left="6480" w:hanging="360"/>
      </w:pPr>
    </w:lvl>
  </w:abstractNum>
  <w:abstractNum w:abstractNumId="1" w15:restartNumberingAfterBreak="0">
    <w:nsid w:val="2C96AE10"/>
    <w:multiLevelType w:val="hybridMultilevel"/>
    <w:tmpl w:val="FFFFFFFF"/>
    <w:lvl w:ilvl="0" w:tplc="D69EE594">
      <w:start w:val="1"/>
      <w:numFmt w:val="decimal"/>
      <w:lvlText w:val="%1."/>
      <w:lvlJc w:val="left"/>
      <w:pPr>
        <w:ind w:left="720" w:hanging="360"/>
      </w:pPr>
    </w:lvl>
    <w:lvl w:ilvl="1" w:tplc="00E6B27A">
      <w:start w:val="1"/>
      <w:numFmt w:val="lowerLetter"/>
      <w:lvlText w:val="%2."/>
      <w:lvlJc w:val="left"/>
      <w:pPr>
        <w:ind w:left="1440" w:hanging="360"/>
      </w:pPr>
    </w:lvl>
    <w:lvl w:ilvl="2" w:tplc="83D287F4">
      <w:start w:val="1"/>
      <w:numFmt w:val="lowerRoman"/>
      <w:lvlText w:val="%3."/>
      <w:lvlJc w:val="right"/>
      <w:pPr>
        <w:ind w:left="2160" w:hanging="180"/>
      </w:pPr>
    </w:lvl>
    <w:lvl w:ilvl="3" w:tplc="0100DB90">
      <w:start w:val="1"/>
      <w:numFmt w:val="decimal"/>
      <w:lvlText w:val="%4."/>
      <w:lvlJc w:val="left"/>
      <w:pPr>
        <w:ind w:left="2880" w:hanging="360"/>
      </w:pPr>
    </w:lvl>
    <w:lvl w:ilvl="4" w:tplc="C7A80674">
      <w:start w:val="1"/>
      <w:numFmt w:val="lowerLetter"/>
      <w:lvlText w:val="%5."/>
      <w:lvlJc w:val="left"/>
      <w:pPr>
        <w:ind w:left="3600" w:hanging="360"/>
      </w:pPr>
    </w:lvl>
    <w:lvl w:ilvl="5" w:tplc="0B66B252">
      <w:start w:val="1"/>
      <w:numFmt w:val="lowerRoman"/>
      <w:lvlText w:val="%6."/>
      <w:lvlJc w:val="right"/>
      <w:pPr>
        <w:ind w:left="4320" w:hanging="180"/>
      </w:pPr>
    </w:lvl>
    <w:lvl w:ilvl="6" w:tplc="A11662DE">
      <w:start w:val="1"/>
      <w:numFmt w:val="decimal"/>
      <w:lvlText w:val="%7."/>
      <w:lvlJc w:val="left"/>
      <w:pPr>
        <w:ind w:left="5040" w:hanging="360"/>
      </w:pPr>
    </w:lvl>
    <w:lvl w:ilvl="7" w:tplc="3AFA1A58">
      <w:start w:val="1"/>
      <w:numFmt w:val="lowerLetter"/>
      <w:lvlText w:val="%8."/>
      <w:lvlJc w:val="left"/>
      <w:pPr>
        <w:ind w:left="5760" w:hanging="360"/>
      </w:pPr>
    </w:lvl>
    <w:lvl w:ilvl="8" w:tplc="FF48F0A0">
      <w:start w:val="1"/>
      <w:numFmt w:val="lowerRoman"/>
      <w:lvlText w:val="%9."/>
      <w:lvlJc w:val="right"/>
      <w:pPr>
        <w:ind w:left="6480" w:hanging="180"/>
      </w:pPr>
    </w:lvl>
  </w:abstractNum>
  <w:num w:numId="1" w16cid:durableId="1808859410">
    <w:abstractNumId w:val="0"/>
    <w:lvlOverride w:ilvl="0">
      <w:startOverride w:val="1"/>
    </w:lvlOverride>
  </w:num>
  <w:num w:numId="2" w16cid:durableId="797603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A00084"/>
    <w:rsid w:val="00005F98"/>
    <w:rsid w:val="00044E71"/>
    <w:rsid w:val="000543F9"/>
    <w:rsid w:val="00075E2A"/>
    <w:rsid w:val="00085299"/>
    <w:rsid w:val="000853DB"/>
    <w:rsid w:val="000927A9"/>
    <w:rsid w:val="000B2919"/>
    <w:rsid w:val="000E66E1"/>
    <w:rsid w:val="00130117"/>
    <w:rsid w:val="00164B97"/>
    <w:rsid w:val="001722AB"/>
    <w:rsid w:val="00182B6B"/>
    <w:rsid w:val="00184282"/>
    <w:rsid w:val="001A12C3"/>
    <w:rsid w:val="00201C0B"/>
    <w:rsid w:val="002065B3"/>
    <w:rsid w:val="0024513A"/>
    <w:rsid w:val="002526B7"/>
    <w:rsid w:val="002C3131"/>
    <w:rsid w:val="002D21A8"/>
    <w:rsid w:val="00337EDC"/>
    <w:rsid w:val="003404BD"/>
    <w:rsid w:val="00357D86"/>
    <w:rsid w:val="0038060A"/>
    <w:rsid w:val="003C73EB"/>
    <w:rsid w:val="004A2272"/>
    <w:rsid w:val="004B696F"/>
    <w:rsid w:val="0052675C"/>
    <w:rsid w:val="005411D4"/>
    <w:rsid w:val="005E782A"/>
    <w:rsid w:val="00636B85"/>
    <w:rsid w:val="00675369"/>
    <w:rsid w:val="00692FC5"/>
    <w:rsid w:val="006A150C"/>
    <w:rsid w:val="006A4C90"/>
    <w:rsid w:val="007150CD"/>
    <w:rsid w:val="00722EDB"/>
    <w:rsid w:val="007D2DFA"/>
    <w:rsid w:val="007E750D"/>
    <w:rsid w:val="00827B19"/>
    <w:rsid w:val="00837F1A"/>
    <w:rsid w:val="008669CB"/>
    <w:rsid w:val="00890306"/>
    <w:rsid w:val="0089650C"/>
    <w:rsid w:val="00941EB6"/>
    <w:rsid w:val="00952CE3"/>
    <w:rsid w:val="00987234"/>
    <w:rsid w:val="009C659D"/>
    <w:rsid w:val="009D0786"/>
    <w:rsid w:val="009D7926"/>
    <w:rsid w:val="009E4171"/>
    <w:rsid w:val="009F3503"/>
    <w:rsid w:val="009F40AC"/>
    <w:rsid w:val="00A42BAA"/>
    <w:rsid w:val="00A5595D"/>
    <w:rsid w:val="00A672AF"/>
    <w:rsid w:val="00A709BF"/>
    <w:rsid w:val="00A903E1"/>
    <w:rsid w:val="00AC0702"/>
    <w:rsid w:val="00AC4670"/>
    <w:rsid w:val="00B74103"/>
    <w:rsid w:val="00B94AF6"/>
    <w:rsid w:val="00BD1056"/>
    <w:rsid w:val="00C01457"/>
    <w:rsid w:val="00C03E2B"/>
    <w:rsid w:val="00C645A4"/>
    <w:rsid w:val="00C66DED"/>
    <w:rsid w:val="00CC5D06"/>
    <w:rsid w:val="00CC713B"/>
    <w:rsid w:val="00CE0E0C"/>
    <w:rsid w:val="00D06E30"/>
    <w:rsid w:val="00D1363D"/>
    <w:rsid w:val="00D16F59"/>
    <w:rsid w:val="00D229CF"/>
    <w:rsid w:val="00D5796D"/>
    <w:rsid w:val="00D62C27"/>
    <w:rsid w:val="00D946F4"/>
    <w:rsid w:val="00DF1B6D"/>
    <w:rsid w:val="00E0279F"/>
    <w:rsid w:val="00E35B57"/>
    <w:rsid w:val="00E521E1"/>
    <w:rsid w:val="00E663F9"/>
    <w:rsid w:val="00EA5F6C"/>
    <w:rsid w:val="00EF525A"/>
    <w:rsid w:val="00F54A0A"/>
    <w:rsid w:val="00FE23A2"/>
    <w:rsid w:val="53A000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5F606"/>
  <w15:docId w15:val="{ABD13A38-B28A-4EA6-B28D-517FCDF0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character" w:styleId="FollowedHyperlink">
    <w:name w:val="FollowedHyperlink"/>
    <w:basedOn w:val="DefaultParagraphFont"/>
    <w:uiPriority w:val="99"/>
    <w:semiHidden/>
    <w:unhideWhenUsed/>
    <w:rsid w:val="00890306"/>
    <w:rPr>
      <w:color w:val="954F72" w:themeColor="followedHyperlink"/>
      <w:u w:val="single"/>
    </w:rPr>
  </w:style>
  <w:style w:type="character" w:styleId="CommentReference">
    <w:name w:val="annotation reference"/>
    <w:basedOn w:val="DefaultParagraphFont"/>
    <w:uiPriority w:val="99"/>
    <w:semiHidden/>
    <w:unhideWhenUsed/>
    <w:rsid w:val="00675369"/>
    <w:rPr>
      <w:sz w:val="16"/>
      <w:szCs w:val="16"/>
    </w:rPr>
  </w:style>
  <w:style w:type="paragraph" w:styleId="CommentText">
    <w:name w:val="annotation text"/>
    <w:basedOn w:val="Normal"/>
    <w:link w:val="CommentTextChar"/>
    <w:uiPriority w:val="99"/>
    <w:unhideWhenUsed/>
    <w:rsid w:val="00675369"/>
    <w:pPr>
      <w:spacing w:line="240" w:lineRule="auto"/>
    </w:pPr>
    <w:rPr>
      <w:sz w:val="20"/>
      <w:szCs w:val="20"/>
    </w:rPr>
  </w:style>
  <w:style w:type="character" w:customStyle="1" w:styleId="CommentTextChar">
    <w:name w:val="Comment Text Char"/>
    <w:basedOn w:val="DefaultParagraphFont"/>
    <w:link w:val="CommentText"/>
    <w:uiPriority w:val="99"/>
    <w:rsid w:val="00675369"/>
    <w:rPr>
      <w:sz w:val="20"/>
      <w:szCs w:val="20"/>
    </w:rPr>
  </w:style>
  <w:style w:type="paragraph" w:styleId="CommentSubject">
    <w:name w:val="annotation subject"/>
    <w:basedOn w:val="CommentText"/>
    <w:next w:val="CommentText"/>
    <w:link w:val="CommentSubjectChar"/>
    <w:uiPriority w:val="99"/>
    <w:semiHidden/>
    <w:unhideWhenUsed/>
    <w:rsid w:val="00675369"/>
    <w:rPr>
      <w:b/>
      <w:bCs/>
    </w:rPr>
  </w:style>
  <w:style w:type="character" w:customStyle="1" w:styleId="CommentSubjectChar">
    <w:name w:val="Comment Subject Char"/>
    <w:basedOn w:val="CommentTextChar"/>
    <w:link w:val="CommentSubject"/>
    <w:uiPriority w:val="99"/>
    <w:semiHidden/>
    <w:rsid w:val="00675369"/>
    <w:rPr>
      <w:b/>
      <w:bCs/>
      <w:sz w:val="20"/>
      <w:szCs w:val="20"/>
    </w:rPr>
  </w:style>
  <w:style w:type="character" w:styleId="UnresolvedMention">
    <w:name w:val="Unresolved Mention"/>
    <w:basedOn w:val="DefaultParagraphFont"/>
    <w:uiPriority w:val="99"/>
    <w:semiHidden/>
    <w:unhideWhenUsed/>
    <w:rsid w:val="00A42BAA"/>
    <w:rPr>
      <w:color w:val="605E5C"/>
      <w:shd w:val="clear" w:color="auto" w:fill="E1DFDD"/>
    </w:rPr>
  </w:style>
  <w:style w:type="character" w:styleId="Mention">
    <w:name w:val="Mention"/>
    <w:basedOn w:val="DefaultParagraphFont"/>
    <w:uiPriority w:val="99"/>
    <w:unhideWhenUsed/>
    <w:rsid w:val="00A42B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gov.uk/ukpga/2010/15/part/11/chapter/1" TargetMode="External"/><Relationship Id="rId18" Type="http://schemas.openxmlformats.org/officeDocument/2006/relationships/hyperlink" Target="https://www.equalityhumanrights.com/human-rights/human-rights-ac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england.nhs.uk/long-read/quality-impact-assessment-framework/" TargetMode="External"/><Relationship Id="rId17" Type="http://schemas.openxmlformats.org/officeDocument/2006/relationships/hyperlink" Target="https://www.england.nhs.uk/personalisedcare/health-literacy/" TargetMode="External"/><Relationship Id="rId2" Type="http://schemas.openxmlformats.org/officeDocument/2006/relationships/customXml" Target="../customXml/item2.xml"/><Relationship Id="rId16" Type="http://schemas.openxmlformats.org/officeDocument/2006/relationships/hyperlink" Target="https://www.nice.org.uk/guidance/ng205" TargetMode="External"/><Relationship Id="rId20" Type="http://schemas.openxmlformats.org/officeDocument/2006/relationships/hyperlink" Target="https://www.england.nhs.uk/long-read/green-plan-guidan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ngland.nhs.uk/long-read/quality-impact-assessment-framework/" TargetMode="External"/><Relationship Id="rId5" Type="http://schemas.openxmlformats.org/officeDocument/2006/relationships/styles" Target="styles.xml"/><Relationship Id="rId15" Type="http://schemas.openxmlformats.org/officeDocument/2006/relationships/hyperlink" Target="https://www.legislation.gov.uk/ukpga/2010/15/part/11/chapter/1" TargetMode="External"/><Relationship Id="rId10" Type="http://schemas.openxmlformats.org/officeDocument/2006/relationships/hyperlink" Target="https://www.england.nhs.uk/long-read/quality-impact-assessment-framework/" TargetMode="External"/><Relationship Id="rId19" Type="http://schemas.openxmlformats.org/officeDocument/2006/relationships/hyperlink" Target="https://www.cqc.org.uk/about-us/our-updated-human-rights-approach" TargetMode="External"/><Relationship Id="rId4" Type="http://schemas.openxmlformats.org/officeDocument/2006/relationships/numbering" Target="numbering.xml"/><Relationship Id="rId9" Type="http://schemas.openxmlformats.org/officeDocument/2006/relationships/hyperlink" Target="https://www.england.nhs.uk/long-read/quality-impact-assessment-framework/" TargetMode="External"/><Relationship Id="rId14" Type="http://schemas.openxmlformats.org/officeDocument/2006/relationships/hyperlink" Target="https://www.england.nhs.uk/long-read/accessible-information-standard-requirements-dapb160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47AC89FA0C424ABFF063754177D052" ma:contentTypeVersion="15" ma:contentTypeDescription="Create a new document." ma:contentTypeScope="" ma:versionID="cd9cbfcb0b3cc8fa9e0d2ce735d7d782">
  <xsd:schema xmlns:xsd="http://www.w3.org/2001/XMLSchema" xmlns:xs="http://www.w3.org/2001/XMLSchema" xmlns:p="http://schemas.microsoft.com/office/2006/metadata/properties" xmlns:ns1="http://schemas.microsoft.com/sharepoint/v3" xmlns:ns2="adc00456-e19e-467c-a1d0-5d35cd2d04fc" xmlns:ns3="1353a4d2-b419-49f6-9343-f083e609e0a2" targetNamespace="http://schemas.microsoft.com/office/2006/metadata/properties" ma:root="true" ma:fieldsID="3ed3d1ee50291e6a534f1f2c57ce8697" ns1:_="" ns2:_="" ns3:_="">
    <xsd:import namespace="http://schemas.microsoft.com/sharepoint/v3"/>
    <xsd:import namespace="adc00456-e19e-467c-a1d0-5d35cd2d04fc"/>
    <xsd:import namespace="1353a4d2-b419-49f6-9343-f083e609e0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c00456-e19e-467c-a1d0-5d35cd2d0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53a4d2-b419-49f6-9343-f083e609e0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20b269b-1ae6-49dc-9177-e1e0c72db23c}" ma:internalName="TaxCatchAll" ma:showField="CatchAllData" ma:web="1353a4d2-b419-49f6-9343-f083e609e0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53a4d2-b419-49f6-9343-f083e609e0a2" xsi:nil="true"/>
    <_ip_UnifiedCompliancePolicyProperties xmlns="http://schemas.microsoft.com/sharepoint/v3" xsi:nil="true"/>
    <lcf76f155ced4ddcb4097134ff3c332f xmlns="adc00456-e19e-467c-a1d0-5d35cd2d04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774656-0926-4E35-B969-0AF0135BC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c00456-e19e-467c-a1d0-5d35cd2d04fc"/>
    <ds:schemaRef ds:uri="1353a4d2-b419-49f6-9343-f083e609e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385624-F1E3-4AEB-8773-B9532A060E73}">
  <ds:schemaRefs>
    <ds:schemaRef ds:uri="http://schemas.microsoft.com/sharepoint/v3/contenttype/forms"/>
  </ds:schemaRefs>
</ds:datastoreItem>
</file>

<file path=customXml/itemProps3.xml><?xml version="1.0" encoding="utf-8"?>
<ds:datastoreItem xmlns:ds="http://schemas.openxmlformats.org/officeDocument/2006/customXml" ds:itemID="{79C6C049-3AF8-4032-BADC-39E6F757B544}">
  <ds:schemaRefs>
    <ds:schemaRef ds:uri="http://schemas.microsoft.com/office/2006/metadata/properties"/>
    <ds:schemaRef ds:uri="http://schemas.microsoft.com/office/infopath/2007/PartnerControls"/>
    <ds:schemaRef ds:uri="http://schemas.microsoft.com/sharepoint/v3"/>
    <ds:schemaRef ds:uri="1353a4d2-b419-49f6-9343-f083e609e0a2"/>
    <ds:schemaRef ds:uri="adc00456-e19e-467c-a1d0-5d35cd2d04fc"/>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11</Pages>
  <Words>5277</Words>
  <Characters>27655</Characters>
  <Application>Microsoft Office Word</Application>
  <DocSecurity>0</DocSecurity>
  <Lines>6913</Lines>
  <Paragraphs>1646</Paragraphs>
  <ScaleCrop>false</ScaleCrop>
  <Company/>
  <LinksUpToDate>false</LinksUpToDate>
  <CharactersWithSpaces>31286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Un-named</dc:creator>
  <cp:keywords/>
  <cp:lastModifiedBy>MOORES, Jill (NHS LANCASHIRE AND SOUTH CUMBRIA ICB - 02M)</cp:lastModifiedBy>
  <cp:revision>8</cp:revision>
  <dcterms:created xsi:type="dcterms:W3CDTF">2026-08-24T09:03:00Z</dcterms:created>
  <dcterms:modified xsi:type="dcterms:W3CDTF">2026-08-24T09:07:00Z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0x010100D947AC89FA0C424ABFF063754177D052</vt:lpwstr>
  </property>
  <property fmtid="{D5CDD505-2E9C-101B-9397-08002B2CF9AE}" pid="3" name="MediaServiceImageTags">
    <vt:lpwstr/>
  </property>
  <property fmtid="{D5CDD505-2E9C-101B-9397-08002B2CF9AE}" pid="4" name="docLang">
    <vt:lpwstr>en</vt:lpwstr>
  </property>
</Properties>
</file>