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D29F8" w:rsidP="00ED29F8" w:rsidRDefault="00ED29F8" w14:paraId="5079EEB5" w14:textId="234E1C0B">
      <w:pPr>
        <w:pStyle w:val="Heading1"/>
        <w:spacing w:before="120" w:line="240" w:lineRule="auto"/>
        <w:jc w:val="center"/>
        <w:rPr>
          <w:szCs w:val="36"/>
        </w:rPr>
      </w:pPr>
      <w:r>
        <w:rPr>
          <w:szCs w:val="36"/>
        </w:rPr>
        <w:t xml:space="preserve">ICB Primary Care Contracting Sub-Committee </w:t>
      </w:r>
    </w:p>
    <w:p w:rsidRPr="00DA478E" w:rsidR="00CA5ED8" w:rsidP="001756FC" w:rsidRDefault="00CA5ED8" w14:paraId="29518CD7" w14:textId="77777777">
      <w:pPr>
        <w:spacing w:after="120" w:line="240" w:lineRule="auto"/>
        <w:rPr>
          <w:sz w:val="22"/>
        </w:rPr>
      </w:pPr>
    </w:p>
    <w:tbl>
      <w:tblPr>
        <w:tblStyle w:val="TableGrid"/>
        <w:tblW w:w="0" w:type="auto"/>
        <w:tblLook w:val="04A0" w:firstRow="1" w:lastRow="0" w:firstColumn="1" w:lastColumn="0" w:noHBand="0" w:noVBand="1"/>
      </w:tblPr>
      <w:tblGrid>
        <w:gridCol w:w="2212"/>
        <w:gridCol w:w="6804"/>
      </w:tblGrid>
      <w:tr w:rsidRPr="008A2918" w:rsidR="001774FD" w:rsidTr="6CBED662" w14:paraId="7E2E2A7F" w14:textId="77777777">
        <w:trPr>
          <w:trHeight w:val="340"/>
        </w:trPr>
        <w:tc>
          <w:tcPr>
            <w:tcW w:w="2235" w:type="dxa"/>
            <w:tcBorders>
              <w:bottom w:val="single" w:color="auto" w:sz="4" w:space="0"/>
            </w:tcBorders>
            <w:shd w:val="clear" w:color="auto" w:fill="C6D9F1" w:themeFill="text2" w:themeFillTint="33"/>
            <w:tcMar/>
          </w:tcPr>
          <w:p w:rsidRPr="008A2918" w:rsidR="009C0B4C" w:rsidP="001756FC" w:rsidRDefault="009C0B4C" w14:paraId="3894E28E" w14:textId="77777777">
            <w:pPr>
              <w:pStyle w:val="Numberlist"/>
              <w:numPr>
                <w:ilvl w:val="0"/>
                <w:numId w:val="0"/>
              </w:numPr>
              <w:spacing w:after="120"/>
              <w:rPr>
                <w:b/>
                <w:szCs w:val="24"/>
              </w:rPr>
            </w:pPr>
            <w:r w:rsidRPr="008A2918">
              <w:rPr>
                <w:b/>
                <w:szCs w:val="24"/>
              </w:rPr>
              <w:t>Date of meeting</w:t>
            </w:r>
          </w:p>
        </w:tc>
        <w:tc>
          <w:tcPr>
            <w:tcW w:w="7007" w:type="dxa"/>
            <w:tcBorders>
              <w:bottom w:val="single" w:color="auto" w:sz="4" w:space="0"/>
            </w:tcBorders>
            <w:tcMar/>
          </w:tcPr>
          <w:p w:rsidRPr="008A2918" w:rsidR="009C0B4C" w:rsidP="001756FC" w:rsidRDefault="005E2489" w14:paraId="42C4423E" w14:textId="6E15F973">
            <w:pPr>
              <w:pStyle w:val="Numberlist"/>
              <w:numPr>
                <w:ilvl w:val="0"/>
                <w:numId w:val="0"/>
              </w:numPr>
              <w:spacing w:after="120"/>
              <w:rPr>
                <w:bCs/>
                <w:szCs w:val="24"/>
              </w:rPr>
            </w:pPr>
            <w:r>
              <w:rPr>
                <w:bCs/>
                <w:szCs w:val="24"/>
              </w:rPr>
              <w:t>27 May 2026</w:t>
            </w:r>
          </w:p>
        </w:tc>
      </w:tr>
      <w:tr w:rsidRPr="008A2918" w:rsidR="001774FD" w:rsidTr="6CBED662" w14:paraId="4DBE3C44" w14:textId="77777777">
        <w:trPr>
          <w:trHeight w:val="340"/>
        </w:trPr>
        <w:tc>
          <w:tcPr>
            <w:tcW w:w="2235" w:type="dxa"/>
            <w:tcBorders>
              <w:bottom w:val="single" w:color="auto" w:sz="4" w:space="0"/>
            </w:tcBorders>
            <w:shd w:val="clear" w:color="auto" w:fill="C6D9F1" w:themeFill="text2" w:themeFillTint="33"/>
            <w:tcMar/>
          </w:tcPr>
          <w:p w:rsidRPr="008A2918" w:rsidR="009C0B4C" w:rsidP="00955869" w:rsidRDefault="009C0B4C" w14:paraId="4C215281" w14:textId="77777777">
            <w:pPr>
              <w:pStyle w:val="Numberlist"/>
              <w:numPr>
                <w:ilvl w:val="0"/>
                <w:numId w:val="0"/>
              </w:numPr>
              <w:rPr>
                <w:b/>
                <w:szCs w:val="24"/>
              </w:rPr>
            </w:pPr>
            <w:r w:rsidRPr="008A2918">
              <w:rPr>
                <w:b/>
                <w:szCs w:val="24"/>
              </w:rPr>
              <w:t>Title of paper</w:t>
            </w:r>
          </w:p>
        </w:tc>
        <w:tc>
          <w:tcPr>
            <w:tcW w:w="7007" w:type="dxa"/>
            <w:tcBorders>
              <w:bottom w:val="single" w:color="auto" w:sz="4" w:space="0"/>
            </w:tcBorders>
            <w:tcMar/>
          </w:tcPr>
          <w:p w:rsidRPr="008A2918" w:rsidR="009C0B4C" w:rsidP="00955869" w:rsidRDefault="00232C31" w14:paraId="35670F2F" w14:textId="2323BDC7">
            <w:pPr>
              <w:pStyle w:val="Numberlist"/>
              <w:numPr>
                <w:ilvl w:val="0"/>
                <w:numId w:val="0"/>
              </w:numPr>
              <w:rPr>
                <w:bCs/>
                <w:szCs w:val="24"/>
              </w:rPr>
            </w:pPr>
            <w:r>
              <w:rPr>
                <w:bCs/>
                <w:szCs w:val="24"/>
              </w:rPr>
              <w:t>Annual Delegated Assurance Framework</w:t>
            </w:r>
            <w:r w:rsidR="00C23CC0">
              <w:rPr>
                <w:bCs/>
                <w:szCs w:val="24"/>
              </w:rPr>
              <w:t xml:space="preserve"> </w:t>
            </w:r>
            <w:r w:rsidR="00D86F4F">
              <w:rPr>
                <w:bCs/>
                <w:szCs w:val="24"/>
              </w:rPr>
              <w:t xml:space="preserve">Self Declaration </w:t>
            </w:r>
          </w:p>
        </w:tc>
      </w:tr>
      <w:tr w:rsidRPr="008A2918" w:rsidR="001774FD" w:rsidTr="6CBED662" w14:paraId="3C72285A" w14:textId="77777777">
        <w:trPr>
          <w:trHeight w:val="340"/>
        </w:trPr>
        <w:tc>
          <w:tcPr>
            <w:tcW w:w="2235" w:type="dxa"/>
            <w:tcBorders>
              <w:bottom w:val="single" w:color="auto" w:sz="4" w:space="0"/>
            </w:tcBorders>
            <w:shd w:val="clear" w:color="auto" w:fill="C6D9F1" w:themeFill="text2" w:themeFillTint="33"/>
            <w:tcMar/>
          </w:tcPr>
          <w:p w:rsidRPr="008A2918" w:rsidR="009C0B4C" w:rsidP="00955869" w:rsidRDefault="009C0B4C" w14:paraId="161ACD67" w14:textId="77777777">
            <w:pPr>
              <w:pStyle w:val="Numberlist"/>
              <w:numPr>
                <w:ilvl w:val="0"/>
                <w:numId w:val="0"/>
              </w:numPr>
              <w:rPr>
                <w:b/>
                <w:szCs w:val="24"/>
              </w:rPr>
            </w:pPr>
            <w:r w:rsidRPr="008A2918">
              <w:rPr>
                <w:b/>
                <w:szCs w:val="24"/>
              </w:rPr>
              <w:t>Presented by</w:t>
            </w:r>
          </w:p>
        </w:tc>
        <w:tc>
          <w:tcPr>
            <w:tcW w:w="7007" w:type="dxa"/>
            <w:tcBorders>
              <w:bottom w:val="single" w:color="auto" w:sz="4" w:space="0"/>
            </w:tcBorders>
            <w:tcMar/>
          </w:tcPr>
          <w:p w:rsidRPr="008A2918" w:rsidR="009C0B4C" w:rsidP="00955869" w:rsidRDefault="00232C31" w14:paraId="1D46B3F3" w14:textId="6000A297">
            <w:pPr>
              <w:pStyle w:val="Numberlist"/>
              <w:numPr>
                <w:ilvl w:val="0"/>
                <w:numId w:val="0"/>
              </w:numPr>
              <w:rPr>
                <w:bCs/>
                <w:szCs w:val="24"/>
              </w:rPr>
            </w:pPr>
            <w:r>
              <w:rPr>
                <w:bCs/>
                <w:szCs w:val="24"/>
              </w:rPr>
              <w:t xml:space="preserve">Donna Roberts Associate Director of Primary Care </w:t>
            </w:r>
          </w:p>
        </w:tc>
      </w:tr>
      <w:tr w:rsidRPr="008A2918" w:rsidR="001774FD" w:rsidTr="6CBED662" w14:paraId="2680C51B" w14:textId="77777777">
        <w:trPr>
          <w:trHeight w:val="340"/>
        </w:trPr>
        <w:tc>
          <w:tcPr>
            <w:tcW w:w="2235" w:type="dxa"/>
            <w:tcBorders>
              <w:bottom w:val="single" w:color="auto" w:sz="4" w:space="0"/>
            </w:tcBorders>
            <w:shd w:val="clear" w:color="auto" w:fill="C6D9F1" w:themeFill="text2" w:themeFillTint="33"/>
            <w:tcMar/>
          </w:tcPr>
          <w:p w:rsidRPr="008A2918" w:rsidR="009C0B4C" w:rsidP="00955869" w:rsidRDefault="009C0B4C" w14:paraId="0282CB95" w14:textId="77777777">
            <w:pPr>
              <w:pStyle w:val="Numberlist"/>
              <w:numPr>
                <w:ilvl w:val="0"/>
                <w:numId w:val="0"/>
              </w:numPr>
              <w:rPr>
                <w:b/>
                <w:szCs w:val="24"/>
              </w:rPr>
            </w:pPr>
            <w:r w:rsidRPr="008A2918">
              <w:rPr>
                <w:b/>
                <w:szCs w:val="24"/>
              </w:rPr>
              <w:t>Author</w:t>
            </w:r>
          </w:p>
        </w:tc>
        <w:tc>
          <w:tcPr>
            <w:tcW w:w="7007" w:type="dxa"/>
            <w:tcBorders>
              <w:bottom w:val="single" w:color="auto" w:sz="4" w:space="0"/>
            </w:tcBorders>
            <w:tcMar/>
          </w:tcPr>
          <w:p w:rsidRPr="008A2918" w:rsidR="009C0B4C" w:rsidP="00955869" w:rsidRDefault="00232C31" w14:paraId="6EC8C029" w14:textId="02388A9D">
            <w:pPr>
              <w:pStyle w:val="Numberlist"/>
              <w:numPr>
                <w:ilvl w:val="0"/>
                <w:numId w:val="0"/>
              </w:numPr>
              <w:rPr>
                <w:bCs/>
                <w:szCs w:val="24"/>
              </w:rPr>
            </w:pPr>
            <w:r>
              <w:rPr>
                <w:bCs/>
                <w:szCs w:val="24"/>
              </w:rPr>
              <w:t xml:space="preserve">Sarah Danson </w:t>
            </w:r>
          </w:p>
        </w:tc>
      </w:tr>
      <w:tr w:rsidRPr="008A2918" w:rsidR="001774FD" w:rsidTr="6CBED662" w14:paraId="75B5DCD4" w14:textId="77777777">
        <w:trPr>
          <w:trHeight w:val="340"/>
        </w:trPr>
        <w:tc>
          <w:tcPr>
            <w:tcW w:w="2235" w:type="dxa"/>
            <w:tcBorders>
              <w:bottom w:val="single" w:color="auto" w:sz="4" w:space="0"/>
            </w:tcBorders>
            <w:shd w:val="clear" w:color="auto" w:fill="C6D9F1" w:themeFill="text2" w:themeFillTint="33"/>
            <w:tcMar/>
          </w:tcPr>
          <w:p w:rsidRPr="008A2918" w:rsidR="009C0B4C" w:rsidP="00955869" w:rsidRDefault="009C0B4C" w14:paraId="3516700E" w14:textId="77777777">
            <w:pPr>
              <w:pStyle w:val="Numberlist"/>
              <w:numPr>
                <w:ilvl w:val="0"/>
                <w:numId w:val="0"/>
              </w:numPr>
              <w:rPr>
                <w:b/>
                <w:szCs w:val="24"/>
              </w:rPr>
            </w:pPr>
            <w:r w:rsidRPr="008A2918">
              <w:rPr>
                <w:b/>
                <w:szCs w:val="24"/>
              </w:rPr>
              <w:t>Agenda item</w:t>
            </w:r>
          </w:p>
        </w:tc>
        <w:tc>
          <w:tcPr>
            <w:tcW w:w="7007" w:type="dxa"/>
            <w:tcBorders>
              <w:bottom w:val="single" w:color="auto" w:sz="4" w:space="0"/>
            </w:tcBorders>
            <w:tcMar/>
          </w:tcPr>
          <w:p w:rsidRPr="008A2918" w:rsidR="009C0B4C" w:rsidP="00955869" w:rsidRDefault="009C0B4C" w14:paraId="38D59B5C" w14:textId="31A87F84">
            <w:pPr>
              <w:pStyle w:val="Numberlist"/>
              <w:numPr>
                <w:ilvl w:val="0"/>
                <w:numId w:val="0"/>
              </w:numPr>
            </w:pPr>
            <w:r w:rsidR="09859FE1">
              <w:rPr/>
              <w:t>11</w:t>
            </w:r>
          </w:p>
        </w:tc>
      </w:tr>
      <w:tr w:rsidRPr="008A2918" w:rsidR="001774FD" w:rsidTr="6CBED662" w14:paraId="69F6B4EA" w14:textId="77777777">
        <w:trPr>
          <w:trHeight w:val="340"/>
        </w:trPr>
        <w:tc>
          <w:tcPr>
            <w:tcW w:w="2235" w:type="dxa"/>
            <w:tcBorders>
              <w:bottom w:val="single" w:color="auto" w:sz="4" w:space="0"/>
            </w:tcBorders>
            <w:shd w:val="clear" w:color="auto" w:fill="C6D9F1" w:themeFill="text2" w:themeFillTint="33"/>
            <w:tcMar/>
          </w:tcPr>
          <w:p w:rsidRPr="008A2918" w:rsidR="009C0B4C" w:rsidP="00955869" w:rsidRDefault="009C0B4C" w14:paraId="5CE5AAFF" w14:textId="77777777">
            <w:pPr>
              <w:pStyle w:val="Numberlist"/>
              <w:numPr>
                <w:ilvl w:val="0"/>
                <w:numId w:val="0"/>
              </w:numPr>
              <w:rPr>
                <w:b/>
                <w:szCs w:val="24"/>
              </w:rPr>
            </w:pPr>
            <w:r w:rsidRPr="008A2918">
              <w:rPr>
                <w:b/>
                <w:szCs w:val="24"/>
              </w:rPr>
              <w:t xml:space="preserve">Confidential </w:t>
            </w:r>
          </w:p>
        </w:tc>
        <w:tc>
          <w:tcPr>
            <w:tcW w:w="7007" w:type="dxa"/>
            <w:tcBorders>
              <w:bottom w:val="single" w:color="auto" w:sz="4" w:space="0"/>
            </w:tcBorders>
            <w:tcMar/>
          </w:tcPr>
          <w:p w:rsidRPr="008A2918" w:rsidR="009C0B4C" w:rsidP="00955869" w:rsidRDefault="00232C31" w14:paraId="71DDEDBF" w14:textId="3EFD8256">
            <w:pPr>
              <w:pStyle w:val="Numberlist"/>
              <w:numPr>
                <w:ilvl w:val="0"/>
                <w:numId w:val="0"/>
              </w:numPr>
              <w:rPr>
                <w:bCs/>
                <w:szCs w:val="24"/>
              </w:rPr>
            </w:pPr>
            <w:r>
              <w:rPr>
                <w:bCs/>
                <w:szCs w:val="24"/>
              </w:rPr>
              <w:t xml:space="preserve">No </w:t>
            </w:r>
          </w:p>
        </w:tc>
      </w:tr>
    </w:tbl>
    <w:p w:rsidRPr="008A2918" w:rsidR="00A8443B" w:rsidP="00955869" w:rsidRDefault="00A8443B" w14:paraId="38877104" w14:textId="77777777">
      <w:pPr>
        <w:pStyle w:val="Numberlist"/>
        <w:numPr>
          <w:ilvl w:val="0"/>
          <w:numId w:val="0"/>
        </w:numPr>
        <w:rPr>
          <w:szCs w:val="24"/>
        </w:rPr>
      </w:pPr>
    </w:p>
    <w:tbl>
      <w:tblPr>
        <w:tblStyle w:val="TableGrid"/>
        <w:tblW w:w="0" w:type="auto"/>
        <w:tblLook w:val="04A0" w:firstRow="1" w:lastRow="0" w:firstColumn="1" w:lastColumn="0" w:noHBand="0" w:noVBand="1"/>
      </w:tblPr>
      <w:tblGrid>
        <w:gridCol w:w="2999"/>
        <w:gridCol w:w="713"/>
        <w:gridCol w:w="702"/>
        <w:gridCol w:w="704"/>
        <w:gridCol w:w="902"/>
        <w:gridCol w:w="2996"/>
      </w:tblGrid>
      <w:tr w:rsidRPr="008A2918" w:rsidR="000E4F0A" w:rsidTr="00904F72" w14:paraId="1B9B4866" w14:textId="77777777">
        <w:tc>
          <w:tcPr>
            <w:tcW w:w="9016" w:type="dxa"/>
            <w:gridSpan w:val="6"/>
            <w:shd w:val="clear" w:color="auto" w:fill="C6D9F1" w:themeFill="text2" w:themeFillTint="33"/>
          </w:tcPr>
          <w:p w:rsidRPr="008A2918" w:rsidR="001C595C" w:rsidP="00955869" w:rsidRDefault="001C595C" w14:paraId="3F077188" w14:textId="77777777">
            <w:pPr>
              <w:pStyle w:val="Numberlist"/>
              <w:numPr>
                <w:ilvl w:val="0"/>
                <w:numId w:val="0"/>
              </w:numPr>
              <w:rPr>
                <w:b/>
                <w:szCs w:val="24"/>
              </w:rPr>
            </w:pPr>
            <w:r w:rsidRPr="008A2918">
              <w:rPr>
                <w:b/>
                <w:szCs w:val="24"/>
              </w:rPr>
              <w:t>Purpose of the paper</w:t>
            </w:r>
          </w:p>
        </w:tc>
      </w:tr>
      <w:tr w:rsidRPr="008A2918" w:rsidR="000E4F0A" w:rsidTr="00904F72" w14:paraId="25A49D1F" w14:textId="77777777">
        <w:tc>
          <w:tcPr>
            <w:tcW w:w="9016" w:type="dxa"/>
            <w:gridSpan w:val="6"/>
          </w:tcPr>
          <w:p w:rsidR="00266DD3" w:rsidP="001C3364" w:rsidRDefault="001C3364" w14:paraId="2AAF9440" w14:textId="645C69E7">
            <w:pPr>
              <w:pStyle w:val="Numberlist"/>
              <w:numPr>
                <w:ilvl w:val="0"/>
                <w:numId w:val="0"/>
              </w:numPr>
            </w:pPr>
            <w:r>
              <w:t xml:space="preserve">The purpose of the report is to </w:t>
            </w:r>
            <w:r w:rsidR="00E31490">
              <w:t>assure the</w:t>
            </w:r>
            <w:r w:rsidRPr="01711C7B" w:rsidR="00E31490">
              <w:rPr>
                <w:b/>
              </w:rPr>
              <w:t xml:space="preserve"> </w:t>
            </w:r>
            <w:r w:rsidR="00E31490">
              <w:t>Committee of</w:t>
            </w:r>
            <w:r w:rsidR="004B3A55">
              <w:t xml:space="preserve"> the </w:t>
            </w:r>
            <w:r w:rsidR="005737E8">
              <w:t>local approach</w:t>
            </w:r>
            <w:r>
              <w:t xml:space="preserve"> to ensuring compliance with the assurance requirements NHS England expects from the ICB in relation to the commissioning of delegated primary care services</w:t>
            </w:r>
            <w:r w:rsidR="786337A5">
              <w:t xml:space="preserve"> and agree the content of the annual assurance</w:t>
            </w:r>
            <w:r w:rsidR="786337A5">
              <w:t xml:space="preserve"> </w:t>
            </w:r>
            <w:r w:rsidR="4CF7315E">
              <w:t>framework self dec</w:t>
            </w:r>
            <w:r w:rsidR="00F10881">
              <w:t>laration</w:t>
            </w:r>
            <w:r w:rsidR="4CF7315E">
              <w:t xml:space="preserve"> which requires submission to NHS England by </w:t>
            </w:r>
            <w:r w:rsidR="226C5A6E">
              <w:t>29</w:t>
            </w:r>
            <w:r w:rsidRPr="17C7E233" w:rsidR="226C5A6E">
              <w:rPr>
                <w:vertAlign w:val="superscript"/>
              </w:rPr>
              <w:t>th</w:t>
            </w:r>
            <w:r w:rsidR="226C5A6E">
              <w:t xml:space="preserve"> </w:t>
            </w:r>
            <w:r w:rsidR="4CF7315E">
              <w:t>May 2026</w:t>
            </w:r>
          </w:p>
          <w:p w:rsidRPr="008A2918" w:rsidR="00E31490" w:rsidP="001C3364" w:rsidRDefault="00E31490" w14:paraId="2F352A4D" w14:textId="1BBE1919">
            <w:pPr>
              <w:pStyle w:val="Numberlist"/>
              <w:numPr>
                <w:ilvl w:val="0"/>
                <w:numId w:val="0"/>
              </w:numPr>
              <w:rPr>
                <w:szCs w:val="24"/>
              </w:rPr>
            </w:pPr>
          </w:p>
        </w:tc>
      </w:tr>
      <w:tr w:rsidRPr="008A2918" w:rsidR="000E4F0A" w:rsidTr="00904F72" w14:paraId="40CD51DF" w14:textId="77777777">
        <w:tc>
          <w:tcPr>
            <w:tcW w:w="9016" w:type="dxa"/>
            <w:gridSpan w:val="6"/>
            <w:shd w:val="clear" w:color="auto" w:fill="C6D9F1" w:themeFill="text2" w:themeFillTint="33"/>
          </w:tcPr>
          <w:p w:rsidRPr="008A2918" w:rsidR="001C595C" w:rsidP="00955869" w:rsidRDefault="001C595C" w14:paraId="372C7D3D" w14:textId="77777777">
            <w:pPr>
              <w:pStyle w:val="Numberlist"/>
              <w:numPr>
                <w:ilvl w:val="0"/>
                <w:numId w:val="0"/>
              </w:numPr>
              <w:rPr>
                <w:b/>
                <w:szCs w:val="24"/>
              </w:rPr>
            </w:pPr>
            <w:r w:rsidRPr="008A2918">
              <w:rPr>
                <w:b/>
                <w:szCs w:val="24"/>
              </w:rPr>
              <w:t>Executive summary</w:t>
            </w:r>
          </w:p>
        </w:tc>
      </w:tr>
      <w:tr w:rsidRPr="008A2918" w:rsidR="000E4F0A" w:rsidTr="00904F72" w14:paraId="3B94C6B5" w14:textId="77777777">
        <w:tc>
          <w:tcPr>
            <w:tcW w:w="9016" w:type="dxa"/>
            <w:gridSpan w:val="6"/>
          </w:tcPr>
          <w:p w:rsidR="001B7F5C" w:rsidP="00F03ECA" w:rsidRDefault="00F03ECA" w14:paraId="4FC90FAC" w14:textId="77777777">
            <w:pPr>
              <w:pStyle w:val="Numberlist"/>
              <w:numPr>
                <w:ilvl w:val="0"/>
                <w:numId w:val="0"/>
              </w:numPr>
            </w:pPr>
            <w:r>
              <w:t>T</w:t>
            </w:r>
            <w:r w:rsidRPr="00F03ECA" w:rsidR="477E2DB1">
              <w:t xml:space="preserve">he ICB holds a Delegation Agreement with NHS England which requires the ICB to make primary care commissioning decisions in line with relevant legislation, national policy and agreed processes.  NHS England has published an assurance framework which focuses on the responsibilities that have been delegated to the ICB. </w:t>
            </w:r>
          </w:p>
          <w:p w:rsidR="00266DD3" w:rsidP="00F03ECA" w:rsidRDefault="477E2DB1" w14:paraId="603211F6" w14:textId="2FC52D31">
            <w:pPr>
              <w:pStyle w:val="Numberlist"/>
              <w:numPr>
                <w:ilvl w:val="0"/>
                <w:numId w:val="0"/>
              </w:numPr>
            </w:pPr>
            <w:r w:rsidRPr="00F03ECA">
              <w:t xml:space="preserve">The ICB </w:t>
            </w:r>
            <w:r w:rsidR="000401CC">
              <w:t xml:space="preserve">is </w:t>
            </w:r>
            <w:r w:rsidRPr="00F03ECA">
              <w:t>required to complete a retrospective annual self-declaration to confirm compliance. To support ICBs in the completion of the return, NHS England ha</w:t>
            </w:r>
            <w:r w:rsidR="00EB710D">
              <w:t xml:space="preserve">s </w:t>
            </w:r>
            <w:r w:rsidRPr="00F03ECA">
              <w:t>developed a suite of proposed evidence which can be gathered to provide assurance against each domain. The four domains, associated assurance questions and suggested evidence have been collated into a local delegated services assurance framework.</w:t>
            </w:r>
          </w:p>
          <w:p w:rsidR="00EB710D" w:rsidP="00F03ECA" w:rsidRDefault="00EB710D" w14:paraId="37957F46" w14:textId="77777777">
            <w:pPr>
              <w:pStyle w:val="Numberlist"/>
              <w:numPr>
                <w:ilvl w:val="0"/>
                <w:numId w:val="0"/>
              </w:numPr>
            </w:pPr>
          </w:p>
          <w:p w:rsidRPr="008A2918" w:rsidR="005832AE" w:rsidP="00F03ECA" w:rsidRDefault="005832AE" w14:paraId="2B9CF1E4" w14:textId="1E5D5FAF">
            <w:pPr>
              <w:pStyle w:val="Numberlist"/>
              <w:numPr>
                <w:ilvl w:val="0"/>
                <w:numId w:val="0"/>
              </w:numPr>
            </w:pPr>
            <w:r>
              <w:t xml:space="preserve">The annual </w:t>
            </w:r>
            <w:r w:rsidR="00EB710D">
              <w:t>self-declaration</w:t>
            </w:r>
            <w:r>
              <w:t xml:space="preserve"> form requires approval prior to submission </w:t>
            </w:r>
            <w:r w:rsidR="00770667">
              <w:t xml:space="preserve">to NHS England on </w:t>
            </w:r>
            <w:r w:rsidR="00EB710D">
              <w:t>29</w:t>
            </w:r>
            <w:r w:rsidRPr="00EB710D" w:rsidR="00EB710D">
              <w:rPr>
                <w:vertAlign w:val="superscript"/>
              </w:rPr>
              <w:t>th</w:t>
            </w:r>
            <w:r w:rsidR="00EB710D">
              <w:t xml:space="preserve"> May 2026.</w:t>
            </w:r>
          </w:p>
          <w:p w:rsidRPr="008A2918" w:rsidR="00266DD3" w:rsidP="00F83A35" w:rsidRDefault="00266DD3" w14:paraId="744DADEF" w14:textId="7A5EA204">
            <w:pPr>
              <w:pStyle w:val="Numberlist"/>
              <w:numPr>
                <w:ilvl w:val="0"/>
                <w:numId w:val="0"/>
              </w:numPr>
            </w:pPr>
          </w:p>
          <w:p w:rsidRPr="008A2918" w:rsidR="00266DD3" w:rsidP="00F83A35" w:rsidRDefault="00266DD3" w14:paraId="1FCAA125" w14:textId="778F0C1F">
            <w:pPr>
              <w:pStyle w:val="Numberlist"/>
              <w:numPr>
                <w:ilvl w:val="0"/>
                <w:numId w:val="0"/>
              </w:numPr>
            </w:pPr>
          </w:p>
        </w:tc>
      </w:tr>
      <w:tr w:rsidRPr="008A2918" w:rsidR="000E4F0A" w:rsidTr="00904F72" w14:paraId="3F4927A4" w14:textId="77777777">
        <w:tc>
          <w:tcPr>
            <w:tcW w:w="9016" w:type="dxa"/>
            <w:gridSpan w:val="6"/>
            <w:shd w:val="clear" w:color="auto" w:fill="C6D9F1" w:themeFill="text2" w:themeFillTint="33"/>
          </w:tcPr>
          <w:p w:rsidRPr="008A2918" w:rsidR="001C595C" w:rsidP="00955869" w:rsidRDefault="001C595C" w14:paraId="5597E56B" w14:textId="77777777">
            <w:pPr>
              <w:pStyle w:val="Numberlist"/>
              <w:numPr>
                <w:ilvl w:val="0"/>
                <w:numId w:val="0"/>
              </w:numPr>
              <w:rPr>
                <w:b/>
                <w:szCs w:val="24"/>
              </w:rPr>
            </w:pPr>
            <w:r w:rsidRPr="008A2918">
              <w:rPr>
                <w:b/>
                <w:szCs w:val="24"/>
              </w:rPr>
              <w:t>Recommendations</w:t>
            </w:r>
          </w:p>
        </w:tc>
      </w:tr>
      <w:tr w:rsidRPr="008A2918" w:rsidR="000E4F0A" w:rsidTr="00904F72" w14:paraId="62B8CB80" w14:textId="77777777">
        <w:tc>
          <w:tcPr>
            <w:tcW w:w="9016" w:type="dxa"/>
            <w:gridSpan w:val="6"/>
          </w:tcPr>
          <w:p w:rsidRPr="008B701F" w:rsidR="00C07D8F" w:rsidP="008B701F" w:rsidRDefault="00C07D8F" w14:paraId="330E8C74" w14:textId="5C85F287">
            <w:pPr>
              <w:pStyle w:val="Numberlist"/>
              <w:numPr>
                <w:ilvl w:val="0"/>
                <w:numId w:val="0"/>
              </w:numPr>
            </w:pPr>
            <w:r w:rsidRPr="008B701F">
              <w:t>Members of the </w:t>
            </w:r>
            <w:r w:rsidRPr="008B701F" w:rsidR="00E30561">
              <w:t xml:space="preserve">Primary Care </w:t>
            </w:r>
            <w:r w:rsidRPr="008B701F" w:rsidR="008B701F">
              <w:t>Contracting Sub Committee are</w:t>
            </w:r>
            <w:r w:rsidRPr="008B701F">
              <w:t xml:space="preserve"> requested to note the contents of the report and: </w:t>
            </w:r>
          </w:p>
          <w:p w:rsidR="00C07D8F" w:rsidP="00E227B1" w:rsidRDefault="00C07D8F" w14:paraId="502F1342" w14:textId="77777777">
            <w:pPr>
              <w:pStyle w:val="paragraph"/>
              <w:numPr>
                <w:ilvl w:val="0"/>
                <w:numId w:val="18"/>
              </w:numPr>
              <w:spacing w:before="0" w:beforeAutospacing="0" w:after="0" w:afterAutospacing="0"/>
              <w:textAlignment w:val="baseline"/>
              <w:rPr>
                <w:rFonts w:ascii="Arial" w:hAnsi="Arial" w:cs="Arial"/>
              </w:rPr>
            </w:pPr>
            <w:r>
              <w:rPr>
                <w:rStyle w:val="normaltextrun"/>
                <w:rFonts w:ascii="Arial" w:hAnsi="Arial" w:cs="Arial" w:eastAsiaTheme="majorEastAsia"/>
              </w:rPr>
              <w:t>Note </w:t>
            </w:r>
            <w:r>
              <w:rPr>
                <w:rStyle w:val="normaltextrun"/>
                <w:rFonts w:ascii="Arial" w:hAnsi="Arial" w:cs="Arial" w:eastAsiaTheme="majorEastAsia"/>
                <w:color w:val="000000"/>
                <w:lang w:val="en-US"/>
              </w:rPr>
              <w:t>the local delegated services assurance framework and reporting process</w:t>
            </w:r>
            <w:r>
              <w:rPr>
                <w:rStyle w:val="eop"/>
                <w:rFonts w:ascii="Arial" w:hAnsi="Arial" w:cs="Arial" w:eastAsiaTheme="majorEastAsia"/>
                <w:color w:val="000000"/>
              </w:rPr>
              <w:t> </w:t>
            </w:r>
          </w:p>
          <w:p w:rsidRPr="008C44E4" w:rsidR="009E3A21" w:rsidP="00F83A35" w:rsidRDefault="00E227B1" w14:paraId="4A5103E0" w14:textId="4B3F7AB1">
            <w:pPr>
              <w:pStyle w:val="ListParagraph"/>
              <w:numPr>
                <w:ilvl w:val="0"/>
                <w:numId w:val="18"/>
              </w:numPr>
              <w:textAlignment w:val="baseline"/>
              <w:rPr>
                <w:szCs w:val="24"/>
              </w:rPr>
            </w:pPr>
            <w:r w:rsidRPr="008C44E4">
              <w:rPr>
                <w:rFonts w:eastAsiaTheme="minorEastAsia"/>
                <w:color w:val="000000" w:themeColor="text1"/>
                <w:szCs w:val="24"/>
                <w:lang w:val="en-US" w:eastAsia="en-GB"/>
              </w:rPr>
              <w:t>Review and approve the content of the annual delegated assurance framework self declaration (Appendix A) prior to submission to NHS England.</w:t>
            </w:r>
          </w:p>
          <w:p w:rsidR="009E3A21" w:rsidP="00F83A35" w:rsidRDefault="009E3A21" w14:paraId="433C19F3" w14:textId="77777777">
            <w:pPr>
              <w:rPr>
                <w:szCs w:val="24"/>
              </w:rPr>
            </w:pPr>
          </w:p>
          <w:p w:rsidR="009E3A21" w:rsidP="00F83A35" w:rsidRDefault="009E3A21" w14:paraId="18F64521" w14:textId="77777777">
            <w:pPr>
              <w:rPr>
                <w:szCs w:val="24"/>
              </w:rPr>
            </w:pPr>
          </w:p>
          <w:p w:rsidR="009E3A21" w:rsidP="00F83A35" w:rsidRDefault="009E3A21" w14:paraId="757DB773" w14:textId="77777777">
            <w:pPr>
              <w:rPr>
                <w:szCs w:val="24"/>
              </w:rPr>
            </w:pPr>
          </w:p>
          <w:p w:rsidRPr="008A2918" w:rsidR="009E3A21" w:rsidP="00F83A35" w:rsidRDefault="009E3A21" w14:paraId="76CE484E" w14:textId="7F217A1C">
            <w:pPr>
              <w:rPr>
                <w:szCs w:val="24"/>
              </w:rPr>
            </w:pPr>
          </w:p>
        </w:tc>
      </w:tr>
      <w:tr w:rsidRPr="008A2918" w:rsidR="000E4F0A" w:rsidTr="00266DD3" w14:paraId="1DF15A20" w14:textId="77777777">
        <w:tc>
          <w:tcPr>
            <w:tcW w:w="9016" w:type="dxa"/>
            <w:gridSpan w:val="6"/>
            <w:tcBorders>
              <w:bottom w:val="single" w:color="auto" w:sz="4" w:space="0"/>
            </w:tcBorders>
            <w:shd w:val="clear" w:color="auto" w:fill="C6D9F1" w:themeFill="text2" w:themeFillTint="33"/>
          </w:tcPr>
          <w:p w:rsidRPr="008A2918" w:rsidR="001C595C" w:rsidP="001C595C" w:rsidRDefault="001C595C" w14:paraId="6663CE61" w14:textId="77777777">
            <w:pPr>
              <w:rPr>
                <w:b/>
                <w:szCs w:val="24"/>
              </w:rPr>
            </w:pPr>
            <w:r w:rsidRPr="008A2918">
              <w:rPr>
                <w:b/>
                <w:szCs w:val="24"/>
              </w:rPr>
              <w:t xml:space="preserve">Governance and reporting </w:t>
            </w:r>
            <w:r w:rsidRPr="008A2918">
              <w:rPr>
                <w:szCs w:val="24"/>
              </w:rPr>
              <w:t>(list other forums that have discussed this paper)</w:t>
            </w:r>
          </w:p>
        </w:tc>
      </w:tr>
      <w:tr w:rsidRPr="008A2918" w:rsidR="00C8606E" w:rsidTr="00266DD3" w14:paraId="17CDF5C1" w14:textId="77777777">
        <w:tc>
          <w:tcPr>
            <w:tcW w:w="2999" w:type="dxa"/>
            <w:shd w:val="clear" w:color="auto" w:fill="C6D9F1" w:themeFill="text2" w:themeFillTint="33"/>
          </w:tcPr>
          <w:p w:rsidRPr="008A2918" w:rsidR="001C595C" w:rsidP="001C595C" w:rsidRDefault="001C595C" w14:paraId="4F1B2CE7" w14:textId="77777777">
            <w:pPr>
              <w:rPr>
                <w:b/>
                <w:szCs w:val="24"/>
              </w:rPr>
            </w:pPr>
            <w:r w:rsidRPr="008A2918">
              <w:rPr>
                <w:b/>
                <w:szCs w:val="24"/>
              </w:rPr>
              <w:t>Meeting</w:t>
            </w:r>
          </w:p>
        </w:tc>
        <w:tc>
          <w:tcPr>
            <w:tcW w:w="3021" w:type="dxa"/>
            <w:gridSpan w:val="4"/>
            <w:shd w:val="clear" w:color="auto" w:fill="C6D9F1" w:themeFill="text2" w:themeFillTint="33"/>
          </w:tcPr>
          <w:p w:rsidRPr="008A2918" w:rsidR="001C595C" w:rsidP="001C595C" w:rsidRDefault="001C595C" w14:paraId="60968B5C" w14:textId="77777777">
            <w:pPr>
              <w:rPr>
                <w:b/>
                <w:szCs w:val="24"/>
              </w:rPr>
            </w:pPr>
            <w:r w:rsidRPr="008A2918">
              <w:rPr>
                <w:b/>
                <w:szCs w:val="24"/>
              </w:rPr>
              <w:t>Date</w:t>
            </w:r>
          </w:p>
        </w:tc>
        <w:tc>
          <w:tcPr>
            <w:tcW w:w="2996" w:type="dxa"/>
            <w:shd w:val="clear" w:color="auto" w:fill="C6D9F1" w:themeFill="text2" w:themeFillTint="33"/>
          </w:tcPr>
          <w:p w:rsidRPr="008A2918" w:rsidR="001C595C" w:rsidP="001C595C" w:rsidRDefault="001C595C" w14:paraId="0A6D226A" w14:textId="77777777">
            <w:pPr>
              <w:rPr>
                <w:b/>
                <w:szCs w:val="24"/>
              </w:rPr>
            </w:pPr>
            <w:r w:rsidRPr="008A2918">
              <w:rPr>
                <w:b/>
                <w:szCs w:val="24"/>
              </w:rPr>
              <w:t>Outcomes</w:t>
            </w:r>
          </w:p>
        </w:tc>
      </w:tr>
      <w:tr w:rsidRPr="008A2918" w:rsidR="00C8606E" w:rsidTr="00904F72" w14:paraId="06E466D9" w14:textId="77777777">
        <w:tc>
          <w:tcPr>
            <w:tcW w:w="2999" w:type="dxa"/>
            <w:shd w:val="clear" w:color="auto" w:fill="FFFFFF" w:themeFill="background1"/>
          </w:tcPr>
          <w:p w:rsidRPr="008A2918" w:rsidR="00266DD3" w:rsidP="00F83A35" w:rsidRDefault="00266DD3" w14:paraId="5359BE43" w14:textId="7D215763">
            <w:pPr>
              <w:rPr>
                <w:b/>
                <w:szCs w:val="24"/>
              </w:rPr>
            </w:pPr>
          </w:p>
        </w:tc>
        <w:tc>
          <w:tcPr>
            <w:tcW w:w="3021" w:type="dxa"/>
            <w:gridSpan w:val="4"/>
            <w:shd w:val="clear" w:color="auto" w:fill="FFFFFF" w:themeFill="background1"/>
          </w:tcPr>
          <w:p w:rsidRPr="008A2918" w:rsidR="001C595C" w:rsidP="001C595C" w:rsidRDefault="001C595C" w14:paraId="34E4DF51" w14:textId="5E653858">
            <w:pPr>
              <w:rPr>
                <w:bCs/>
                <w:szCs w:val="24"/>
              </w:rPr>
            </w:pPr>
          </w:p>
        </w:tc>
        <w:tc>
          <w:tcPr>
            <w:tcW w:w="2996" w:type="dxa"/>
            <w:shd w:val="clear" w:color="auto" w:fill="FFFFFF" w:themeFill="background1"/>
          </w:tcPr>
          <w:p w:rsidRPr="008A2918" w:rsidR="001C595C" w:rsidP="001C595C" w:rsidRDefault="001C595C" w14:paraId="4B57EB22" w14:textId="6C2F7450">
            <w:pPr>
              <w:rPr>
                <w:bCs/>
                <w:szCs w:val="24"/>
              </w:rPr>
            </w:pPr>
          </w:p>
        </w:tc>
      </w:tr>
      <w:tr w:rsidRPr="008A2918" w:rsidR="000E4F0A" w:rsidTr="00904F72" w14:paraId="551603BF" w14:textId="77777777">
        <w:tc>
          <w:tcPr>
            <w:tcW w:w="9016" w:type="dxa"/>
            <w:gridSpan w:val="6"/>
            <w:shd w:val="clear" w:color="auto" w:fill="C6D9F1" w:themeFill="text2" w:themeFillTint="33"/>
          </w:tcPr>
          <w:p w:rsidRPr="008A2918" w:rsidR="001C595C" w:rsidP="001C595C" w:rsidRDefault="001C595C" w14:paraId="034A511A" w14:textId="77777777">
            <w:pPr>
              <w:rPr>
                <w:b/>
                <w:szCs w:val="24"/>
              </w:rPr>
            </w:pPr>
            <w:r w:rsidRPr="008A2918">
              <w:rPr>
                <w:b/>
                <w:szCs w:val="24"/>
              </w:rPr>
              <w:t>Conflicts of interest identified</w:t>
            </w:r>
          </w:p>
        </w:tc>
      </w:tr>
      <w:tr w:rsidRPr="008A2918" w:rsidR="000E4F0A" w:rsidTr="00904F72" w14:paraId="6F988758" w14:textId="77777777">
        <w:tc>
          <w:tcPr>
            <w:tcW w:w="9016" w:type="dxa"/>
            <w:gridSpan w:val="6"/>
            <w:shd w:val="clear" w:color="auto" w:fill="FFFFFF" w:themeFill="background1"/>
          </w:tcPr>
          <w:p w:rsidRPr="008A2918" w:rsidR="00266DD3" w:rsidP="00F83A35" w:rsidRDefault="00266DD3" w14:paraId="489AA429" w14:textId="5A765AB6">
            <w:pPr>
              <w:rPr>
                <w:b/>
                <w:szCs w:val="24"/>
              </w:rPr>
            </w:pPr>
          </w:p>
        </w:tc>
      </w:tr>
      <w:tr w:rsidRPr="008A2918" w:rsidR="000E4F0A" w:rsidTr="00904F72" w14:paraId="4569AF41" w14:textId="77777777">
        <w:tc>
          <w:tcPr>
            <w:tcW w:w="9016" w:type="dxa"/>
            <w:gridSpan w:val="6"/>
            <w:shd w:val="clear" w:color="auto" w:fill="C6D9F1" w:themeFill="text2" w:themeFillTint="33"/>
          </w:tcPr>
          <w:p w:rsidRPr="008A2918" w:rsidR="001C595C" w:rsidP="001C595C" w:rsidRDefault="001C595C" w14:paraId="498D1BA0" w14:textId="77777777">
            <w:pPr>
              <w:rPr>
                <w:b/>
                <w:szCs w:val="24"/>
              </w:rPr>
            </w:pPr>
            <w:r w:rsidRPr="008A2918">
              <w:rPr>
                <w:b/>
                <w:szCs w:val="24"/>
              </w:rPr>
              <w:t xml:space="preserve">Implications </w:t>
            </w:r>
          </w:p>
        </w:tc>
      </w:tr>
      <w:tr w:rsidRPr="008A2918" w:rsidR="00C8606E" w:rsidTr="00904F72" w14:paraId="5D9BB821" w14:textId="77777777">
        <w:tc>
          <w:tcPr>
            <w:tcW w:w="2999" w:type="dxa"/>
            <w:shd w:val="clear" w:color="auto" w:fill="FFFFFF" w:themeFill="background1"/>
          </w:tcPr>
          <w:p w:rsidRPr="00176E9D" w:rsidR="001F3F3D" w:rsidP="001C595C" w:rsidRDefault="00176E9D" w14:paraId="02751A32" w14:textId="4BBE7BEE">
            <w:pPr>
              <w:rPr>
                <w:iCs/>
                <w:szCs w:val="24"/>
              </w:rPr>
            </w:pPr>
            <w:r>
              <w:rPr>
                <w:iCs/>
                <w:szCs w:val="24"/>
              </w:rPr>
              <w:t>(</w:t>
            </w:r>
            <w:r w:rsidRPr="00176E9D" w:rsidR="001F3F3D">
              <w:rPr>
                <w:iCs/>
                <w:szCs w:val="24"/>
              </w:rPr>
              <w:t>If yes, please provide a brief risk description and reference number</w:t>
            </w:r>
            <w:r>
              <w:rPr>
                <w:iCs/>
                <w:szCs w:val="24"/>
              </w:rPr>
              <w:t>)</w:t>
            </w:r>
          </w:p>
        </w:tc>
        <w:tc>
          <w:tcPr>
            <w:tcW w:w="713" w:type="dxa"/>
            <w:shd w:val="clear" w:color="auto" w:fill="FFFFFF" w:themeFill="background1"/>
          </w:tcPr>
          <w:p w:rsidRPr="008A2918" w:rsidR="001F3F3D" w:rsidP="001C595C" w:rsidRDefault="001F3F3D" w14:paraId="617AB1E0" w14:textId="68278B6A">
            <w:pPr>
              <w:rPr>
                <w:b/>
                <w:szCs w:val="24"/>
              </w:rPr>
            </w:pPr>
            <w:r w:rsidRPr="008A2918">
              <w:rPr>
                <w:b/>
                <w:szCs w:val="24"/>
              </w:rPr>
              <w:t>Y</w:t>
            </w:r>
            <w:r w:rsidRPr="008A2918" w:rsidR="00266DD3">
              <w:rPr>
                <w:b/>
                <w:szCs w:val="24"/>
              </w:rPr>
              <w:t>es</w:t>
            </w:r>
          </w:p>
        </w:tc>
        <w:tc>
          <w:tcPr>
            <w:tcW w:w="702" w:type="dxa"/>
            <w:shd w:val="clear" w:color="auto" w:fill="FFFFFF" w:themeFill="background1"/>
          </w:tcPr>
          <w:p w:rsidRPr="008A2918" w:rsidR="001F3F3D" w:rsidP="001C595C" w:rsidRDefault="001F3F3D" w14:paraId="3B06C3AE" w14:textId="69D517A9">
            <w:pPr>
              <w:rPr>
                <w:b/>
                <w:szCs w:val="24"/>
              </w:rPr>
            </w:pPr>
            <w:r w:rsidRPr="008A2918">
              <w:rPr>
                <w:b/>
                <w:szCs w:val="24"/>
              </w:rPr>
              <w:t>N</w:t>
            </w:r>
            <w:r w:rsidRPr="008A2918" w:rsidR="00266DD3">
              <w:rPr>
                <w:b/>
                <w:szCs w:val="24"/>
              </w:rPr>
              <w:t>o</w:t>
            </w:r>
          </w:p>
        </w:tc>
        <w:tc>
          <w:tcPr>
            <w:tcW w:w="704" w:type="dxa"/>
            <w:shd w:val="clear" w:color="auto" w:fill="FFFFFF" w:themeFill="background1"/>
          </w:tcPr>
          <w:p w:rsidRPr="008A2918" w:rsidR="001F3F3D" w:rsidP="001C595C" w:rsidRDefault="001F3F3D" w14:paraId="0D8DCADF" w14:textId="77777777">
            <w:pPr>
              <w:rPr>
                <w:b/>
                <w:szCs w:val="24"/>
              </w:rPr>
            </w:pPr>
            <w:r w:rsidRPr="008A2918">
              <w:rPr>
                <w:b/>
                <w:szCs w:val="24"/>
              </w:rPr>
              <w:t>N/A</w:t>
            </w:r>
          </w:p>
        </w:tc>
        <w:tc>
          <w:tcPr>
            <w:tcW w:w="3898" w:type="dxa"/>
            <w:gridSpan w:val="2"/>
            <w:shd w:val="clear" w:color="auto" w:fill="FFFFFF" w:themeFill="background1"/>
          </w:tcPr>
          <w:p w:rsidRPr="008A2918" w:rsidR="001F3F3D" w:rsidP="001C595C" w:rsidRDefault="001F3F3D" w14:paraId="13AC8CA1" w14:textId="77777777">
            <w:pPr>
              <w:rPr>
                <w:b/>
                <w:szCs w:val="24"/>
              </w:rPr>
            </w:pPr>
            <w:r w:rsidRPr="008A2918">
              <w:rPr>
                <w:b/>
                <w:szCs w:val="24"/>
              </w:rPr>
              <w:t>Comments</w:t>
            </w:r>
          </w:p>
        </w:tc>
      </w:tr>
      <w:tr w:rsidRPr="008A2918" w:rsidR="00C8606E" w:rsidTr="00904F72" w14:paraId="7628B833" w14:textId="77777777">
        <w:tc>
          <w:tcPr>
            <w:tcW w:w="2999" w:type="dxa"/>
            <w:shd w:val="clear" w:color="auto" w:fill="FFFFFF" w:themeFill="background1"/>
          </w:tcPr>
          <w:p w:rsidRPr="008A2918" w:rsidR="001F3F3D" w:rsidP="001F3F3D" w:rsidRDefault="001F3F3D" w14:paraId="39F3BA4E" w14:textId="77777777">
            <w:pPr>
              <w:shd w:val="clear" w:color="auto" w:fill="FFFFFF" w:themeFill="background1"/>
              <w:rPr>
                <w:szCs w:val="24"/>
              </w:rPr>
            </w:pPr>
            <w:r w:rsidRPr="008A2918">
              <w:rPr>
                <w:szCs w:val="24"/>
              </w:rPr>
              <w:t>Quality impact assessment completed</w:t>
            </w:r>
          </w:p>
        </w:tc>
        <w:tc>
          <w:tcPr>
            <w:tcW w:w="713" w:type="dxa"/>
            <w:shd w:val="clear" w:color="auto" w:fill="FFFFFF" w:themeFill="background1"/>
          </w:tcPr>
          <w:p w:rsidRPr="008A2918" w:rsidR="001F3F3D" w:rsidP="001F3F3D" w:rsidRDefault="001F3F3D" w14:paraId="563F26E4" w14:textId="77777777">
            <w:pPr>
              <w:shd w:val="clear" w:color="auto" w:fill="FFFFFF" w:themeFill="background1"/>
              <w:rPr>
                <w:szCs w:val="24"/>
              </w:rPr>
            </w:pPr>
          </w:p>
        </w:tc>
        <w:tc>
          <w:tcPr>
            <w:tcW w:w="702" w:type="dxa"/>
            <w:shd w:val="clear" w:color="auto" w:fill="FFFFFF" w:themeFill="background1"/>
          </w:tcPr>
          <w:p w:rsidRPr="008A2918" w:rsidR="001F3F3D" w:rsidP="001F3F3D" w:rsidRDefault="001F3F3D" w14:paraId="4FC3C986" w14:textId="77777777">
            <w:pPr>
              <w:shd w:val="clear" w:color="auto" w:fill="FFFFFF" w:themeFill="background1"/>
              <w:rPr>
                <w:szCs w:val="24"/>
              </w:rPr>
            </w:pPr>
          </w:p>
        </w:tc>
        <w:tc>
          <w:tcPr>
            <w:tcW w:w="704" w:type="dxa"/>
            <w:shd w:val="clear" w:color="auto" w:fill="FFFFFF" w:themeFill="background1"/>
          </w:tcPr>
          <w:p w:rsidRPr="008A2918" w:rsidR="001F3F3D" w:rsidP="001F3F3D" w:rsidRDefault="00D43AE1" w14:paraId="25170B93" w14:textId="7A1BEB05">
            <w:pPr>
              <w:shd w:val="clear" w:color="auto" w:fill="FFFFFF" w:themeFill="background1"/>
              <w:rPr>
                <w:szCs w:val="24"/>
              </w:rPr>
            </w:pPr>
            <w:r>
              <w:rPr>
                <w:szCs w:val="24"/>
              </w:rPr>
              <w:t>x</w:t>
            </w:r>
          </w:p>
        </w:tc>
        <w:tc>
          <w:tcPr>
            <w:tcW w:w="3898" w:type="dxa"/>
            <w:gridSpan w:val="2"/>
            <w:shd w:val="clear" w:color="auto" w:fill="FFFFFF" w:themeFill="background1"/>
          </w:tcPr>
          <w:p w:rsidRPr="008A2918" w:rsidR="001F3F3D" w:rsidP="001F3F3D" w:rsidRDefault="001F3F3D" w14:paraId="0023BD7B" w14:textId="77777777">
            <w:pPr>
              <w:shd w:val="clear" w:color="auto" w:fill="FFFFFF" w:themeFill="background1"/>
              <w:rPr>
                <w:szCs w:val="24"/>
              </w:rPr>
            </w:pPr>
          </w:p>
        </w:tc>
      </w:tr>
      <w:tr w:rsidRPr="008A2918" w:rsidR="00C8606E" w:rsidTr="00904F72" w14:paraId="6EEDA663" w14:textId="77777777">
        <w:tc>
          <w:tcPr>
            <w:tcW w:w="2999" w:type="dxa"/>
            <w:shd w:val="clear" w:color="auto" w:fill="FFFFFF" w:themeFill="background1"/>
          </w:tcPr>
          <w:p w:rsidRPr="008A2918" w:rsidR="001F3F3D" w:rsidP="001F3F3D" w:rsidRDefault="001F3F3D" w14:paraId="132F764A" w14:textId="77777777">
            <w:pPr>
              <w:shd w:val="clear" w:color="auto" w:fill="FFFFFF" w:themeFill="background1"/>
              <w:rPr>
                <w:szCs w:val="24"/>
              </w:rPr>
            </w:pPr>
            <w:r w:rsidRPr="008A2918">
              <w:rPr>
                <w:szCs w:val="24"/>
              </w:rPr>
              <w:t>Equality impact assessment completed</w:t>
            </w:r>
          </w:p>
        </w:tc>
        <w:tc>
          <w:tcPr>
            <w:tcW w:w="713" w:type="dxa"/>
            <w:shd w:val="clear" w:color="auto" w:fill="FFFFFF" w:themeFill="background1"/>
          </w:tcPr>
          <w:p w:rsidRPr="008A2918" w:rsidR="001F3F3D" w:rsidP="001F3F3D" w:rsidRDefault="001F3F3D" w14:paraId="1ED9BD31" w14:textId="77777777">
            <w:pPr>
              <w:shd w:val="clear" w:color="auto" w:fill="FFFFFF" w:themeFill="background1"/>
              <w:rPr>
                <w:szCs w:val="24"/>
              </w:rPr>
            </w:pPr>
          </w:p>
        </w:tc>
        <w:tc>
          <w:tcPr>
            <w:tcW w:w="702" w:type="dxa"/>
            <w:shd w:val="clear" w:color="auto" w:fill="FFFFFF" w:themeFill="background1"/>
          </w:tcPr>
          <w:p w:rsidRPr="008A2918" w:rsidR="001F3F3D" w:rsidP="001F3F3D" w:rsidRDefault="001F3F3D" w14:paraId="223BBF25" w14:textId="77777777">
            <w:pPr>
              <w:shd w:val="clear" w:color="auto" w:fill="FFFFFF" w:themeFill="background1"/>
              <w:rPr>
                <w:szCs w:val="24"/>
              </w:rPr>
            </w:pPr>
          </w:p>
        </w:tc>
        <w:tc>
          <w:tcPr>
            <w:tcW w:w="704" w:type="dxa"/>
            <w:shd w:val="clear" w:color="auto" w:fill="FFFFFF" w:themeFill="background1"/>
          </w:tcPr>
          <w:p w:rsidRPr="008A2918" w:rsidR="001F3F3D" w:rsidP="001F3F3D" w:rsidRDefault="00D43AE1" w14:paraId="6920A6B6" w14:textId="1C141CA0">
            <w:pPr>
              <w:shd w:val="clear" w:color="auto" w:fill="FFFFFF" w:themeFill="background1"/>
              <w:rPr>
                <w:szCs w:val="24"/>
              </w:rPr>
            </w:pPr>
            <w:r>
              <w:rPr>
                <w:szCs w:val="24"/>
              </w:rPr>
              <w:t>x</w:t>
            </w:r>
          </w:p>
        </w:tc>
        <w:tc>
          <w:tcPr>
            <w:tcW w:w="3898" w:type="dxa"/>
            <w:gridSpan w:val="2"/>
            <w:shd w:val="clear" w:color="auto" w:fill="FFFFFF" w:themeFill="background1"/>
          </w:tcPr>
          <w:p w:rsidRPr="008A2918" w:rsidR="001F3F3D" w:rsidP="001F3F3D" w:rsidRDefault="001F3F3D" w14:paraId="24A87DC5" w14:textId="77777777">
            <w:pPr>
              <w:shd w:val="clear" w:color="auto" w:fill="FFFFFF" w:themeFill="background1"/>
              <w:rPr>
                <w:szCs w:val="24"/>
              </w:rPr>
            </w:pPr>
          </w:p>
        </w:tc>
      </w:tr>
      <w:tr w:rsidRPr="008A2918" w:rsidR="00C8606E" w:rsidTr="00904F72" w14:paraId="47AB07EE" w14:textId="77777777">
        <w:tc>
          <w:tcPr>
            <w:tcW w:w="2999" w:type="dxa"/>
            <w:shd w:val="clear" w:color="auto" w:fill="FFFFFF" w:themeFill="background1"/>
          </w:tcPr>
          <w:p w:rsidRPr="008A2918" w:rsidR="001F3F3D" w:rsidP="001F3F3D" w:rsidRDefault="001F3F3D" w14:paraId="2E150A2B" w14:textId="77777777">
            <w:pPr>
              <w:shd w:val="clear" w:color="auto" w:fill="FFFFFF" w:themeFill="background1"/>
              <w:rPr>
                <w:szCs w:val="24"/>
              </w:rPr>
            </w:pPr>
            <w:r w:rsidRPr="008A2918">
              <w:rPr>
                <w:szCs w:val="24"/>
              </w:rPr>
              <w:t>Privacy impact assessment completed</w:t>
            </w:r>
          </w:p>
        </w:tc>
        <w:tc>
          <w:tcPr>
            <w:tcW w:w="713" w:type="dxa"/>
            <w:shd w:val="clear" w:color="auto" w:fill="FFFFFF" w:themeFill="background1"/>
          </w:tcPr>
          <w:p w:rsidRPr="008A2918" w:rsidR="001F3F3D" w:rsidP="001F3F3D" w:rsidRDefault="001F3F3D" w14:paraId="7833E42A" w14:textId="77777777">
            <w:pPr>
              <w:shd w:val="clear" w:color="auto" w:fill="FFFFFF" w:themeFill="background1"/>
              <w:rPr>
                <w:szCs w:val="24"/>
              </w:rPr>
            </w:pPr>
          </w:p>
        </w:tc>
        <w:tc>
          <w:tcPr>
            <w:tcW w:w="702" w:type="dxa"/>
            <w:shd w:val="clear" w:color="auto" w:fill="FFFFFF" w:themeFill="background1"/>
          </w:tcPr>
          <w:p w:rsidRPr="008A2918" w:rsidR="001F3F3D" w:rsidP="001F3F3D" w:rsidRDefault="001F3F3D" w14:paraId="79C52992" w14:textId="77777777">
            <w:pPr>
              <w:shd w:val="clear" w:color="auto" w:fill="FFFFFF" w:themeFill="background1"/>
              <w:rPr>
                <w:szCs w:val="24"/>
              </w:rPr>
            </w:pPr>
          </w:p>
        </w:tc>
        <w:tc>
          <w:tcPr>
            <w:tcW w:w="704" w:type="dxa"/>
            <w:shd w:val="clear" w:color="auto" w:fill="FFFFFF" w:themeFill="background1"/>
          </w:tcPr>
          <w:p w:rsidRPr="008A2918" w:rsidR="001F3F3D" w:rsidP="001F3F3D" w:rsidRDefault="00D43AE1" w14:paraId="1BD8D23C" w14:textId="4A9AD8B4">
            <w:pPr>
              <w:shd w:val="clear" w:color="auto" w:fill="FFFFFF" w:themeFill="background1"/>
              <w:rPr>
                <w:szCs w:val="24"/>
              </w:rPr>
            </w:pPr>
            <w:r>
              <w:rPr>
                <w:szCs w:val="24"/>
              </w:rPr>
              <w:t>x</w:t>
            </w:r>
          </w:p>
        </w:tc>
        <w:tc>
          <w:tcPr>
            <w:tcW w:w="3898" w:type="dxa"/>
            <w:gridSpan w:val="2"/>
            <w:shd w:val="clear" w:color="auto" w:fill="FFFFFF" w:themeFill="background1"/>
          </w:tcPr>
          <w:p w:rsidRPr="008A2918" w:rsidR="001F3F3D" w:rsidP="001F3F3D" w:rsidRDefault="001F3F3D" w14:paraId="6805F593" w14:textId="77777777">
            <w:pPr>
              <w:shd w:val="clear" w:color="auto" w:fill="FFFFFF" w:themeFill="background1"/>
              <w:rPr>
                <w:szCs w:val="24"/>
              </w:rPr>
            </w:pPr>
          </w:p>
        </w:tc>
      </w:tr>
      <w:tr w:rsidRPr="008A2918" w:rsidR="00C8606E" w:rsidTr="00904F72" w14:paraId="399777E2" w14:textId="77777777">
        <w:tc>
          <w:tcPr>
            <w:tcW w:w="2999" w:type="dxa"/>
            <w:shd w:val="clear" w:color="auto" w:fill="FFFFFF" w:themeFill="background1"/>
          </w:tcPr>
          <w:p w:rsidRPr="008A2918" w:rsidR="001F3F3D" w:rsidP="001F3F3D" w:rsidRDefault="001F3F3D" w14:paraId="075C1526" w14:textId="77777777">
            <w:pPr>
              <w:shd w:val="clear" w:color="auto" w:fill="FFFFFF" w:themeFill="background1"/>
              <w:rPr>
                <w:szCs w:val="24"/>
              </w:rPr>
            </w:pPr>
            <w:r w:rsidRPr="008A2918">
              <w:rPr>
                <w:szCs w:val="24"/>
              </w:rPr>
              <w:t>Financial impact assessment completed</w:t>
            </w:r>
          </w:p>
        </w:tc>
        <w:tc>
          <w:tcPr>
            <w:tcW w:w="713" w:type="dxa"/>
            <w:shd w:val="clear" w:color="auto" w:fill="FFFFFF" w:themeFill="background1"/>
          </w:tcPr>
          <w:p w:rsidRPr="008A2918" w:rsidR="001F3F3D" w:rsidP="001F3F3D" w:rsidRDefault="001F3F3D" w14:paraId="72A4048E" w14:textId="77777777">
            <w:pPr>
              <w:shd w:val="clear" w:color="auto" w:fill="FFFFFF" w:themeFill="background1"/>
              <w:rPr>
                <w:szCs w:val="24"/>
              </w:rPr>
            </w:pPr>
          </w:p>
        </w:tc>
        <w:tc>
          <w:tcPr>
            <w:tcW w:w="702" w:type="dxa"/>
            <w:shd w:val="clear" w:color="auto" w:fill="FFFFFF" w:themeFill="background1"/>
          </w:tcPr>
          <w:p w:rsidRPr="008A2918" w:rsidR="001F3F3D" w:rsidP="001F3F3D" w:rsidRDefault="001F3F3D" w14:paraId="194FACCE" w14:textId="77777777">
            <w:pPr>
              <w:shd w:val="clear" w:color="auto" w:fill="FFFFFF" w:themeFill="background1"/>
              <w:rPr>
                <w:szCs w:val="24"/>
              </w:rPr>
            </w:pPr>
          </w:p>
        </w:tc>
        <w:tc>
          <w:tcPr>
            <w:tcW w:w="704" w:type="dxa"/>
            <w:shd w:val="clear" w:color="auto" w:fill="FFFFFF" w:themeFill="background1"/>
          </w:tcPr>
          <w:p w:rsidRPr="008A2918" w:rsidR="001F3F3D" w:rsidP="001F3F3D" w:rsidRDefault="00D43AE1" w14:paraId="20A51FFF" w14:textId="31783C2C">
            <w:pPr>
              <w:shd w:val="clear" w:color="auto" w:fill="FFFFFF" w:themeFill="background1"/>
              <w:rPr>
                <w:szCs w:val="24"/>
              </w:rPr>
            </w:pPr>
            <w:r>
              <w:rPr>
                <w:szCs w:val="24"/>
              </w:rPr>
              <w:t>x</w:t>
            </w:r>
          </w:p>
        </w:tc>
        <w:tc>
          <w:tcPr>
            <w:tcW w:w="3898" w:type="dxa"/>
            <w:gridSpan w:val="2"/>
            <w:shd w:val="clear" w:color="auto" w:fill="FFFFFF" w:themeFill="background1"/>
          </w:tcPr>
          <w:p w:rsidRPr="008A2918" w:rsidR="001F3F3D" w:rsidP="001F3F3D" w:rsidRDefault="001F3F3D" w14:paraId="79C94636" w14:textId="77777777">
            <w:pPr>
              <w:shd w:val="clear" w:color="auto" w:fill="FFFFFF" w:themeFill="background1"/>
              <w:rPr>
                <w:szCs w:val="24"/>
              </w:rPr>
            </w:pPr>
          </w:p>
        </w:tc>
      </w:tr>
      <w:tr w:rsidRPr="008A2918" w:rsidR="00C8606E" w:rsidTr="00904F72" w14:paraId="60375C5D" w14:textId="77777777">
        <w:tc>
          <w:tcPr>
            <w:tcW w:w="2999" w:type="dxa"/>
            <w:shd w:val="clear" w:color="auto" w:fill="FFFFFF" w:themeFill="background1"/>
          </w:tcPr>
          <w:p w:rsidRPr="008A2918" w:rsidR="001F3F3D" w:rsidP="001F3F3D" w:rsidRDefault="001F3F3D" w14:paraId="02DEF318" w14:textId="77777777">
            <w:pPr>
              <w:shd w:val="clear" w:color="auto" w:fill="FFFFFF" w:themeFill="background1"/>
              <w:rPr>
                <w:szCs w:val="24"/>
              </w:rPr>
            </w:pPr>
            <w:r w:rsidRPr="008A2918">
              <w:rPr>
                <w:szCs w:val="24"/>
              </w:rPr>
              <w:t>Associated risks</w:t>
            </w:r>
          </w:p>
        </w:tc>
        <w:tc>
          <w:tcPr>
            <w:tcW w:w="713" w:type="dxa"/>
            <w:shd w:val="clear" w:color="auto" w:fill="FFFFFF" w:themeFill="background1"/>
          </w:tcPr>
          <w:p w:rsidRPr="008A2918" w:rsidR="001F3F3D" w:rsidP="001F3F3D" w:rsidRDefault="001F3F3D" w14:paraId="3E2098F7" w14:textId="77777777">
            <w:pPr>
              <w:shd w:val="clear" w:color="auto" w:fill="FFFFFF" w:themeFill="background1"/>
              <w:rPr>
                <w:szCs w:val="24"/>
              </w:rPr>
            </w:pPr>
          </w:p>
        </w:tc>
        <w:tc>
          <w:tcPr>
            <w:tcW w:w="702" w:type="dxa"/>
            <w:shd w:val="clear" w:color="auto" w:fill="FFFFFF" w:themeFill="background1"/>
          </w:tcPr>
          <w:p w:rsidRPr="008A2918" w:rsidR="001F3F3D" w:rsidP="001F3F3D" w:rsidRDefault="001F3F3D" w14:paraId="03990CE2" w14:textId="77777777">
            <w:pPr>
              <w:shd w:val="clear" w:color="auto" w:fill="FFFFFF" w:themeFill="background1"/>
              <w:rPr>
                <w:szCs w:val="24"/>
              </w:rPr>
            </w:pPr>
          </w:p>
        </w:tc>
        <w:tc>
          <w:tcPr>
            <w:tcW w:w="704" w:type="dxa"/>
            <w:shd w:val="clear" w:color="auto" w:fill="FFFFFF" w:themeFill="background1"/>
          </w:tcPr>
          <w:p w:rsidRPr="008A2918" w:rsidR="001F3F3D" w:rsidP="001F3F3D" w:rsidRDefault="00D43AE1" w14:paraId="218FF9B8" w14:textId="6CA92219">
            <w:pPr>
              <w:shd w:val="clear" w:color="auto" w:fill="FFFFFF" w:themeFill="background1"/>
              <w:rPr>
                <w:szCs w:val="24"/>
              </w:rPr>
            </w:pPr>
            <w:r>
              <w:rPr>
                <w:szCs w:val="24"/>
              </w:rPr>
              <w:t>x</w:t>
            </w:r>
          </w:p>
        </w:tc>
        <w:tc>
          <w:tcPr>
            <w:tcW w:w="3898" w:type="dxa"/>
            <w:gridSpan w:val="2"/>
            <w:shd w:val="clear" w:color="auto" w:fill="FFFFFF" w:themeFill="background1"/>
          </w:tcPr>
          <w:p w:rsidRPr="008A2918" w:rsidR="001F3F3D" w:rsidP="001F3F3D" w:rsidRDefault="001F3F3D" w14:paraId="2B6BC37D" w14:textId="77777777">
            <w:pPr>
              <w:shd w:val="clear" w:color="auto" w:fill="FFFFFF" w:themeFill="background1"/>
              <w:rPr>
                <w:szCs w:val="24"/>
              </w:rPr>
            </w:pPr>
          </w:p>
        </w:tc>
      </w:tr>
      <w:tr w:rsidRPr="008A2918" w:rsidR="00C8606E" w:rsidTr="00904F72" w14:paraId="69418540" w14:textId="77777777">
        <w:tc>
          <w:tcPr>
            <w:tcW w:w="2999" w:type="dxa"/>
            <w:shd w:val="clear" w:color="auto" w:fill="FFFFFF" w:themeFill="background1"/>
          </w:tcPr>
          <w:p w:rsidRPr="008A2918" w:rsidR="001F3F3D" w:rsidP="001F3F3D" w:rsidRDefault="001F3F3D" w14:paraId="46DF4057" w14:textId="77777777">
            <w:pPr>
              <w:shd w:val="clear" w:color="auto" w:fill="FFFFFF" w:themeFill="background1"/>
              <w:rPr>
                <w:szCs w:val="24"/>
              </w:rPr>
            </w:pPr>
            <w:r w:rsidRPr="008A2918">
              <w:rPr>
                <w:szCs w:val="24"/>
              </w:rPr>
              <w:t>Are associated risks detailed on the ICS Risk Register?</w:t>
            </w:r>
          </w:p>
        </w:tc>
        <w:tc>
          <w:tcPr>
            <w:tcW w:w="713" w:type="dxa"/>
            <w:shd w:val="clear" w:color="auto" w:fill="FFFFFF" w:themeFill="background1"/>
          </w:tcPr>
          <w:p w:rsidRPr="008A2918" w:rsidR="001F3F3D" w:rsidP="001F3F3D" w:rsidRDefault="001F3F3D" w14:paraId="7DB41A4D" w14:textId="77777777">
            <w:pPr>
              <w:shd w:val="clear" w:color="auto" w:fill="FFFFFF" w:themeFill="background1"/>
              <w:rPr>
                <w:szCs w:val="24"/>
              </w:rPr>
            </w:pPr>
          </w:p>
        </w:tc>
        <w:tc>
          <w:tcPr>
            <w:tcW w:w="702" w:type="dxa"/>
            <w:shd w:val="clear" w:color="auto" w:fill="FFFFFF" w:themeFill="background1"/>
          </w:tcPr>
          <w:p w:rsidRPr="008A2918" w:rsidR="001F3F3D" w:rsidP="001F3F3D" w:rsidRDefault="001F3F3D" w14:paraId="0161EDDE" w14:textId="77777777">
            <w:pPr>
              <w:shd w:val="clear" w:color="auto" w:fill="FFFFFF" w:themeFill="background1"/>
              <w:rPr>
                <w:szCs w:val="24"/>
              </w:rPr>
            </w:pPr>
          </w:p>
        </w:tc>
        <w:tc>
          <w:tcPr>
            <w:tcW w:w="704" w:type="dxa"/>
            <w:shd w:val="clear" w:color="auto" w:fill="FFFFFF" w:themeFill="background1"/>
          </w:tcPr>
          <w:p w:rsidRPr="008A2918" w:rsidR="001F3F3D" w:rsidP="001F3F3D" w:rsidRDefault="00D43AE1" w14:paraId="24EF14B9" w14:textId="2F8E092D">
            <w:pPr>
              <w:shd w:val="clear" w:color="auto" w:fill="FFFFFF" w:themeFill="background1"/>
              <w:rPr>
                <w:szCs w:val="24"/>
              </w:rPr>
            </w:pPr>
            <w:r>
              <w:rPr>
                <w:szCs w:val="24"/>
              </w:rPr>
              <w:t>x</w:t>
            </w:r>
          </w:p>
        </w:tc>
        <w:tc>
          <w:tcPr>
            <w:tcW w:w="3898" w:type="dxa"/>
            <w:gridSpan w:val="2"/>
            <w:shd w:val="clear" w:color="auto" w:fill="FFFFFF" w:themeFill="background1"/>
          </w:tcPr>
          <w:p w:rsidRPr="008A2918" w:rsidR="001F3F3D" w:rsidP="001F3F3D" w:rsidRDefault="001F3F3D" w14:paraId="02FAC418" w14:textId="77777777">
            <w:pPr>
              <w:shd w:val="clear" w:color="auto" w:fill="FFFFFF" w:themeFill="background1"/>
              <w:rPr>
                <w:szCs w:val="24"/>
              </w:rPr>
            </w:pPr>
          </w:p>
        </w:tc>
      </w:tr>
    </w:tbl>
    <w:p w:rsidRPr="008A2918" w:rsidR="001C595C" w:rsidP="001F3F3D" w:rsidRDefault="001C595C" w14:paraId="11A1D71D" w14:textId="0F8FB4A6">
      <w:pPr>
        <w:pStyle w:val="Numberlist"/>
        <w:numPr>
          <w:ilvl w:val="0"/>
          <w:numId w:val="0"/>
        </w:numPr>
        <w:shd w:val="clear" w:color="auto" w:fill="FFFFFF" w:themeFill="background1"/>
        <w:rPr>
          <w:szCs w:val="24"/>
        </w:rPr>
      </w:pPr>
    </w:p>
    <w:tbl>
      <w:tblPr>
        <w:tblStyle w:val="TableGrid"/>
        <w:tblW w:w="0" w:type="auto"/>
        <w:tblLook w:val="04A0" w:firstRow="1" w:lastRow="0" w:firstColumn="1" w:lastColumn="0" w:noHBand="0" w:noVBand="1"/>
      </w:tblPr>
      <w:tblGrid>
        <w:gridCol w:w="2972"/>
        <w:gridCol w:w="6044"/>
      </w:tblGrid>
      <w:tr w:rsidRPr="008A2918" w:rsidR="00D86F4F" w:rsidTr="00904F72" w14:paraId="61D00D71" w14:textId="77777777">
        <w:tc>
          <w:tcPr>
            <w:tcW w:w="2972" w:type="dxa"/>
            <w:shd w:val="clear" w:color="auto" w:fill="B8CCE4" w:themeFill="accent1" w:themeFillTint="66"/>
          </w:tcPr>
          <w:p w:rsidRPr="008A2918" w:rsidR="00904F72" w:rsidP="001F3F3D" w:rsidRDefault="00904F72" w14:paraId="1D2C3BB1" w14:textId="6FBE339A">
            <w:pPr>
              <w:pStyle w:val="Numberlist"/>
              <w:numPr>
                <w:ilvl w:val="0"/>
                <w:numId w:val="0"/>
              </w:numPr>
              <w:rPr>
                <w:b/>
                <w:bCs/>
                <w:szCs w:val="24"/>
              </w:rPr>
            </w:pPr>
            <w:r w:rsidRPr="008A2918">
              <w:rPr>
                <w:b/>
                <w:bCs/>
                <w:szCs w:val="24"/>
              </w:rPr>
              <w:t>Report authorised by:</w:t>
            </w:r>
          </w:p>
        </w:tc>
        <w:tc>
          <w:tcPr>
            <w:tcW w:w="6044" w:type="dxa"/>
          </w:tcPr>
          <w:p w:rsidRPr="008A2918" w:rsidR="00904F72" w:rsidP="006B4B7D" w:rsidRDefault="001774FD" w14:paraId="44FABA76" w14:textId="45ED8CBC">
            <w:pPr>
              <w:pStyle w:val="Numberlist"/>
              <w:numPr>
                <w:ilvl w:val="0"/>
                <w:numId w:val="0"/>
              </w:numPr>
              <w:tabs>
                <w:tab w:val="left" w:pos="1753"/>
              </w:tabs>
              <w:rPr>
                <w:szCs w:val="24"/>
              </w:rPr>
            </w:pPr>
            <w:r>
              <w:rPr>
                <w:szCs w:val="24"/>
              </w:rPr>
              <w:t xml:space="preserve">Peter Tinson Director of Primary and Community Commissioning </w:t>
            </w:r>
          </w:p>
        </w:tc>
      </w:tr>
    </w:tbl>
    <w:p w:rsidRPr="008A2918" w:rsidR="00904F72" w:rsidP="00266DD3" w:rsidRDefault="00904F72" w14:paraId="173A742F" w14:textId="40037DDF">
      <w:pPr>
        <w:spacing w:after="0" w:line="240" w:lineRule="auto"/>
        <w:rPr>
          <w:rFonts w:eastAsiaTheme="minorEastAsia"/>
          <w:b/>
          <w:bCs/>
          <w:color w:val="000000" w:themeColor="text1"/>
          <w:kern w:val="24"/>
          <w:szCs w:val="24"/>
          <w:lang w:val="en-US" w:eastAsia="en-GB"/>
        </w:rPr>
      </w:pPr>
    </w:p>
    <w:p w:rsidRPr="008A2918" w:rsidR="00DA478E" w:rsidRDefault="00DA478E" w14:paraId="0370A28A" w14:textId="690B8B49">
      <w:pPr>
        <w:rPr>
          <w:rFonts w:eastAsiaTheme="minorEastAsia"/>
          <w:b/>
          <w:bCs/>
          <w:color w:val="000000" w:themeColor="text1"/>
          <w:kern w:val="24"/>
          <w:szCs w:val="24"/>
          <w:lang w:val="en-US" w:eastAsia="en-GB"/>
        </w:rPr>
      </w:pPr>
      <w:r w:rsidRPr="008A2918">
        <w:rPr>
          <w:rFonts w:eastAsiaTheme="minorEastAsia"/>
          <w:b/>
          <w:bCs/>
          <w:color w:val="000000" w:themeColor="text1"/>
          <w:kern w:val="24"/>
          <w:szCs w:val="24"/>
          <w:lang w:val="en-US" w:eastAsia="en-GB"/>
        </w:rPr>
        <w:br w:type="page"/>
      </w:r>
    </w:p>
    <w:p w:rsidR="00D24C6E" w:rsidP="00533AB0" w:rsidRDefault="00A7070D" w14:paraId="4384A910" w14:textId="77777777">
      <w:pPr>
        <w:pStyle w:val="Heading1"/>
        <w:spacing w:before="120" w:line="240" w:lineRule="auto"/>
        <w:jc w:val="center"/>
        <w:rPr>
          <w:szCs w:val="36"/>
        </w:rPr>
      </w:pPr>
      <w:r>
        <w:rPr>
          <w:szCs w:val="36"/>
        </w:rPr>
        <w:t xml:space="preserve">Primary Care Contracting Sub Committee </w:t>
      </w:r>
    </w:p>
    <w:p w:rsidRPr="00FE4D88" w:rsidR="00533AB0" w:rsidP="00533AB0" w:rsidRDefault="00B55333" w14:paraId="6085FBA5" w14:textId="5B400ECD">
      <w:pPr>
        <w:pStyle w:val="Heading1"/>
        <w:spacing w:before="120" w:line="240" w:lineRule="auto"/>
        <w:jc w:val="center"/>
        <w:rPr>
          <w:szCs w:val="36"/>
        </w:rPr>
      </w:pPr>
      <w:r>
        <w:rPr>
          <w:szCs w:val="36"/>
        </w:rPr>
        <w:t>27 May 2026</w:t>
      </w:r>
    </w:p>
    <w:p w:rsidRPr="008A2918" w:rsidR="00533AB0" w:rsidP="00533AB0" w:rsidRDefault="00533AB0" w14:paraId="31C3A0EF" w14:textId="34C40F26">
      <w:pPr>
        <w:spacing w:after="0"/>
        <w:ind w:left="-993" w:right="-897"/>
        <w:jc w:val="center"/>
        <w:rPr>
          <w:b/>
          <w:szCs w:val="24"/>
        </w:rPr>
      </w:pPr>
      <w:r w:rsidRPr="008A2918">
        <w:rPr>
          <w:b/>
          <w:noProof/>
          <w:szCs w:val="24"/>
        </w:rPr>
        <mc:AlternateContent>
          <mc:Choice Requires="wps">
            <w:drawing>
              <wp:anchor distT="0" distB="0" distL="114300" distR="114300" simplePos="0" relativeHeight="251658240" behindDoc="0" locked="0" layoutInCell="1" allowOverlap="1" wp14:anchorId="3901CEDC" wp14:editId="1569A631">
                <wp:simplePos x="0" y="0"/>
                <wp:positionH relativeFrom="column">
                  <wp:posOffset>-66675</wp:posOffset>
                </wp:positionH>
                <wp:positionV relativeFrom="paragraph">
                  <wp:posOffset>152400</wp:posOffset>
                </wp:positionV>
                <wp:extent cx="60388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038850" cy="28575"/>
                        </a:xfrm>
                        <a:prstGeom prst="line">
                          <a:avLst/>
                        </a:prstGeom>
                        <a:noFill/>
                        <a:ln w="28575" cap="flat" cmpd="sng" algn="ctr">
                          <a:solidFill>
                            <a:srgbClr val="1F497D">
                              <a:lumMod val="60000"/>
                              <a:lumOff val="40000"/>
                            </a:srgbClr>
                          </a:solidFill>
                          <a:prstDash val="solid"/>
                        </a:ln>
                        <a:effectLst/>
                      </wps:spPr>
                      <wps:bodyPr/>
                    </wps:wsp>
                  </a:graphicData>
                </a:graphic>
              </wp:anchor>
            </w:drawing>
          </mc:Choice>
          <mc:Fallback xmlns:a="http://schemas.openxmlformats.org/drawingml/2006/main">
            <w:pict w14:anchorId="2987983C">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58ed5" strokeweight="2.25pt" from="-5.25pt,12pt" to="470.25pt,14.25pt" w14:anchorId="121F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"/>
            </w:pict>
          </mc:Fallback>
        </mc:AlternateContent>
      </w:r>
    </w:p>
    <w:p w:rsidR="000D3668" w:rsidP="000D3668" w:rsidRDefault="00D86F4F" w14:paraId="618B8C75" w14:textId="2C0F5BDA">
      <w:pPr>
        <w:pStyle w:val="paragraph"/>
        <w:spacing w:before="0" w:beforeAutospacing="0" w:after="0" w:afterAutospacing="0"/>
        <w:jc w:val="center"/>
        <w:textAlignment w:val="baseline"/>
        <w:rPr>
          <w:rFonts w:ascii="Segoe UI" w:hAnsi="Segoe UI" w:cs="Segoe UI"/>
          <w:b/>
          <w:bCs/>
          <w:sz w:val="18"/>
          <w:szCs w:val="18"/>
        </w:rPr>
      </w:pPr>
      <w:r w:rsidRPr="00D86F4F">
        <w:rPr>
          <w:rStyle w:val="normaltextrun"/>
          <w:rFonts w:ascii="Arial" w:hAnsi="Arial" w:cs="Arial" w:eastAsiaTheme="majorEastAsia"/>
          <w:b/>
          <w:sz w:val="28"/>
          <w:szCs w:val="28"/>
        </w:rPr>
        <w:t>Annual Delegated Assurance Framework Self</w:t>
      </w:r>
      <w:r w:rsidR="004511E5">
        <w:rPr>
          <w:rStyle w:val="normaltextrun"/>
          <w:rFonts w:ascii="Arial" w:hAnsi="Arial" w:cs="Arial" w:eastAsiaTheme="majorEastAsia"/>
          <w:b/>
          <w:sz w:val="28"/>
          <w:szCs w:val="28"/>
        </w:rPr>
        <w:t xml:space="preserve"> </w:t>
      </w:r>
      <w:r w:rsidRPr="00D86F4F">
        <w:rPr>
          <w:rStyle w:val="normaltextrun"/>
          <w:rFonts w:ascii="Arial" w:hAnsi="Arial" w:cs="Arial" w:eastAsiaTheme="majorEastAsia"/>
          <w:b/>
          <w:sz w:val="28"/>
          <w:szCs w:val="28"/>
        </w:rPr>
        <w:t>Declaration</w:t>
      </w:r>
      <w:r>
        <w:rPr>
          <w:bCs/>
        </w:rPr>
        <w:t xml:space="preserve"> </w:t>
      </w:r>
    </w:p>
    <w:p w:rsidR="000D3668" w:rsidP="000D3668" w:rsidRDefault="000D3668" w14:paraId="41985DD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eastAsiaTheme="majorEastAsia"/>
          <w:b/>
          <w:bCs/>
          <w:color w:val="000000"/>
          <w:sz w:val="22"/>
          <w:szCs w:val="22"/>
          <w:lang w:val="en-US"/>
        </w:rPr>
        <w:t> </w:t>
      </w:r>
      <w:r>
        <w:rPr>
          <w:rStyle w:val="eop"/>
          <w:rFonts w:ascii="Arial" w:hAnsi="Arial" w:cs="Arial" w:eastAsiaTheme="majorEastAsia"/>
          <w:color w:val="000000"/>
          <w:sz w:val="22"/>
          <w:szCs w:val="22"/>
        </w:rPr>
        <w:t> </w:t>
      </w:r>
    </w:p>
    <w:p w:rsidR="000D3668" w:rsidP="000D3668" w:rsidRDefault="000D3668" w14:paraId="0D53D154" w14:textId="7A1311AA">
      <w:pPr>
        <w:pStyle w:val="paragraph"/>
        <w:spacing w:before="0" w:beforeAutospacing="0" w:after="0" w:afterAutospacing="0"/>
        <w:jc w:val="both"/>
        <w:textAlignment w:val="baseline"/>
        <w:rPr>
          <w:rFonts w:ascii="Segoe UI" w:hAnsi="Segoe UI" w:cs="Segoe UI"/>
          <w:sz w:val="18"/>
          <w:szCs w:val="18"/>
        </w:rPr>
      </w:pPr>
    </w:p>
    <w:p w:rsidRPr="00972E8A" w:rsidR="00A00D30" w:rsidP="00A00D30" w:rsidRDefault="000D3668" w14:paraId="2F50CA2C" w14:textId="77777777">
      <w:pPr>
        <w:tabs>
          <w:tab w:val="left" w:pos="565"/>
        </w:tabs>
        <w:spacing w:after="0" w:line="240" w:lineRule="auto"/>
        <w:jc w:val="both"/>
        <w:rPr>
          <w:rFonts w:eastAsia="Times New Roman"/>
          <w:szCs w:val="24"/>
          <w:lang w:eastAsia="en-GB"/>
        </w:rPr>
      </w:pPr>
      <w:r>
        <w:rPr>
          <w:rStyle w:val="normaltextrun"/>
          <w:b/>
          <w:bCs/>
          <w:color w:val="000000"/>
          <w:lang w:val="en-US"/>
        </w:rPr>
        <w:t> </w:t>
      </w:r>
      <w:r>
        <w:rPr>
          <w:rStyle w:val="eop"/>
          <w:color w:val="000000"/>
        </w:rPr>
        <w:t> </w:t>
      </w:r>
      <w:r w:rsidRPr="00972E8A" w:rsidR="00A00D30">
        <w:rPr>
          <w:rFonts w:eastAsiaTheme="minorEastAsia"/>
          <w:b/>
          <w:bCs/>
          <w:color w:val="000000" w:themeColor="text1"/>
          <w:kern w:val="24"/>
          <w:szCs w:val="24"/>
          <w:lang w:val="en-US" w:eastAsia="en-GB"/>
        </w:rPr>
        <w:t>1.</w:t>
      </w:r>
      <w:r w:rsidRPr="00972E8A" w:rsidR="00A00D30">
        <w:rPr>
          <w:rFonts w:eastAsiaTheme="minorEastAsia"/>
          <w:b/>
          <w:bCs/>
          <w:color w:val="000000" w:themeColor="text1"/>
          <w:kern w:val="24"/>
          <w:szCs w:val="24"/>
          <w:lang w:val="en-US" w:eastAsia="en-GB"/>
        </w:rPr>
        <w:tab/>
      </w:r>
      <w:r w:rsidRPr="00972E8A" w:rsidR="00A00D30">
        <w:rPr>
          <w:rFonts w:eastAsiaTheme="minorEastAsia"/>
          <w:b/>
          <w:bCs/>
          <w:color w:val="000000" w:themeColor="text1"/>
          <w:kern w:val="24"/>
          <w:szCs w:val="24"/>
          <w:lang w:val="en-US" w:eastAsia="en-GB"/>
        </w:rPr>
        <w:t xml:space="preserve">Introduction </w:t>
      </w:r>
    </w:p>
    <w:p w:rsidRPr="00972E8A" w:rsidR="00A00D30" w:rsidP="00A00D30" w:rsidRDefault="00A00D30" w14:paraId="4968BE78" w14:textId="77777777">
      <w:pPr>
        <w:spacing w:after="0" w:line="240" w:lineRule="auto"/>
        <w:jc w:val="both"/>
        <w:rPr>
          <w:rFonts w:eastAsia="Times New Roman"/>
          <w:szCs w:val="24"/>
          <w:lang w:eastAsia="en-GB"/>
        </w:rPr>
      </w:pPr>
      <w:r w:rsidRPr="00972E8A">
        <w:rPr>
          <w:rFonts w:eastAsiaTheme="minorEastAsia"/>
          <w:b/>
          <w:bCs/>
          <w:color w:val="000000" w:themeColor="text1"/>
          <w:kern w:val="24"/>
          <w:szCs w:val="24"/>
          <w:lang w:val="en-US" w:eastAsia="en-GB"/>
        </w:rPr>
        <w:t> </w:t>
      </w:r>
    </w:p>
    <w:p w:rsidRPr="00AD7F15" w:rsidR="00A00D30" w:rsidP="00A00D30" w:rsidRDefault="00A00D30" w14:paraId="525FDC2E" w14:textId="77777777">
      <w:pPr>
        <w:numPr>
          <w:ilvl w:val="1"/>
          <w:numId w:val="15"/>
        </w:numPr>
        <w:tabs>
          <w:tab w:val="left" w:pos="565"/>
        </w:tabs>
        <w:spacing w:after="0" w:line="240" w:lineRule="auto"/>
        <w:jc w:val="both"/>
        <w:rPr>
          <w:rFonts w:eastAsia="Times New Roman"/>
          <w:szCs w:val="24"/>
          <w:lang w:eastAsia="en-GB"/>
        </w:rPr>
      </w:pPr>
      <w:r w:rsidRPr="00AD7F15">
        <w:rPr>
          <w:rFonts w:eastAsiaTheme="minorEastAsia"/>
          <w:color w:val="000000" w:themeColor="text1"/>
          <w:kern w:val="24"/>
          <w:szCs w:val="24"/>
          <w:lang w:val="en-US" w:eastAsia="en-GB"/>
        </w:rPr>
        <w:t>The purpose of this paper is to highlight the assurance requirements NHS England will expect from the ICB in relation to the commissioning of delegated primary care services.</w:t>
      </w:r>
    </w:p>
    <w:p w:rsidRPr="00BF1297" w:rsidR="00A00D30" w:rsidP="00A00D30" w:rsidRDefault="00A00D30" w14:paraId="428EC1B4" w14:textId="77777777">
      <w:pPr>
        <w:numPr>
          <w:ilvl w:val="1"/>
          <w:numId w:val="15"/>
        </w:numPr>
        <w:tabs>
          <w:tab w:val="left" w:pos="565"/>
        </w:tabs>
        <w:spacing w:after="0" w:line="240" w:lineRule="auto"/>
        <w:jc w:val="both"/>
        <w:rPr>
          <w:rFonts w:eastAsia="Times New Roman"/>
          <w:lang w:eastAsia="en-GB"/>
        </w:rPr>
      </w:pPr>
      <w:r w:rsidRPr="2666ADDD">
        <w:rPr>
          <w:rFonts w:eastAsia="Times New Roman"/>
          <w:lang w:eastAsia="en-GB"/>
        </w:rPr>
        <w:t xml:space="preserve">It also reiterates the approach to ensuring compliance with the NHS England requirements which was agreed at the meeting of the </w:t>
      </w:r>
      <w:r>
        <w:rPr>
          <w:rFonts w:eastAsia="Times New Roman"/>
          <w:lang w:eastAsia="en-GB"/>
        </w:rPr>
        <w:t>Primary Care Contracting Sub-committee</w:t>
      </w:r>
      <w:r w:rsidRPr="2666ADDD">
        <w:rPr>
          <w:rFonts w:eastAsia="Times New Roman"/>
          <w:lang w:eastAsia="en-GB"/>
        </w:rPr>
        <w:t xml:space="preserve"> on 1</w:t>
      </w:r>
      <w:r w:rsidRPr="2666ADDD">
        <w:rPr>
          <w:rFonts w:eastAsia="Times New Roman"/>
          <w:vertAlign w:val="superscript"/>
          <w:lang w:eastAsia="en-GB"/>
        </w:rPr>
        <w:t>st</w:t>
      </w:r>
      <w:r w:rsidRPr="2666ADDD">
        <w:rPr>
          <w:rFonts w:eastAsia="Times New Roman"/>
          <w:lang w:eastAsia="en-GB"/>
        </w:rPr>
        <w:t xml:space="preserve"> May 2024.</w:t>
      </w:r>
    </w:p>
    <w:p w:rsidRPr="00754608" w:rsidR="00A00D30" w:rsidP="00A00D30" w:rsidRDefault="00A00D30" w14:paraId="79A9ECEE" w14:textId="29715905">
      <w:pPr>
        <w:numPr>
          <w:ilvl w:val="1"/>
          <w:numId w:val="15"/>
        </w:numPr>
        <w:tabs>
          <w:tab w:val="left" w:pos="565"/>
        </w:tabs>
        <w:spacing w:after="0" w:line="240" w:lineRule="auto"/>
        <w:jc w:val="both"/>
        <w:rPr>
          <w:rFonts w:eastAsia="Times New Roman"/>
          <w:lang w:eastAsia="en-GB"/>
        </w:rPr>
      </w:pPr>
      <w:r w:rsidRPr="521940A5">
        <w:rPr>
          <w:rFonts w:eastAsia="Times New Roman"/>
          <w:lang w:eastAsia="en-GB"/>
        </w:rPr>
        <w:t xml:space="preserve">The paper contains the completed </w:t>
      </w:r>
      <w:r w:rsidR="00BF229A">
        <w:rPr>
          <w:rFonts w:eastAsia="Times New Roman"/>
          <w:lang w:eastAsia="en-GB"/>
        </w:rPr>
        <w:t xml:space="preserve">annual delegated assurance framework self declaration </w:t>
      </w:r>
      <w:r w:rsidR="00BE738D">
        <w:rPr>
          <w:rFonts w:eastAsia="Times New Roman"/>
          <w:lang w:eastAsia="en-GB"/>
        </w:rPr>
        <w:t xml:space="preserve">(Appendix A) for review and approval prior to submission to NHS England. </w:t>
      </w:r>
    </w:p>
    <w:p w:rsidRPr="00972E8A" w:rsidR="00A00D30" w:rsidP="00A00D30" w:rsidRDefault="00A00D30" w14:paraId="06F35ECD" w14:textId="77777777">
      <w:pPr>
        <w:tabs>
          <w:tab w:val="left" w:pos="565"/>
        </w:tabs>
        <w:spacing w:after="0" w:line="240" w:lineRule="auto"/>
        <w:jc w:val="both"/>
        <w:rPr>
          <w:rFonts w:eastAsia="Times New Roman"/>
          <w:szCs w:val="24"/>
          <w:lang w:eastAsia="en-GB"/>
        </w:rPr>
      </w:pPr>
    </w:p>
    <w:p w:rsidRPr="00972E8A" w:rsidR="00A00D30" w:rsidP="00A00D30" w:rsidRDefault="00A00D30" w14:paraId="41888729" w14:textId="77777777">
      <w:pPr>
        <w:numPr>
          <w:ilvl w:val="0"/>
          <w:numId w:val="13"/>
        </w:numPr>
        <w:tabs>
          <w:tab w:val="left" w:pos="565"/>
        </w:tabs>
        <w:spacing w:after="0" w:line="240" w:lineRule="auto"/>
        <w:ind w:hanging="720"/>
        <w:contextualSpacing/>
        <w:jc w:val="both"/>
        <w:rPr>
          <w:rFonts w:eastAsia="Times New Roman"/>
          <w:szCs w:val="24"/>
          <w:lang w:eastAsia="en-GB"/>
        </w:rPr>
      </w:pPr>
      <w:r>
        <w:rPr>
          <w:rFonts w:eastAsiaTheme="minorEastAsia"/>
          <w:b/>
          <w:bCs/>
          <w:color w:val="000000" w:themeColor="text1"/>
          <w:kern w:val="24"/>
          <w:szCs w:val="24"/>
          <w:lang w:val="en-US" w:eastAsia="en-GB"/>
        </w:rPr>
        <w:t>Background</w:t>
      </w:r>
    </w:p>
    <w:p w:rsidRPr="00972E8A" w:rsidR="00A00D30" w:rsidP="00A00D30" w:rsidRDefault="00A00D30" w14:paraId="2DB5FB93" w14:textId="77777777">
      <w:pPr>
        <w:tabs>
          <w:tab w:val="left" w:pos="565"/>
        </w:tabs>
        <w:spacing w:after="0" w:line="240" w:lineRule="auto"/>
        <w:ind w:left="720"/>
        <w:contextualSpacing/>
        <w:jc w:val="both"/>
        <w:rPr>
          <w:rFonts w:eastAsia="Times New Roman"/>
          <w:szCs w:val="24"/>
          <w:lang w:eastAsia="en-GB"/>
        </w:rPr>
      </w:pPr>
    </w:p>
    <w:p w:rsidRPr="003542B6" w:rsidR="00A00D30" w:rsidP="00A00D30" w:rsidRDefault="00A00D30" w14:paraId="3980FB69" w14:textId="77777777">
      <w:pPr>
        <w:numPr>
          <w:ilvl w:val="1"/>
          <w:numId w:val="13"/>
        </w:numPr>
        <w:tabs>
          <w:tab w:val="left" w:pos="565"/>
        </w:tabs>
        <w:spacing w:after="0" w:line="240" w:lineRule="auto"/>
        <w:ind w:left="567" w:hanging="567"/>
        <w:jc w:val="both"/>
        <w:rPr>
          <w:rFonts w:eastAsia="Times New Roman"/>
          <w:szCs w:val="24"/>
          <w:lang w:eastAsia="en-GB"/>
        </w:rPr>
      </w:pPr>
      <w:r w:rsidRPr="00972E8A">
        <w:rPr>
          <w:rFonts w:eastAsiaTheme="minorEastAsia"/>
          <w:color w:val="000000" w:themeColor="text1"/>
          <w:kern w:val="24"/>
          <w:szCs w:val="24"/>
          <w:lang w:val="en-US" w:eastAsia="en-GB"/>
        </w:rPr>
        <w:t xml:space="preserve">The </w:t>
      </w:r>
      <w:r>
        <w:rPr>
          <w:rFonts w:eastAsiaTheme="minorEastAsia"/>
          <w:color w:val="000000" w:themeColor="text1"/>
          <w:kern w:val="24"/>
          <w:szCs w:val="24"/>
          <w:lang w:val="en-US" w:eastAsia="en-GB"/>
        </w:rPr>
        <w:t>ICB has delegated responsibility from NHS England for the commissioning of primary care services. These are:</w:t>
      </w:r>
    </w:p>
    <w:p w:rsidR="00A00D30" w:rsidP="00A00D30" w:rsidRDefault="00A00D30" w14:paraId="2439D026" w14:textId="77777777">
      <w:pPr>
        <w:pStyle w:val="ListParagraph"/>
        <w:numPr>
          <w:ilvl w:val="0"/>
          <w:numId w:val="49"/>
        </w:numPr>
        <w:tabs>
          <w:tab w:val="left" w:pos="565"/>
        </w:tabs>
        <w:spacing w:after="0" w:line="240" w:lineRule="auto"/>
        <w:jc w:val="both"/>
        <w:rPr>
          <w:rFonts w:eastAsia="Times New Roman"/>
          <w:szCs w:val="24"/>
          <w:lang w:eastAsia="en-GB"/>
        </w:rPr>
      </w:pPr>
      <w:r>
        <w:rPr>
          <w:rFonts w:eastAsia="Times New Roman"/>
          <w:szCs w:val="24"/>
          <w:lang w:eastAsia="en-GB"/>
        </w:rPr>
        <w:t>Primary Medical Care Services (GP practices)</w:t>
      </w:r>
    </w:p>
    <w:p w:rsidR="00A00D30" w:rsidP="00A00D30" w:rsidRDefault="00A00D30" w14:paraId="58F315F3" w14:textId="77777777">
      <w:pPr>
        <w:pStyle w:val="ListParagraph"/>
        <w:numPr>
          <w:ilvl w:val="0"/>
          <w:numId w:val="49"/>
        </w:numPr>
        <w:tabs>
          <w:tab w:val="left" w:pos="565"/>
        </w:tabs>
        <w:spacing w:after="0" w:line="240" w:lineRule="auto"/>
        <w:jc w:val="both"/>
        <w:rPr>
          <w:rFonts w:eastAsia="Times New Roman"/>
          <w:szCs w:val="24"/>
          <w:lang w:eastAsia="en-GB"/>
        </w:rPr>
      </w:pPr>
      <w:r>
        <w:rPr>
          <w:rFonts w:eastAsia="Times New Roman"/>
          <w:szCs w:val="24"/>
          <w:lang w:eastAsia="en-GB"/>
        </w:rPr>
        <w:t>Primary Dental and Prescribed Dental Services (Dental practices)</w:t>
      </w:r>
    </w:p>
    <w:p w:rsidR="00A00D30" w:rsidP="00A00D30" w:rsidRDefault="00A00D30" w14:paraId="009DE472" w14:textId="77777777">
      <w:pPr>
        <w:pStyle w:val="ListParagraph"/>
        <w:numPr>
          <w:ilvl w:val="0"/>
          <w:numId w:val="49"/>
        </w:numPr>
        <w:tabs>
          <w:tab w:val="left" w:pos="565"/>
        </w:tabs>
        <w:spacing w:after="0" w:line="240" w:lineRule="auto"/>
        <w:jc w:val="both"/>
        <w:rPr>
          <w:rFonts w:eastAsia="Times New Roman"/>
          <w:szCs w:val="24"/>
          <w:lang w:eastAsia="en-GB"/>
        </w:rPr>
      </w:pPr>
      <w:r>
        <w:rPr>
          <w:rFonts w:eastAsia="Times New Roman"/>
          <w:szCs w:val="24"/>
          <w:lang w:eastAsia="en-GB"/>
        </w:rPr>
        <w:t>Primary Ophthalmic Services (Optometry practices)</w:t>
      </w:r>
    </w:p>
    <w:p w:rsidRPr="00512A75" w:rsidR="00A00D30" w:rsidP="00A00D30" w:rsidRDefault="00A00D30" w14:paraId="4451A2BC" w14:textId="77777777">
      <w:pPr>
        <w:pStyle w:val="ListParagraph"/>
        <w:numPr>
          <w:ilvl w:val="0"/>
          <w:numId w:val="49"/>
        </w:numPr>
        <w:tabs>
          <w:tab w:val="left" w:pos="565"/>
        </w:tabs>
        <w:spacing w:after="0" w:line="240" w:lineRule="auto"/>
        <w:jc w:val="both"/>
        <w:rPr>
          <w:rFonts w:eastAsia="Times New Roman"/>
          <w:szCs w:val="24"/>
          <w:lang w:eastAsia="en-GB"/>
        </w:rPr>
      </w:pPr>
      <w:r>
        <w:rPr>
          <w:rFonts w:eastAsia="Times New Roman"/>
          <w:szCs w:val="24"/>
          <w:lang w:eastAsia="en-GB"/>
        </w:rPr>
        <w:t>Pharmaceutical Services and Local Pharmaceutical Services (Pharmacies)</w:t>
      </w:r>
    </w:p>
    <w:p w:rsidR="00A00D30" w:rsidP="00A00D30" w:rsidRDefault="00A00D30" w14:paraId="0ADCDE6B" w14:textId="77777777">
      <w:pPr>
        <w:tabs>
          <w:tab w:val="left" w:pos="565"/>
        </w:tabs>
        <w:spacing w:after="0" w:line="240" w:lineRule="auto"/>
        <w:ind w:left="567"/>
        <w:jc w:val="both"/>
        <w:rPr>
          <w:rFonts w:eastAsia="Times New Roman"/>
          <w:szCs w:val="24"/>
          <w:lang w:eastAsia="en-GB"/>
        </w:rPr>
      </w:pPr>
    </w:p>
    <w:p w:rsidR="00A00D30" w:rsidP="00A00D30" w:rsidRDefault="00A00D30" w14:paraId="564D5ED3" w14:textId="77777777">
      <w:pPr>
        <w:numPr>
          <w:ilvl w:val="1"/>
          <w:numId w:val="13"/>
        </w:numPr>
        <w:tabs>
          <w:tab w:val="left" w:pos="565"/>
        </w:tabs>
        <w:spacing w:after="0" w:line="240" w:lineRule="auto"/>
        <w:ind w:left="567" w:hanging="567"/>
        <w:jc w:val="both"/>
        <w:rPr>
          <w:rFonts w:eastAsia="Times New Roman"/>
          <w:szCs w:val="24"/>
          <w:lang w:eastAsia="en-GB"/>
        </w:rPr>
      </w:pPr>
      <w:r>
        <w:rPr>
          <w:rFonts w:eastAsiaTheme="minorEastAsia"/>
          <w:color w:val="000000" w:themeColor="text1"/>
          <w:kern w:val="24"/>
          <w:szCs w:val="24"/>
          <w:lang w:val="en-US" w:eastAsia="en-GB"/>
        </w:rPr>
        <w:t xml:space="preserve">The ICB holds a Delegation Agreement with NHS England which requires the ICB to make primary care commissioning decisions in line with relevant legislation, national policy and agreed processes. </w:t>
      </w:r>
      <w:r w:rsidRPr="00F444EA">
        <w:rPr>
          <w:rFonts w:eastAsiaTheme="minorEastAsia"/>
          <w:color w:val="000000" w:themeColor="text1"/>
          <w:kern w:val="24"/>
          <w:szCs w:val="24"/>
          <w:lang w:val="en-US" w:eastAsia="en-GB"/>
        </w:rPr>
        <w:t xml:space="preserve"> </w:t>
      </w:r>
    </w:p>
    <w:p w:rsidRPr="00643D3B" w:rsidR="00A00D30" w:rsidP="00A00D30" w:rsidRDefault="00A00D30" w14:paraId="713BA814" w14:textId="77777777">
      <w:pPr>
        <w:tabs>
          <w:tab w:val="left" w:pos="565"/>
        </w:tabs>
        <w:spacing w:after="0" w:line="240" w:lineRule="auto"/>
        <w:jc w:val="both"/>
        <w:rPr>
          <w:rFonts w:eastAsia="Times New Roman"/>
          <w:szCs w:val="24"/>
          <w:lang w:eastAsia="en-GB"/>
        </w:rPr>
      </w:pPr>
    </w:p>
    <w:p w:rsidR="00A00D30" w:rsidP="00A00D30" w:rsidRDefault="00A00D30" w14:paraId="18AC08E5" w14:textId="77777777">
      <w:pPr>
        <w:numPr>
          <w:ilvl w:val="1"/>
          <w:numId w:val="13"/>
        </w:numPr>
        <w:tabs>
          <w:tab w:val="left" w:pos="565"/>
        </w:tabs>
        <w:spacing w:after="0" w:line="240" w:lineRule="auto"/>
        <w:ind w:left="567" w:hanging="567"/>
        <w:jc w:val="both"/>
        <w:rPr>
          <w:rFonts w:eastAsia="Times New Roman"/>
          <w:szCs w:val="24"/>
          <w:lang w:eastAsia="en-GB"/>
        </w:rPr>
      </w:pPr>
      <w:r>
        <w:rPr>
          <w:rFonts w:eastAsia="Times New Roman"/>
          <w:szCs w:val="24"/>
          <w:lang w:eastAsia="en-GB"/>
        </w:rPr>
        <w:t>NHS England has published an assurance framework which focuses on the responsibilities that have been delegated to the ICB, structured around four domains:</w:t>
      </w:r>
    </w:p>
    <w:p w:rsidR="00A00D30" w:rsidP="00A00D30" w:rsidRDefault="00A00D30" w14:paraId="1ADDF5F6" w14:textId="77777777">
      <w:pPr>
        <w:pStyle w:val="ListParagraph"/>
        <w:numPr>
          <w:ilvl w:val="0"/>
          <w:numId w:val="50"/>
        </w:numPr>
        <w:tabs>
          <w:tab w:val="left" w:pos="565"/>
        </w:tabs>
        <w:spacing w:after="0" w:line="240" w:lineRule="auto"/>
        <w:jc w:val="both"/>
        <w:rPr>
          <w:rFonts w:eastAsia="Times New Roman"/>
          <w:szCs w:val="24"/>
          <w:lang w:eastAsia="en-GB"/>
        </w:rPr>
      </w:pPr>
      <w:r>
        <w:rPr>
          <w:rFonts w:eastAsia="Times New Roman"/>
          <w:szCs w:val="24"/>
          <w:lang w:eastAsia="en-GB"/>
        </w:rPr>
        <w:t>Compliance with mandated guidance issued by NHS England</w:t>
      </w:r>
    </w:p>
    <w:p w:rsidR="00A00D30" w:rsidP="00A00D30" w:rsidRDefault="00A00D30" w14:paraId="50319DC2" w14:textId="77777777">
      <w:pPr>
        <w:pStyle w:val="ListParagraph"/>
        <w:numPr>
          <w:ilvl w:val="0"/>
          <w:numId w:val="50"/>
        </w:numPr>
        <w:tabs>
          <w:tab w:val="left" w:pos="565"/>
        </w:tabs>
        <w:spacing w:after="0" w:line="240" w:lineRule="auto"/>
        <w:jc w:val="both"/>
        <w:rPr>
          <w:rFonts w:eastAsia="Times New Roman"/>
          <w:szCs w:val="24"/>
          <w:lang w:eastAsia="en-GB"/>
        </w:rPr>
      </w:pPr>
      <w:r>
        <w:rPr>
          <w:rFonts w:eastAsia="Times New Roman"/>
          <w:szCs w:val="24"/>
          <w:lang w:eastAsia="en-GB"/>
        </w:rPr>
        <w:t>Service provision and planning</w:t>
      </w:r>
    </w:p>
    <w:p w:rsidR="00A00D30" w:rsidP="00A00D30" w:rsidRDefault="00A00D30" w14:paraId="1A7DE895" w14:textId="77777777">
      <w:pPr>
        <w:pStyle w:val="ListParagraph"/>
        <w:numPr>
          <w:ilvl w:val="0"/>
          <w:numId w:val="50"/>
        </w:numPr>
        <w:tabs>
          <w:tab w:val="left" w:pos="565"/>
        </w:tabs>
        <w:spacing w:after="0" w:line="240" w:lineRule="auto"/>
        <w:jc w:val="both"/>
        <w:rPr>
          <w:rFonts w:eastAsia="Times New Roman"/>
          <w:szCs w:val="24"/>
          <w:lang w:eastAsia="en-GB"/>
        </w:rPr>
      </w:pPr>
      <w:r>
        <w:rPr>
          <w:rFonts w:eastAsia="Times New Roman"/>
          <w:szCs w:val="24"/>
          <w:lang w:eastAsia="en-GB"/>
        </w:rPr>
        <w:t>Contracting</w:t>
      </w:r>
    </w:p>
    <w:p w:rsidRPr="00305C50" w:rsidR="00A00D30" w:rsidP="00A00D30" w:rsidRDefault="00A00D30" w14:paraId="6B504C15" w14:textId="77777777">
      <w:pPr>
        <w:pStyle w:val="ListParagraph"/>
        <w:numPr>
          <w:ilvl w:val="0"/>
          <w:numId w:val="50"/>
        </w:numPr>
        <w:tabs>
          <w:tab w:val="left" w:pos="565"/>
        </w:tabs>
        <w:spacing w:after="0" w:line="240" w:lineRule="auto"/>
        <w:jc w:val="both"/>
        <w:rPr>
          <w:rFonts w:eastAsia="Times New Roman"/>
          <w:szCs w:val="24"/>
          <w:lang w:eastAsia="en-GB"/>
        </w:rPr>
      </w:pPr>
      <w:r>
        <w:rPr>
          <w:rFonts w:eastAsia="Times New Roman"/>
          <w:szCs w:val="24"/>
          <w:lang w:eastAsia="en-GB"/>
        </w:rPr>
        <w:t>Contractor/provider compliance and performance</w:t>
      </w:r>
    </w:p>
    <w:p w:rsidRPr="00F444EA" w:rsidR="00A00D30" w:rsidP="00A00D30" w:rsidRDefault="00A00D30" w14:paraId="0283A510" w14:textId="77777777">
      <w:pPr>
        <w:tabs>
          <w:tab w:val="left" w:pos="565"/>
        </w:tabs>
        <w:spacing w:after="0" w:line="240" w:lineRule="auto"/>
        <w:jc w:val="both"/>
        <w:rPr>
          <w:rFonts w:eastAsia="Times New Roman"/>
          <w:szCs w:val="24"/>
          <w:lang w:eastAsia="en-GB"/>
        </w:rPr>
      </w:pPr>
    </w:p>
    <w:p w:rsidRPr="00470706" w:rsidR="00A00D30" w:rsidP="00A00D30" w:rsidRDefault="00A00D30" w14:paraId="0F600BCA" w14:textId="77777777">
      <w:pPr>
        <w:numPr>
          <w:ilvl w:val="1"/>
          <w:numId w:val="13"/>
        </w:numPr>
        <w:tabs>
          <w:tab w:val="left" w:pos="565"/>
        </w:tabs>
        <w:spacing w:after="0" w:line="240" w:lineRule="auto"/>
        <w:ind w:left="567" w:hanging="567"/>
        <w:jc w:val="both"/>
        <w:rPr>
          <w:rFonts w:eastAsia="Times New Roman"/>
          <w:szCs w:val="24"/>
          <w:lang w:eastAsia="en-GB"/>
        </w:rPr>
      </w:pPr>
      <w:r>
        <w:rPr>
          <w:rFonts w:eastAsiaTheme="minorEastAsia"/>
          <w:color w:val="000000" w:themeColor="text1"/>
          <w:kern w:val="24"/>
          <w:szCs w:val="24"/>
          <w:lang w:val="en-US" w:eastAsia="en-GB"/>
        </w:rPr>
        <w:t>The ICB is required to complete a retrospective annual self-declaration to confirm compliance with the four domains. This declaration has been highlighted in previous reports to the Group. The ICB is required to have internal audit processes in place and to submit the return to NHS England on an annual basis.</w:t>
      </w:r>
    </w:p>
    <w:p w:rsidRPr="00470706" w:rsidR="00A00D30" w:rsidP="00A00D30" w:rsidRDefault="00A00D30" w14:paraId="72B107F8" w14:textId="77777777">
      <w:pPr>
        <w:tabs>
          <w:tab w:val="left" w:pos="565"/>
        </w:tabs>
        <w:spacing w:after="0" w:line="240" w:lineRule="auto"/>
        <w:ind w:left="567"/>
        <w:jc w:val="both"/>
        <w:rPr>
          <w:rFonts w:eastAsia="Times New Roman"/>
          <w:szCs w:val="24"/>
          <w:lang w:eastAsia="en-GB"/>
        </w:rPr>
      </w:pPr>
    </w:p>
    <w:p w:rsidRPr="009A260A" w:rsidR="00A00D30" w:rsidP="00A00D30" w:rsidRDefault="00A00D30" w14:paraId="0C8B9FCC" w14:textId="7A69308C">
      <w:pPr>
        <w:numPr>
          <w:ilvl w:val="1"/>
          <w:numId w:val="13"/>
        </w:numPr>
        <w:tabs>
          <w:tab w:val="left" w:pos="565"/>
        </w:tabs>
        <w:spacing w:after="0" w:line="240" w:lineRule="auto"/>
        <w:ind w:left="567" w:hanging="567"/>
        <w:jc w:val="both"/>
        <w:rPr>
          <w:rFonts w:eastAsia="Times New Roman"/>
          <w:szCs w:val="24"/>
          <w:lang w:eastAsia="en-GB"/>
        </w:rPr>
      </w:pPr>
      <w:r>
        <w:rPr>
          <w:rFonts w:eastAsiaTheme="minorEastAsia"/>
          <w:color w:val="000000" w:themeColor="text1"/>
          <w:kern w:val="24"/>
          <w:szCs w:val="24"/>
          <w:lang w:val="en-US" w:eastAsia="en-GB"/>
        </w:rPr>
        <w:t xml:space="preserve">To support ICBs in the completion of the return, NHS </w:t>
      </w:r>
      <w:r w:rsidR="008650E3">
        <w:rPr>
          <w:rFonts w:eastAsiaTheme="minorEastAsia"/>
          <w:color w:val="000000" w:themeColor="text1"/>
          <w:kern w:val="24"/>
          <w:szCs w:val="24"/>
          <w:lang w:val="en-US" w:eastAsia="en-GB"/>
        </w:rPr>
        <w:t>England developed</w:t>
      </w:r>
      <w:r>
        <w:rPr>
          <w:rFonts w:eastAsiaTheme="minorEastAsia"/>
          <w:color w:val="000000" w:themeColor="text1"/>
          <w:kern w:val="24"/>
          <w:szCs w:val="24"/>
          <w:lang w:val="en-US" w:eastAsia="en-GB"/>
        </w:rPr>
        <w:t xml:space="preserve"> a suite of proposed evidence which can be gathered to provide assurance against each </w:t>
      </w:r>
      <w:r>
        <w:rPr>
          <w:rFonts w:eastAsiaTheme="minorEastAsia"/>
          <w:color w:val="000000" w:themeColor="text1"/>
          <w:kern w:val="24"/>
          <w:szCs w:val="24"/>
          <w:lang w:val="en-US" w:eastAsia="en-GB"/>
        </w:rPr>
        <w:t>domain. This evidence will not be routinely requested by NHS England but should be available if required.</w:t>
      </w:r>
    </w:p>
    <w:p w:rsidRPr="008737E2" w:rsidR="00A00D30" w:rsidP="00A00D30" w:rsidRDefault="00A00D30" w14:paraId="637DFB65" w14:textId="77777777">
      <w:pPr>
        <w:tabs>
          <w:tab w:val="left" w:pos="565"/>
        </w:tabs>
        <w:spacing w:after="0" w:line="240" w:lineRule="auto"/>
        <w:ind w:left="567"/>
        <w:jc w:val="both"/>
        <w:rPr>
          <w:rFonts w:eastAsia="Times New Roman"/>
          <w:szCs w:val="24"/>
          <w:lang w:eastAsia="en-GB"/>
        </w:rPr>
      </w:pPr>
    </w:p>
    <w:p w:rsidR="00A00D30" w:rsidP="00A00D30" w:rsidRDefault="00A00D30" w14:paraId="73224AEC" w14:textId="77777777">
      <w:pPr>
        <w:numPr>
          <w:ilvl w:val="0"/>
          <w:numId w:val="13"/>
        </w:numPr>
        <w:tabs>
          <w:tab w:val="left" w:pos="565"/>
        </w:tabs>
        <w:spacing w:after="0" w:line="240" w:lineRule="auto"/>
        <w:ind w:hanging="720"/>
        <w:contextualSpacing/>
        <w:jc w:val="both"/>
        <w:rPr>
          <w:rFonts w:eastAsiaTheme="minorEastAsia"/>
          <w:b/>
          <w:bCs/>
          <w:color w:val="000000" w:themeColor="text1"/>
          <w:kern w:val="24"/>
          <w:szCs w:val="24"/>
          <w:lang w:val="en-US" w:eastAsia="en-GB"/>
        </w:rPr>
      </w:pPr>
      <w:r>
        <w:rPr>
          <w:rFonts w:eastAsiaTheme="minorEastAsia"/>
          <w:b/>
          <w:bCs/>
          <w:color w:val="000000" w:themeColor="text1"/>
          <w:kern w:val="24"/>
          <w:szCs w:val="24"/>
          <w:lang w:val="en-US" w:eastAsia="en-GB"/>
        </w:rPr>
        <w:t>Delegated Services Assurance Framework</w:t>
      </w:r>
    </w:p>
    <w:p w:rsidR="00A00D30" w:rsidP="00A00D30" w:rsidRDefault="00A00D30" w14:paraId="05A13BE5" w14:textId="77777777">
      <w:pPr>
        <w:tabs>
          <w:tab w:val="left" w:pos="565"/>
        </w:tabs>
        <w:spacing w:after="0" w:line="240" w:lineRule="auto"/>
        <w:contextualSpacing/>
        <w:jc w:val="both"/>
        <w:rPr>
          <w:rFonts w:eastAsiaTheme="minorEastAsia"/>
          <w:b/>
          <w:bCs/>
          <w:color w:val="000000" w:themeColor="text1"/>
          <w:kern w:val="24"/>
          <w:szCs w:val="24"/>
          <w:lang w:val="en-US" w:eastAsia="en-GB"/>
        </w:rPr>
      </w:pPr>
    </w:p>
    <w:p w:rsidR="00A00D30" w:rsidP="00A00D30" w:rsidRDefault="00A00D30" w14:paraId="158372EC" w14:textId="77777777">
      <w:pPr>
        <w:tabs>
          <w:tab w:val="left" w:pos="565"/>
        </w:tabs>
        <w:spacing w:after="0" w:line="240" w:lineRule="auto"/>
        <w:contextualSpacing/>
        <w:jc w:val="both"/>
        <w:rPr>
          <w:rFonts w:eastAsiaTheme="minorEastAsia"/>
          <w:b/>
          <w:bCs/>
          <w:color w:val="000000" w:themeColor="text1"/>
          <w:kern w:val="24"/>
          <w:szCs w:val="24"/>
          <w:lang w:val="en-US" w:eastAsia="en-GB"/>
        </w:rPr>
      </w:pPr>
    </w:p>
    <w:p w:rsidR="00A00D30" w:rsidP="00A00D30" w:rsidRDefault="00A00D30" w14:paraId="6EDC7A15" w14:textId="4799D8F8">
      <w:pPr>
        <w:numPr>
          <w:ilvl w:val="1"/>
          <w:numId w:val="13"/>
        </w:numPr>
        <w:tabs>
          <w:tab w:val="left" w:pos="565"/>
        </w:tabs>
        <w:spacing w:after="0" w:line="240" w:lineRule="auto"/>
        <w:ind w:left="567" w:hanging="567"/>
        <w:jc w:val="both"/>
        <w:rPr>
          <w:rFonts w:eastAsiaTheme="minorEastAsia"/>
          <w:color w:val="000000" w:themeColor="text1"/>
          <w:kern w:val="24"/>
          <w:lang w:val="en-US" w:eastAsia="en-GB"/>
        </w:rPr>
      </w:pPr>
      <w:r w:rsidRPr="002B5EE2">
        <w:rPr>
          <w:rFonts w:eastAsiaTheme="minorEastAsia"/>
          <w:color w:val="000000" w:themeColor="text1"/>
          <w:kern w:val="24"/>
          <w:lang w:val="en-US" w:eastAsia="en-GB"/>
        </w:rPr>
        <w:t xml:space="preserve">In June 2023, the </w:t>
      </w:r>
      <w:r>
        <w:rPr>
          <w:rFonts w:eastAsiaTheme="minorEastAsia"/>
          <w:color w:val="000000" w:themeColor="text1"/>
          <w:kern w:val="24"/>
          <w:lang w:val="en-US" w:eastAsia="en-GB"/>
        </w:rPr>
        <w:t>Primary Care Contracting Sub-committee</w:t>
      </w:r>
      <w:r w:rsidRPr="002B5EE2">
        <w:rPr>
          <w:rFonts w:eastAsiaTheme="minorEastAsia"/>
          <w:color w:val="000000" w:themeColor="text1"/>
          <w:kern w:val="24"/>
          <w:lang w:val="en-US" w:eastAsia="en-GB"/>
        </w:rPr>
        <w:t xml:space="preserve"> </w:t>
      </w:r>
      <w:r w:rsidR="00801F98">
        <w:rPr>
          <w:rFonts w:eastAsiaTheme="minorEastAsia"/>
          <w:color w:val="000000" w:themeColor="text1"/>
          <w:kern w:val="24"/>
          <w:lang w:val="en-US" w:eastAsia="en-GB"/>
        </w:rPr>
        <w:t xml:space="preserve">(PCCSC) </w:t>
      </w:r>
      <w:r w:rsidRPr="002B5EE2">
        <w:rPr>
          <w:rFonts w:eastAsiaTheme="minorEastAsia"/>
          <w:color w:val="000000" w:themeColor="text1"/>
          <w:kern w:val="24"/>
          <w:lang w:val="en-US" w:eastAsia="en-GB"/>
        </w:rPr>
        <w:t>agreed a process to provide quarterly assurance to the committee that the ICB was meeting the requirements of the Delegation Agreement.</w:t>
      </w:r>
    </w:p>
    <w:p w:rsidRPr="002B5EE2" w:rsidR="00A00D30" w:rsidP="00A00D30" w:rsidRDefault="00A00D30" w14:paraId="1B447A3B" w14:textId="77777777">
      <w:pPr>
        <w:tabs>
          <w:tab w:val="left" w:pos="565"/>
        </w:tabs>
        <w:spacing w:after="0" w:line="240" w:lineRule="auto"/>
        <w:ind w:left="567"/>
        <w:jc w:val="both"/>
        <w:rPr>
          <w:rFonts w:eastAsiaTheme="minorEastAsia"/>
          <w:color w:val="000000" w:themeColor="text1"/>
          <w:kern w:val="24"/>
          <w:lang w:val="en-US" w:eastAsia="en-GB"/>
        </w:rPr>
      </w:pPr>
    </w:p>
    <w:p w:rsidR="00A00D30" w:rsidP="00A00D30" w:rsidRDefault="00A00D30" w14:paraId="2D11F3FD" w14:textId="77777777">
      <w:pPr>
        <w:numPr>
          <w:ilvl w:val="1"/>
          <w:numId w:val="13"/>
        </w:numPr>
        <w:tabs>
          <w:tab w:val="left" w:pos="565"/>
        </w:tabs>
        <w:spacing w:after="0" w:line="240" w:lineRule="auto"/>
        <w:ind w:left="567" w:hanging="567"/>
        <w:jc w:val="both"/>
        <w:rPr>
          <w:rFonts w:eastAsiaTheme="minorEastAsia"/>
          <w:color w:val="000000" w:themeColor="text1"/>
          <w:kern w:val="24"/>
          <w:lang w:val="en-US" w:eastAsia="en-GB"/>
        </w:rPr>
      </w:pPr>
      <w:r w:rsidRPr="002B5EE2">
        <w:rPr>
          <w:rFonts w:eastAsiaTheme="minorEastAsia"/>
          <w:color w:val="000000" w:themeColor="text1"/>
          <w:kern w:val="24"/>
          <w:lang w:val="en-US" w:eastAsia="en-GB"/>
        </w:rPr>
        <w:t>The process involved the groups of the committee completing a locally designed quarterly assurance framework, utilising the suggested evidence articulated in the NHS England guidance.</w:t>
      </w:r>
    </w:p>
    <w:p w:rsidRPr="002B5EE2" w:rsidR="00A00D30" w:rsidP="00A00D30" w:rsidRDefault="00A00D30" w14:paraId="24CA007C" w14:textId="77777777">
      <w:pPr>
        <w:tabs>
          <w:tab w:val="left" w:pos="565"/>
        </w:tabs>
        <w:spacing w:after="0" w:line="240" w:lineRule="auto"/>
        <w:ind w:left="567"/>
        <w:jc w:val="both"/>
        <w:rPr>
          <w:rFonts w:eastAsiaTheme="minorEastAsia"/>
          <w:color w:val="000000" w:themeColor="text1"/>
          <w:kern w:val="24"/>
          <w:lang w:val="en-US" w:eastAsia="en-GB"/>
        </w:rPr>
      </w:pPr>
    </w:p>
    <w:p w:rsidR="00A00D30" w:rsidP="00A00D30" w:rsidRDefault="00A00D30" w14:paraId="74816B23" w14:textId="77777777">
      <w:pPr>
        <w:numPr>
          <w:ilvl w:val="1"/>
          <w:numId w:val="13"/>
        </w:numPr>
        <w:tabs>
          <w:tab w:val="left" w:pos="565"/>
        </w:tabs>
        <w:spacing w:after="0" w:line="240" w:lineRule="auto"/>
        <w:ind w:left="567" w:hanging="567"/>
        <w:jc w:val="both"/>
        <w:rPr>
          <w:rFonts w:eastAsiaTheme="minorEastAsia"/>
          <w:color w:val="000000" w:themeColor="text1"/>
          <w:kern w:val="24"/>
          <w:lang w:val="en-US" w:eastAsia="en-GB"/>
        </w:rPr>
      </w:pPr>
      <w:r w:rsidRPr="002B5EE2">
        <w:rPr>
          <w:rFonts w:eastAsiaTheme="minorEastAsia"/>
          <w:color w:val="000000" w:themeColor="text1"/>
          <w:kern w:val="24"/>
          <w:lang w:val="en-US" w:eastAsia="en-GB"/>
        </w:rPr>
        <w:t xml:space="preserve">The quarterly framework was presented to the committee at the end of quarter one, two and three and Mersey Internal Audit Agency undertook an audit to validate the information that was presented. </w:t>
      </w:r>
    </w:p>
    <w:p w:rsidRPr="002B5EE2" w:rsidR="00A00D30" w:rsidP="00A00D30" w:rsidRDefault="00A00D30" w14:paraId="23F8129B" w14:textId="77777777">
      <w:pPr>
        <w:tabs>
          <w:tab w:val="left" w:pos="565"/>
        </w:tabs>
        <w:spacing w:after="0" w:line="240" w:lineRule="auto"/>
        <w:ind w:left="567"/>
        <w:jc w:val="both"/>
        <w:rPr>
          <w:rFonts w:eastAsiaTheme="minorEastAsia"/>
          <w:color w:val="000000" w:themeColor="text1"/>
          <w:kern w:val="24"/>
          <w:lang w:val="en-US" w:eastAsia="en-GB"/>
        </w:rPr>
      </w:pPr>
    </w:p>
    <w:p w:rsidR="00A00D30" w:rsidP="00A00D30" w:rsidRDefault="00A00D30" w14:paraId="7EEE8591" w14:textId="2E0886E3">
      <w:pPr>
        <w:numPr>
          <w:ilvl w:val="1"/>
          <w:numId w:val="13"/>
        </w:numPr>
        <w:tabs>
          <w:tab w:val="left" w:pos="565"/>
        </w:tabs>
        <w:spacing w:after="0" w:line="240" w:lineRule="auto"/>
        <w:ind w:left="567" w:hanging="567"/>
        <w:jc w:val="both"/>
        <w:rPr>
          <w:rFonts w:eastAsiaTheme="minorEastAsia"/>
          <w:color w:val="000000" w:themeColor="text1"/>
          <w:kern w:val="24"/>
          <w:lang w:val="en-US" w:eastAsia="en-GB"/>
        </w:rPr>
      </w:pPr>
      <w:r w:rsidRPr="002B5EE2">
        <w:rPr>
          <w:rFonts w:eastAsiaTheme="minorEastAsia"/>
          <w:color w:val="000000" w:themeColor="text1"/>
          <w:kern w:val="24"/>
          <w:lang w:val="en-US" w:eastAsia="en-GB"/>
        </w:rPr>
        <w:t xml:space="preserve">It was agreed to streamline the process as the framework was resource intensive to populate and the audit demonstrated that the required evidence was available on file if requested. The groups now review a quarterly return, with any areas of concern highlighted to </w:t>
      </w:r>
      <w:r w:rsidR="00801F98">
        <w:rPr>
          <w:rFonts w:eastAsiaTheme="minorEastAsia"/>
          <w:color w:val="000000" w:themeColor="text1"/>
          <w:kern w:val="24"/>
          <w:lang w:val="en-US" w:eastAsia="en-GB"/>
        </w:rPr>
        <w:t>PCCSC</w:t>
      </w:r>
      <w:r w:rsidR="00A45A45">
        <w:rPr>
          <w:rFonts w:eastAsiaTheme="minorEastAsia"/>
          <w:color w:val="000000" w:themeColor="text1"/>
          <w:kern w:val="24"/>
          <w:lang w:val="en-US" w:eastAsia="en-GB"/>
        </w:rPr>
        <w:t>.</w:t>
      </w:r>
    </w:p>
    <w:p w:rsidRPr="002B5EE2" w:rsidR="00A00D30" w:rsidP="00A00D30" w:rsidRDefault="00A00D30" w14:paraId="1F8713E6" w14:textId="77777777">
      <w:pPr>
        <w:tabs>
          <w:tab w:val="left" w:pos="565"/>
        </w:tabs>
        <w:spacing w:after="0" w:line="240" w:lineRule="auto"/>
        <w:ind w:left="567"/>
        <w:jc w:val="both"/>
        <w:rPr>
          <w:rFonts w:eastAsiaTheme="minorEastAsia"/>
          <w:color w:val="000000" w:themeColor="text1"/>
          <w:kern w:val="24"/>
          <w:lang w:val="en-US" w:eastAsia="en-GB"/>
        </w:rPr>
      </w:pPr>
    </w:p>
    <w:p w:rsidR="00A00D30" w:rsidP="00A00D30" w:rsidRDefault="00A00D30" w14:paraId="1C131ABA" w14:textId="77777777">
      <w:pPr>
        <w:numPr>
          <w:ilvl w:val="1"/>
          <w:numId w:val="13"/>
        </w:numPr>
        <w:tabs>
          <w:tab w:val="left" w:pos="565"/>
        </w:tabs>
        <w:spacing w:after="0" w:line="240" w:lineRule="auto"/>
        <w:ind w:left="567" w:hanging="567"/>
        <w:jc w:val="both"/>
        <w:rPr>
          <w:rFonts w:eastAsiaTheme="minorEastAsia"/>
          <w:color w:val="000000" w:themeColor="text1"/>
          <w:kern w:val="24"/>
          <w:szCs w:val="24"/>
          <w:lang w:val="en-US" w:eastAsia="en-GB"/>
        </w:rPr>
      </w:pPr>
      <w:r>
        <w:rPr>
          <w:rFonts w:eastAsiaTheme="minorEastAsia"/>
          <w:color w:val="000000" w:themeColor="text1"/>
          <w:kern w:val="24"/>
          <w:szCs w:val="24"/>
          <w:lang w:val="en-US" w:eastAsia="en-GB"/>
        </w:rPr>
        <w:t>The framework uses a RAG rating with the following key:</w:t>
      </w:r>
    </w:p>
    <w:p w:rsidR="00A00D30" w:rsidP="00A00D30" w:rsidRDefault="00A00D30" w14:paraId="23F4FF94" w14:textId="77777777">
      <w:pPr>
        <w:pStyle w:val="ListParagraph"/>
        <w:rPr>
          <w:rFonts w:eastAsiaTheme="minorEastAsia"/>
          <w:color w:val="000000" w:themeColor="text1"/>
          <w:kern w:val="24"/>
          <w:szCs w:val="24"/>
          <w:lang w:val="en-US" w:eastAsia="en-GB"/>
        </w:rPr>
      </w:pPr>
    </w:p>
    <w:p w:rsidRPr="00D3203B" w:rsidR="00A00D30" w:rsidP="00A00D30" w:rsidRDefault="00A00D30" w14:paraId="08FD987A" w14:textId="77777777">
      <w:pPr>
        <w:pStyle w:val="ListParagraph"/>
        <w:numPr>
          <w:ilvl w:val="0"/>
          <w:numId w:val="50"/>
        </w:numPr>
        <w:tabs>
          <w:tab w:val="left" w:pos="565"/>
        </w:tabs>
        <w:spacing w:after="0" w:line="240" w:lineRule="auto"/>
        <w:jc w:val="both"/>
        <w:rPr>
          <w:rFonts w:eastAsia="Times New Roman"/>
          <w:szCs w:val="24"/>
          <w:lang w:eastAsia="en-GB"/>
        </w:rPr>
      </w:pPr>
      <w:r w:rsidRPr="00D3203B">
        <w:rPr>
          <w:rFonts w:eastAsia="Times New Roman"/>
          <w:szCs w:val="24"/>
          <w:lang w:eastAsia="en-GB"/>
        </w:rPr>
        <w:t>Green- compliant</w:t>
      </w:r>
    </w:p>
    <w:p w:rsidRPr="00D3203B" w:rsidR="00A00D30" w:rsidP="00D70021" w:rsidRDefault="00A00D30" w14:paraId="03CF2D48" w14:textId="77777777">
      <w:pPr>
        <w:pStyle w:val="ListParagraph"/>
        <w:numPr>
          <w:ilvl w:val="0"/>
          <w:numId w:val="50"/>
        </w:numPr>
        <w:tabs>
          <w:tab w:val="left" w:pos="565"/>
        </w:tabs>
        <w:spacing w:after="0" w:line="240" w:lineRule="auto"/>
        <w:jc w:val="both"/>
        <w:rPr>
          <w:rFonts w:eastAsiaTheme="minorEastAsia"/>
          <w:color w:val="000000" w:themeColor="text1"/>
          <w:lang w:eastAsia="en-GB"/>
        </w:rPr>
      </w:pPr>
      <w:r w:rsidRPr="0E336AEA">
        <w:rPr>
          <w:rFonts w:eastAsia="Times New Roman"/>
          <w:lang w:eastAsia="en-GB"/>
        </w:rPr>
        <w:t>Amber- complaint with some risks identified</w:t>
      </w:r>
    </w:p>
    <w:p w:rsidR="00A00D30" w:rsidP="00D70021" w:rsidRDefault="00A00D30" w14:paraId="3E08D608" w14:textId="77777777">
      <w:pPr>
        <w:pStyle w:val="ListParagraph"/>
        <w:numPr>
          <w:ilvl w:val="0"/>
          <w:numId w:val="50"/>
        </w:numPr>
        <w:tabs>
          <w:tab w:val="left" w:pos="565"/>
        </w:tabs>
        <w:spacing w:after="0" w:line="240" w:lineRule="auto"/>
        <w:jc w:val="both"/>
        <w:rPr>
          <w:rFonts w:eastAsia="Times New Roman"/>
          <w:szCs w:val="24"/>
          <w:lang w:eastAsia="en-GB"/>
        </w:rPr>
      </w:pPr>
      <w:r w:rsidRPr="00D3203B">
        <w:rPr>
          <w:rFonts w:eastAsia="Times New Roman"/>
          <w:szCs w:val="24"/>
          <w:lang w:eastAsia="en-GB"/>
        </w:rPr>
        <w:t>Red- non</w:t>
      </w:r>
      <w:r>
        <w:rPr>
          <w:rFonts w:eastAsia="Times New Roman"/>
          <w:szCs w:val="24"/>
          <w:lang w:eastAsia="en-GB"/>
        </w:rPr>
        <w:t>-</w:t>
      </w:r>
      <w:r w:rsidRPr="00D3203B">
        <w:rPr>
          <w:rFonts w:eastAsia="Times New Roman"/>
          <w:szCs w:val="24"/>
          <w:lang w:eastAsia="en-GB"/>
        </w:rPr>
        <w:t>compliant</w:t>
      </w:r>
    </w:p>
    <w:p w:rsidR="00A00D30" w:rsidP="00A00D30" w:rsidRDefault="00A00D30" w14:paraId="7407D78E" w14:textId="77777777">
      <w:pPr>
        <w:pStyle w:val="ListParagraph"/>
        <w:tabs>
          <w:tab w:val="left" w:pos="565"/>
        </w:tabs>
        <w:spacing w:after="0" w:line="240" w:lineRule="auto"/>
        <w:ind w:left="1290"/>
        <w:jc w:val="both"/>
        <w:rPr>
          <w:rFonts w:eastAsia="Times New Roman"/>
          <w:szCs w:val="24"/>
          <w:lang w:eastAsia="en-GB"/>
        </w:rPr>
      </w:pPr>
    </w:p>
    <w:p w:rsidRPr="0017582B" w:rsidR="00A00D30" w:rsidP="0017582B" w:rsidRDefault="0017582B" w14:paraId="6BE55CF1" w14:textId="119FE829">
      <w:pPr>
        <w:numPr>
          <w:ilvl w:val="1"/>
          <w:numId w:val="13"/>
        </w:numPr>
        <w:tabs>
          <w:tab w:val="left" w:pos="565"/>
        </w:tabs>
        <w:spacing w:after="0" w:line="240" w:lineRule="auto"/>
        <w:ind w:left="567" w:hanging="567"/>
        <w:jc w:val="both"/>
        <w:rPr>
          <w:rFonts w:eastAsiaTheme="minorEastAsia"/>
          <w:color w:val="000000" w:themeColor="text1"/>
          <w:kern w:val="24"/>
          <w:lang w:val="en-US" w:eastAsia="en-GB"/>
        </w:rPr>
      </w:pPr>
      <w:r>
        <w:rPr>
          <w:rFonts w:eastAsiaTheme="minorEastAsia"/>
          <w:color w:val="000000" w:themeColor="text1"/>
          <w:kern w:val="24"/>
          <w:lang w:val="en-US" w:eastAsia="en-GB"/>
        </w:rPr>
        <w:t xml:space="preserve"> </w:t>
      </w:r>
      <w:r w:rsidR="00D70021">
        <w:rPr>
          <w:rFonts w:eastAsiaTheme="minorEastAsia"/>
          <w:color w:val="000000" w:themeColor="text1"/>
          <w:kern w:val="24"/>
          <w:lang w:val="en-US" w:eastAsia="en-GB"/>
        </w:rPr>
        <w:t xml:space="preserve">A copy of the annual delegated assurance framework </w:t>
      </w:r>
      <w:r w:rsidR="00A45A45">
        <w:rPr>
          <w:rFonts w:eastAsiaTheme="minorEastAsia"/>
          <w:color w:val="000000" w:themeColor="text1"/>
          <w:kern w:val="24"/>
          <w:lang w:val="en-US" w:eastAsia="en-GB"/>
        </w:rPr>
        <w:t>self-declaration</w:t>
      </w:r>
      <w:r w:rsidR="00A36F37">
        <w:rPr>
          <w:rFonts w:eastAsiaTheme="minorEastAsia"/>
          <w:color w:val="000000" w:themeColor="text1"/>
          <w:kern w:val="24"/>
          <w:lang w:val="en-US" w:eastAsia="en-GB"/>
        </w:rPr>
        <w:t xml:space="preserve"> </w:t>
      </w:r>
      <w:r w:rsidR="00FA2668">
        <w:rPr>
          <w:rFonts w:eastAsiaTheme="minorEastAsia"/>
          <w:color w:val="000000" w:themeColor="text1"/>
          <w:kern w:val="24"/>
          <w:lang w:val="en-US" w:eastAsia="en-GB"/>
        </w:rPr>
        <w:t>is attached as Appendix A. Th</w:t>
      </w:r>
      <w:r w:rsidR="00C03E7E">
        <w:rPr>
          <w:rFonts w:eastAsiaTheme="minorEastAsia"/>
          <w:color w:val="000000" w:themeColor="text1"/>
          <w:kern w:val="24"/>
          <w:lang w:val="en-US" w:eastAsia="en-GB"/>
        </w:rPr>
        <w:t>is</w:t>
      </w:r>
      <w:r w:rsidR="00FA2668">
        <w:rPr>
          <w:rFonts w:eastAsiaTheme="minorEastAsia"/>
          <w:color w:val="000000" w:themeColor="text1"/>
          <w:kern w:val="24"/>
          <w:lang w:val="en-US" w:eastAsia="en-GB"/>
        </w:rPr>
        <w:t xml:space="preserve"> has been populated </w:t>
      </w:r>
      <w:r w:rsidR="00C03E7E">
        <w:rPr>
          <w:rFonts w:eastAsiaTheme="minorEastAsia"/>
          <w:color w:val="000000" w:themeColor="text1"/>
          <w:kern w:val="24"/>
          <w:lang w:val="en-US" w:eastAsia="en-GB"/>
        </w:rPr>
        <w:t xml:space="preserve">based on the quarterly </w:t>
      </w:r>
      <w:r>
        <w:rPr>
          <w:rFonts w:eastAsiaTheme="minorEastAsia"/>
          <w:color w:val="000000" w:themeColor="text1"/>
          <w:kern w:val="24"/>
          <w:lang w:val="en-US" w:eastAsia="en-GB"/>
        </w:rPr>
        <w:t>frameworks which</w:t>
      </w:r>
      <w:r w:rsidR="00655521">
        <w:rPr>
          <w:rFonts w:eastAsiaTheme="minorEastAsia"/>
          <w:color w:val="000000" w:themeColor="text1"/>
          <w:kern w:val="24"/>
          <w:lang w:val="en-US" w:eastAsia="en-GB"/>
        </w:rPr>
        <w:t xml:space="preserve"> are reviewed by each of the service groups</w:t>
      </w:r>
    </w:p>
    <w:p w:rsidRPr="0017582B" w:rsidR="00A00D30" w:rsidP="00940EB4" w:rsidRDefault="00A00D30" w14:paraId="592B7B37" w14:textId="77777777">
      <w:pPr>
        <w:tabs>
          <w:tab w:val="left" w:pos="565"/>
        </w:tabs>
        <w:spacing w:after="0" w:line="240" w:lineRule="auto"/>
        <w:ind w:left="567"/>
        <w:jc w:val="both"/>
        <w:rPr>
          <w:rFonts w:eastAsiaTheme="minorEastAsia"/>
          <w:color w:val="000000" w:themeColor="text1"/>
          <w:kern w:val="24"/>
          <w:lang w:val="en-US" w:eastAsia="en-GB"/>
        </w:rPr>
      </w:pPr>
    </w:p>
    <w:p w:rsidRPr="00646276" w:rsidR="00A00D30" w:rsidP="00A00D30" w:rsidRDefault="00A00D30" w14:paraId="7422DBF2" w14:textId="77777777">
      <w:pPr>
        <w:numPr>
          <w:ilvl w:val="0"/>
          <w:numId w:val="13"/>
        </w:numPr>
        <w:tabs>
          <w:tab w:val="left" w:pos="565"/>
        </w:tabs>
        <w:spacing w:after="0" w:line="240" w:lineRule="auto"/>
        <w:ind w:hanging="720"/>
        <w:contextualSpacing/>
        <w:jc w:val="both"/>
        <w:rPr>
          <w:rFonts w:eastAsiaTheme="minorEastAsia"/>
          <w:b/>
          <w:bCs/>
          <w:color w:val="000000" w:themeColor="text1"/>
          <w:kern w:val="24"/>
          <w:szCs w:val="24"/>
          <w:lang w:val="en-US" w:eastAsia="en-GB"/>
        </w:rPr>
      </w:pPr>
      <w:r w:rsidRPr="00646276">
        <w:rPr>
          <w:rFonts w:eastAsiaTheme="minorEastAsia"/>
          <w:b/>
          <w:bCs/>
          <w:color w:val="000000" w:themeColor="text1"/>
          <w:kern w:val="24"/>
          <w:szCs w:val="24"/>
          <w:lang w:val="en-US" w:eastAsia="en-GB"/>
        </w:rPr>
        <w:t>Recommendations</w:t>
      </w:r>
    </w:p>
    <w:p w:rsidRPr="00646276" w:rsidR="00A00D30" w:rsidP="00A00D30" w:rsidRDefault="00A00D30" w14:paraId="785CD37D" w14:textId="77777777">
      <w:pPr>
        <w:pStyle w:val="ListParagraph"/>
        <w:tabs>
          <w:tab w:val="left" w:pos="565"/>
        </w:tabs>
        <w:spacing w:before="100" w:after="0" w:line="240" w:lineRule="auto"/>
        <w:rPr>
          <w:rFonts w:eastAsia="Times New Roman"/>
          <w:szCs w:val="24"/>
          <w:lang w:eastAsia="en-GB"/>
        </w:rPr>
      </w:pPr>
    </w:p>
    <w:p w:rsidRPr="00646276" w:rsidR="00A00D30" w:rsidP="00A00D30" w:rsidRDefault="00A00D30" w14:paraId="1C2A56ED" w14:textId="101C49F4">
      <w:pPr>
        <w:numPr>
          <w:ilvl w:val="1"/>
          <w:numId w:val="13"/>
        </w:numPr>
        <w:tabs>
          <w:tab w:val="left" w:pos="565"/>
        </w:tabs>
        <w:spacing w:after="0" w:line="240" w:lineRule="auto"/>
        <w:ind w:left="567" w:hanging="567"/>
        <w:jc w:val="both"/>
        <w:rPr>
          <w:rFonts w:eastAsiaTheme="minorEastAsia"/>
          <w:color w:val="000000" w:themeColor="text1"/>
          <w:kern w:val="24"/>
          <w:szCs w:val="24"/>
          <w:lang w:val="en-US" w:eastAsia="en-GB"/>
        </w:rPr>
      </w:pPr>
      <w:r w:rsidRPr="00646276">
        <w:rPr>
          <w:rFonts w:eastAsiaTheme="minorEastAsia"/>
          <w:color w:val="000000" w:themeColor="text1"/>
          <w:kern w:val="24"/>
          <w:szCs w:val="24"/>
          <w:lang w:val="en-US" w:eastAsia="en-GB"/>
        </w:rPr>
        <w:t xml:space="preserve">The </w:t>
      </w:r>
      <w:r w:rsidR="00940EB4">
        <w:rPr>
          <w:rFonts w:eastAsiaTheme="minorEastAsia"/>
          <w:color w:val="000000" w:themeColor="text1"/>
          <w:kern w:val="24"/>
          <w:szCs w:val="24"/>
          <w:lang w:val="en-US" w:eastAsia="en-GB"/>
        </w:rPr>
        <w:t xml:space="preserve">Primary Care Contracting Sub Committee </w:t>
      </w:r>
      <w:r w:rsidRPr="00646276">
        <w:rPr>
          <w:rFonts w:eastAsiaTheme="minorEastAsia"/>
          <w:color w:val="000000" w:themeColor="text1"/>
          <w:kern w:val="24"/>
          <w:szCs w:val="24"/>
          <w:lang w:val="en-US" w:eastAsia="en-GB"/>
        </w:rPr>
        <w:t>is requested to:</w:t>
      </w:r>
    </w:p>
    <w:p w:rsidRPr="00972E8A" w:rsidR="00A00D30" w:rsidP="00A00D30" w:rsidRDefault="00A00D30" w14:paraId="1F5586F6" w14:textId="77777777">
      <w:pPr>
        <w:spacing w:after="0" w:line="240" w:lineRule="auto"/>
        <w:ind w:left="1123" w:hanging="562"/>
        <w:rPr>
          <w:rFonts w:eastAsia="Times New Roman"/>
          <w:szCs w:val="24"/>
          <w:lang w:eastAsia="en-GB"/>
        </w:rPr>
      </w:pPr>
    </w:p>
    <w:p w:rsidRPr="009B5B30" w:rsidR="00A00D30" w:rsidP="009B5B30" w:rsidRDefault="00A00D30" w14:paraId="2F273C12" w14:textId="3F8E4DA6">
      <w:pPr>
        <w:pStyle w:val="ListParagraph"/>
        <w:numPr>
          <w:ilvl w:val="0"/>
          <w:numId w:val="50"/>
        </w:numPr>
        <w:spacing w:after="0" w:line="240" w:lineRule="auto"/>
        <w:rPr>
          <w:rFonts w:eastAsiaTheme="minorEastAsia"/>
          <w:color w:val="000000" w:themeColor="text1"/>
          <w:kern w:val="24"/>
          <w:szCs w:val="24"/>
          <w:lang w:val="en-US" w:eastAsia="en-GB"/>
        </w:rPr>
      </w:pPr>
      <w:r w:rsidRPr="009B5B30">
        <w:rPr>
          <w:rFonts w:eastAsiaTheme="minorEastAsia"/>
          <w:color w:val="000000" w:themeColor="text1"/>
          <w:kern w:val="24"/>
          <w:szCs w:val="24"/>
          <w:lang w:val="en-US" w:eastAsia="en-GB"/>
        </w:rPr>
        <w:t xml:space="preserve">Note the delegated services assurance framework and reporting process </w:t>
      </w:r>
    </w:p>
    <w:p w:rsidRPr="00972E8A" w:rsidR="00A00D30" w:rsidP="00705896" w:rsidRDefault="005A7AFD" w14:paraId="5D0A9E51" w14:textId="392AC7FF">
      <w:pPr>
        <w:pStyle w:val="ListParagraph"/>
        <w:numPr>
          <w:ilvl w:val="0"/>
          <w:numId w:val="50"/>
        </w:numPr>
        <w:spacing w:after="0" w:line="240" w:lineRule="auto"/>
        <w:rPr>
          <w:rFonts w:eastAsiaTheme="minorEastAsia"/>
          <w:color w:val="000000" w:themeColor="text1"/>
          <w:kern w:val="24"/>
          <w:szCs w:val="24"/>
          <w:lang w:val="en-US" w:eastAsia="en-GB"/>
        </w:rPr>
      </w:pPr>
      <w:r>
        <w:rPr>
          <w:rFonts w:eastAsiaTheme="minorEastAsia"/>
          <w:color w:val="000000" w:themeColor="text1"/>
          <w:szCs w:val="24"/>
          <w:lang w:val="en-US" w:eastAsia="en-GB"/>
        </w:rPr>
        <w:t xml:space="preserve">Review and </w:t>
      </w:r>
      <w:r w:rsidR="005835EC">
        <w:rPr>
          <w:rFonts w:eastAsiaTheme="minorEastAsia"/>
          <w:color w:val="000000" w:themeColor="text1"/>
          <w:szCs w:val="24"/>
          <w:lang w:val="en-US" w:eastAsia="en-GB"/>
        </w:rPr>
        <w:t>a</w:t>
      </w:r>
      <w:r w:rsidRPr="008650E3" w:rsidR="005835EC">
        <w:rPr>
          <w:rFonts w:eastAsiaTheme="minorEastAsia"/>
          <w:color w:val="000000" w:themeColor="text1"/>
          <w:szCs w:val="24"/>
          <w:lang w:val="en-US" w:eastAsia="en-GB"/>
        </w:rPr>
        <w:t>pprove</w:t>
      </w:r>
      <w:r w:rsidRPr="008650E3" w:rsidR="00A00D30">
        <w:rPr>
          <w:rFonts w:eastAsiaTheme="minorEastAsia"/>
          <w:color w:val="000000" w:themeColor="text1"/>
          <w:szCs w:val="24"/>
          <w:lang w:val="en-US" w:eastAsia="en-GB"/>
        </w:rPr>
        <w:t xml:space="preserve"> the content of the </w:t>
      </w:r>
      <w:r>
        <w:rPr>
          <w:rFonts w:eastAsiaTheme="minorEastAsia"/>
          <w:color w:val="000000" w:themeColor="text1"/>
          <w:szCs w:val="24"/>
          <w:lang w:val="en-US" w:eastAsia="en-GB"/>
        </w:rPr>
        <w:t>annual delegated assurance framework self declaration</w:t>
      </w:r>
      <w:r w:rsidR="005835EC">
        <w:rPr>
          <w:rFonts w:eastAsiaTheme="minorEastAsia"/>
          <w:color w:val="000000" w:themeColor="text1"/>
          <w:szCs w:val="24"/>
          <w:lang w:val="en-US" w:eastAsia="en-GB"/>
        </w:rPr>
        <w:t xml:space="preserve"> (Appendix A) prior to submission </w:t>
      </w:r>
      <w:r w:rsidR="00852C81">
        <w:rPr>
          <w:rFonts w:eastAsiaTheme="minorEastAsia"/>
          <w:color w:val="000000" w:themeColor="text1"/>
          <w:szCs w:val="24"/>
          <w:lang w:val="en-US" w:eastAsia="en-GB"/>
        </w:rPr>
        <w:t>to NHS England.</w:t>
      </w:r>
    </w:p>
    <w:p w:rsidR="005835EC" w:rsidP="00A00D30" w:rsidRDefault="005835EC" w14:paraId="2E0C27C5" w14:textId="77777777">
      <w:pPr>
        <w:spacing w:before="120" w:after="0" w:line="240" w:lineRule="auto"/>
        <w:ind w:left="562" w:hanging="562"/>
        <w:rPr>
          <w:rFonts w:eastAsiaTheme="minorEastAsia"/>
          <w:b/>
          <w:bCs/>
          <w:color w:val="000000" w:themeColor="text1"/>
          <w:kern w:val="24"/>
          <w:lang w:val="en-US" w:eastAsia="en-GB"/>
        </w:rPr>
      </w:pPr>
    </w:p>
    <w:p w:rsidRPr="00972E8A" w:rsidR="00A00D30" w:rsidP="00A00D30" w:rsidRDefault="00934ED0" w14:paraId="7B686463" w14:textId="16D2BF93">
      <w:pPr>
        <w:spacing w:before="120" w:after="0" w:line="240" w:lineRule="auto"/>
        <w:ind w:left="562" w:hanging="562"/>
        <w:rPr>
          <w:rFonts w:eastAsiaTheme="minorEastAsia"/>
          <w:b/>
          <w:bCs/>
          <w:color w:val="000000" w:themeColor="text1"/>
          <w:kern w:val="24"/>
          <w:lang w:val="en-US" w:eastAsia="en-GB"/>
        </w:rPr>
      </w:pPr>
      <w:r>
        <w:rPr>
          <w:rFonts w:eastAsiaTheme="minorEastAsia"/>
          <w:b/>
          <w:bCs/>
          <w:color w:val="000000" w:themeColor="text1"/>
          <w:kern w:val="24"/>
          <w:lang w:val="en-US" w:eastAsia="en-GB"/>
        </w:rPr>
        <w:t>Sarah Danson</w:t>
      </w:r>
    </w:p>
    <w:p w:rsidR="00A00D30" w:rsidP="00A00D30" w:rsidRDefault="00934ED0" w14:paraId="6EE0254B" w14:textId="446FC073">
      <w:pPr>
        <w:spacing w:before="120" w:after="0" w:line="240" w:lineRule="auto"/>
        <w:ind w:left="562" w:hanging="562"/>
        <w:rPr>
          <w:rFonts w:eastAsiaTheme="minorEastAsia"/>
          <w:b/>
          <w:bCs/>
          <w:color w:val="000000" w:themeColor="text1"/>
          <w:u w:val="single"/>
          <w:lang w:val="en-US" w:eastAsia="en-GB"/>
        </w:rPr>
      </w:pPr>
      <w:r>
        <w:rPr>
          <w:rFonts w:eastAsiaTheme="minorEastAsia"/>
          <w:b/>
          <w:bCs/>
          <w:color w:val="000000" w:themeColor="text1"/>
          <w:u w:val="single"/>
          <w:lang w:val="en-US" w:eastAsia="en-GB"/>
        </w:rPr>
        <w:t>May 2026</w:t>
      </w:r>
    </w:p>
    <w:p w:rsidRPr="00972E8A" w:rsidR="00A00D30" w:rsidP="00A00D30" w:rsidRDefault="00A00D30" w14:paraId="2803ADDA" w14:textId="77777777">
      <w:pPr>
        <w:rPr>
          <w:szCs w:val="24"/>
        </w:rPr>
      </w:pPr>
    </w:p>
    <w:p w:rsidR="000D3668" w:rsidP="000D3668" w:rsidRDefault="000D3668" w14:paraId="6392320B" w14:textId="3031448F">
      <w:pPr>
        <w:pStyle w:val="paragraph"/>
        <w:spacing w:before="0" w:beforeAutospacing="0" w:after="0" w:afterAutospacing="0"/>
        <w:jc w:val="both"/>
        <w:textAlignment w:val="baseline"/>
        <w:rPr>
          <w:rFonts w:ascii="Segoe UI" w:hAnsi="Segoe UI" w:cs="Segoe UI"/>
          <w:sz w:val="18"/>
          <w:szCs w:val="18"/>
        </w:rPr>
      </w:pPr>
    </w:p>
    <w:sectPr w:rsidR="000D3668" w:rsidSect="006E3B6E">
      <w:headerReference w:type="default" r:id="rId11"/>
      <w:footerReference w:type="default" r:id="rId12"/>
      <w:headerReference w:type="first" r:id="rId13"/>
      <w:pgSz w:w="11906" w:h="16838" w:orient="portrait"/>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F0C" w:rsidP="00811A35" w:rsidRDefault="00DC2F0C" w14:paraId="0356E85D" w14:textId="77777777">
      <w:pPr>
        <w:spacing w:after="0" w:line="240" w:lineRule="auto"/>
      </w:pPr>
      <w:r>
        <w:separator/>
      </w:r>
    </w:p>
  </w:endnote>
  <w:endnote w:type="continuationSeparator" w:id="0">
    <w:p w:rsidR="00DC2F0C" w:rsidP="00811A35" w:rsidRDefault="00DC2F0C" w14:paraId="4A9F42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rPr>
        <w:noProof/>
      </w:rPr>
    </w:sdtEndPr>
    <w:sdtContent>
      <w:p w:rsidR="00CA5ED8" w:rsidRDefault="00CA5ED8" w14:paraId="3C4967D4" w14:textId="77777777">
        <w:pPr>
          <w:pStyle w:val="Footer"/>
          <w:jc w:val="right"/>
        </w:pPr>
        <w:r>
          <w:fldChar w:fldCharType="begin"/>
        </w:r>
        <w:r>
          <w:instrText xml:space="preserve"> PAGE   \* MERGEFORMAT </w:instrText>
        </w:r>
        <w:r>
          <w:fldChar w:fldCharType="separate"/>
        </w:r>
        <w:r w:rsidR="00DE0E3C">
          <w:rPr>
            <w:noProof/>
          </w:rPr>
          <w:t>1</w:t>
        </w:r>
        <w:r>
          <w:rPr>
            <w:noProof/>
          </w:rPr>
          <w:fldChar w:fldCharType="end"/>
        </w:r>
      </w:p>
    </w:sdtContent>
  </w:sdt>
  <w:p w:rsidR="00CA5ED8" w:rsidRDefault="00CA5ED8" w14:paraId="672107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F0C" w:rsidP="00811A35" w:rsidRDefault="00DC2F0C" w14:paraId="18D751F9" w14:textId="77777777">
      <w:pPr>
        <w:spacing w:after="0" w:line="240" w:lineRule="auto"/>
      </w:pPr>
      <w:r>
        <w:separator/>
      </w:r>
    </w:p>
  </w:footnote>
  <w:footnote w:type="continuationSeparator" w:id="0">
    <w:p w:rsidR="00DC2F0C" w:rsidP="00811A35" w:rsidRDefault="00DC2F0C" w14:paraId="5418BF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3B6E" w:rsidR="00811A35" w:rsidP="006E3B6E" w:rsidRDefault="00811A35" w14:paraId="01FED1BC" w14:textId="4F9224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E3B6E" w:rsidP="006E3B6E" w:rsidRDefault="006E3B6E" w14:paraId="2D985332" w14:textId="7A908692">
    <w:pPr>
      <w:pStyle w:val="Header"/>
      <w:jc w:val="right"/>
    </w:pPr>
    <w:r>
      <w:rPr>
        <w:noProof/>
      </w:rPr>
      <w:drawing>
        <wp:inline distT="0" distB="0" distL="0" distR="0" wp14:anchorId="1BFCB57D" wp14:editId="20B27DCB">
          <wp:extent cx="1591310" cy="1036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A3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E5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6BA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387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EEFEE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7823A3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8E6F93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4C7F6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2541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A5C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111CF9"/>
    <w:multiLevelType w:val="multilevel"/>
    <w:tmpl w:val="7CC4D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7CC44F9"/>
    <w:multiLevelType w:val="multilevel"/>
    <w:tmpl w:val="6D141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6020ADA"/>
    <w:multiLevelType w:val="hybridMultilevel"/>
    <w:tmpl w:val="E608838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AA55750"/>
    <w:multiLevelType w:val="multilevel"/>
    <w:tmpl w:val="CD141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1922444"/>
    <w:multiLevelType w:val="hybridMultilevel"/>
    <w:tmpl w:val="FFFFFFFF"/>
    <w:lvl w:ilvl="0" w:tplc="302A3B10">
      <w:numFmt w:val="none"/>
      <w:lvlText w:val=""/>
      <w:lvlJc w:val="left"/>
      <w:pPr>
        <w:tabs>
          <w:tab w:val="num" w:pos="360"/>
        </w:tabs>
      </w:pPr>
    </w:lvl>
    <w:lvl w:ilvl="1" w:tplc="6038D2F8">
      <w:start w:val="1"/>
      <w:numFmt w:val="lowerLetter"/>
      <w:lvlText w:val="%2."/>
      <w:lvlJc w:val="left"/>
      <w:pPr>
        <w:ind w:left="1440" w:hanging="360"/>
      </w:pPr>
    </w:lvl>
    <w:lvl w:ilvl="2" w:tplc="2536FF5A">
      <w:start w:val="1"/>
      <w:numFmt w:val="lowerRoman"/>
      <w:lvlText w:val="%3."/>
      <w:lvlJc w:val="right"/>
      <w:pPr>
        <w:ind w:left="2160" w:hanging="180"/>
      </w:pPr>
    </w:lvl>
    <w:lvl w:ilvl="3" w:tplc="C9C28E66">
      <w:start w:val="1"/>
      <w:numFmt w:val="decimal"/>
      <w:lvlText w:val="%4."/>
      <w:lvlJc w:val="left"/>
      <w:pPr>
        <w:ind w:left="2880" w:hanging="360"/>
      </w:pPr>
    </w:lvl>
    <w:lvl w:ilvl="4" w:tplc="54F6EB6A">
      <w:start w:val="1"/>
      <w:numFmt w:val="lowerLetter"/>
      <w:lvlText w:val="%5."/>
      <w:lvlJc w:val="left"/>
      <w:pPr>
        <w:ind w:left="3600" w:hanging="360"/>
      </w:pPr>
    </w:lvl>
    <w:lvl w:ilvl="5" w:tplc="F5DA3E9A">
      <w:start w:val="1"/>
      <w:numFmt w:val="lowerRoman"/>
      <w:lvlText w:val="%6."/>
      <w:lvlJc w:val="right"/>
      <w:pPr>
        <w:ind w:left="4320" w:hanging="180"/>
      </w:pPr>
    </w:lvl>
    <w:lvl w:ilvl="6" w:tplc="20D6F432">
      <w:start w:val="1"/>
      <w:numFmt w:val="decimal"/>
      <w:lvlText w:val="%7."/>
      <w:lvlJc w:val="left"/>
      <w:pPr>
        <w:ind w:left="5040" w:hanging="360"/>
      </w:pPr>
    </w:lvl>
    <w:lvl w:ilvl="7" w:tplc="BD52A8B0">
      <w:start w:val="1"/>
      <w:numFmt w:val="lowerLetter"/>
      <w:lvlText w:val="%8."/>
      <w:lvlJc w:val="left"/>
      <w:pPr>
        <w:ind w:left="5760" w:hanging="360"/>
      </w:pPr>
    </w:lvl>
    <w:lvl w:ilvl="8" w:tplc="FD123C8E">
      <w:start w:val="1"/>
      <w:numFmt w:val="lowerRoman"/>
      <w:lvlText w:val="%9."/>
      <w:lvlJc w:val="right"/>
      <w:pPr>
        <w:ind w:left="6480" w:hanging="180"/>
      </w:pPr>
    </w:lvl>
  </w:abstractNum>
  <w:abstractNum w:abstractNumId="15" w15:restartNumberingAfterBreak="0">
    <w:nsid w:val="22537E49"/>
    <w:multiLevelType w:val="hybridMultilevel"/>
    <w:tmpl w:val="E850D13C"/>
    <w:lvl w:ilvl="0" w:tplc="0716572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622B84"/>
    <w:multiLevelType w:val="hybridMultilevel"/>
    <w:tmpl w:val="57E8C080"/>
    <w:lvl w:ilvl="0" w:tplc="78749688">
      <w:numFmt w:val="bullet"/>
      <w:pStyle w:val="Bulletlis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9072F3D"/>
    <w:multiLevelType w:val="multilevel"/>
    <w:tmpl w:val="F72CD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564C30"/>
    <w:multiLevelType w:val="multilevel"/>
    <w:tmpl w:val="188C3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502EFB"/>
    <w:multiLevelType w:val="multilevel"/>
    <w:tmpl w:val="2E004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DB7844"/>
    <w:multiLevelType w:val="multilevel"/>
    <w:tmpl w:val="4CAC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417616"/>
    <w:multiLevelType w:val="multilevel"/>
    <w:tmpl w:val="DA5EE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FD4A52"/>
    <w:multiLevelType w:val="multilevel"/>
    <w:tmpl w:val="D8A60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2586CD3"/>
    <w:multiLevelType w:val="multilevel"/>
    <w:tmpl w:val="34A2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1C5E4A"/>
    <w:multiLevelType w:val="multilevel"/>
    <w:tmpl w:val="F1AAC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201070"/>
    <w:multiLevelType w:val="multilevel"/>
    <w:tmpl w:val="9018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7A0AC0"/>
    <w:multiLevelType w:val="multilevel"/>
    <w:tmpl w:val="3B687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81067"/>
    <w:multiLevelType w:val="multilevel"/>
    <w:tmpl w:val="F280C4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2139F4"/>
    <w:multiLevelType w:val="hybridMultilevel"/>
    <w:tmpl w:val="E7FC3CD0"/>
    <w:lvl w:ilvl="0" w:tplc="8C88BFF4">
      <w:start w:val="1"/>
      <w:numFmt w:val="bullet"/>
      <w:lvlText w:val="•"/>
      <w:lvlJc w:val="left"/>
      <w:pPr>
        <w:tabs>
          <w:tab w:val="num" w:pos="720"/>
        </w:tabs>
        <w:ind w:left="720" w:hanging="360"/>
      </w:pPr>
      <w:rPr>
        <w:rFonts w:hint="default" w:ascii="Arial" w:hAnsi="Arial"/>
      </w:rPr>
    </w:lvl>
    <w:lvl w:ilvl="1" w:tplc="A6F0CC66">
      <w:start w:val="1"/>
      <w:numFmt w:val="bullet"/>
      <w:lvlText w:val="•"/>
      <w:lvlJc w:val="left"/>
      <w:pPr>
        <w:tabs>
          <w:tab w:val="num" w:pos="1440"/>
        </w:tabs>
        <w:ind w:left="1440" w:hanging="360"/>
      </w:pPr>
      <w:rPr>
        <w:rFonts w:hint="default" w:ascii="Arial" w:hAnsi="Arial"/>
      </w:rPr>
    </w:lvl>
    <w:lvl w:ilvl="2" w:tplc="E50CA9C4" w:tentative="1">
      <w:start w:val="1"/>
      <w:numFmt w:val="bullet"/>
      <w:lvlText w:val="•"/>
      <w:lvlJc w:val="left"/>
      <w:pPr>
        <w:tabs>
          <w:tab w:val="num" w:pos="2160"/>
        </w:tabs>
        <w:ind w:left="2160" w:hanging="360"/>
      </w:pPr>
      <w:rPr>
        <w:rFonts w:hint="default" w:ascii="Arial" w:hAnsi="Arial"/>
      </w:rPr>
    </w:lvl>
    <w:lvl w:ilvl="3" w:tplc="6C70819E" w:tentative="1">
      <w:start w:val="1"/>
      <w:numFmt w:val="bullet"/>
      <w:lvlText w:val="•"/>
      <w:lvlJc w:val="left"/>
      <w:pPr>
        <w:tabs>
          <w:tab w:val="num" w:pos="2880"/>
        </w:tabs>
        <w:ind w:left="2880" w:hanging="360"/>
      </w:pPr>
      <w:rPr>
        <w:rFonts w:hint="default" w:ascii="Arial" w:hAnsi="Arial"/>
      </w:rPr>
    </w:lvl>
    <w:lvl w:ilvl="4" w:tplc="F67E079C" w:tentative="1">
      <w:start w:val="1"/>
      <w:numFmt w:val="bullet"/>
      <w:lvlText w:val="•"/>
      <w:lvlJc w:val="left"/>
      <w:pPr>
        <w:tabs>
          <w:tab w:val="num" w:pos="3600"/>
        </w:tabs>
        <w:ind w:left="3600" w:hanging="360"/>
      </w:pPr>
      <w:rPr>
        <w:rFonts w:hint="default" w:ascii="Arial" w:hAnsi="Arial"/>
      </w:rPr>
    </w:lvl>
    <w:lvl w:ilvl="5" w:tplc="46A82C8A" w:tentative="1">
      <w:start w:val="1"/>
      <w:numFmt w:val="bullet"/>
      <w:lvlText w:val="•"/>
      <w:lvlJc w:val="left"/>
      <w:pPr>
        <w:tabs>
          <w:tab w:val="num" w:pos="4320"/>
        </w:tabs>
        <w:ind w:left="4320" w:hanging="360"/>
      </w:pPr>
      <w:rPr>
        <w:rFonts w:hint="default" w:ascii="Arial" w:hAnsi="Arial"/>
      </w:rPr>
    </w:lvl>
    <w:lvl w:ilvl="6" w:tplc="FD961AA8" w:tentative="1">
      <w:start w:val="1"/>
      <w:numFmt w:val="bullet"/>
      <w:lvlText w:val="•"/>
      <w:lvlJc w:val="left"/>
      <w:pPr>
        <w:tabs>
          <w:tab w:val="num" w:pos="5040"/>
        </w:tabs>
        <w:ind w:left="5040" w:hanging="360"/>
      </w:pPr>
      <w:rPr>
        <w:rFonts w:hint="default" w:ascii="Arial" w:hAnsi="Arial"/>
      </w:rPr>
    </w:lvl>
    <w:lvl w:ilvl="7" w:tplc="E042F096" w:tentative="1">
      <w:start w:val="1"/>
      <w:numFmt w:val="bullet"/>
      <w:lvlText w:val="•"/>
      <w:lvlJc w:val="left"/>
      <w:pPr>
        <w:tabs>
          <w:tab w:val="num" w:pos="5760"/>
        </w:tabs>
        <w:ind w:left="5760" w:hanging="360"/>
      </w:pPr>
      <w:rPr>
        <w:rFonts w:hint="default" w:ascii="Arial" w:hAnsi="Arial"/>
      </w:rPr>
    </w:lvl>
    <w:lvl w:ilvl="8" w:tplc="70C834C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4B6B0DAC"/>
    <w:multiLevelType w:val="multilevel"/>
    <w:tmpl w:val="53427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7D63FE"/>
    <w:multiLevelType w:val="multilevel"/>
    <w:tmpl w:val="B896F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C7765B"/>
    <w:multiLevelType w:val="multilevel"/>
    <w:tmpl w:val="9ACAC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2E6034"/>
    <w:multiLevelType w:val="multilevel"/>
    <w:tmpl w:val="DF72A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A08211C"/>
    <w:multiLevelType w:val="multilevel"/>
    <w:tmpl w:val="CCAEC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D392883"/>
    <w:multiLevelType w:val="multilevel"/>
    <w:tmpl w:val="E53E2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1164C"/>
    <w:multiLevelType w:val="multilevel"/>
    <w:tmpl w:val="3500A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D72CCA"/>
    <w:multiLevelType w:val="multilevel"/>
    <w:tmpl w:val="E17C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A15979"/>
    <w:multiLevelType w:val="multilevel"/>
    <w:tmpl w:val="A302F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65E6718"/>
    <w:multiLevelType w:val="multilevel"/>
    <w:tmpl w:val="7EC60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83C13A4"/>
    <w:multiLevelType w:val="multilevel"/>
    <w:tmpl w:val="5AF6E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EA73D4"/>
    <w:multiLevelType w:val="multilevel"/>
    <w:tmpl w:val="476ED944"/>
    <w:lvl w:ilvl="0">
      <w:start w:val="2"/>
      <w:numFmt w:val="decimal"/>
      <w:lvlText w:val="%1."/>
      <w:lvlJc w:val="left"/>
      <w:pPr>
        <w:tabs>
          <w:tab w:val="num" w:pos="720"/>
        </w:tabs>
        <w:ind w:left="720" w:hanging="360"/>
      </w:p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EE22A1"/>
    <w:multiLevelType w:val="multilevel"/>
    <w:tmpl w:val="732E3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CF84204"/>
    <w:multiLevelType w:val="multilevel"/>
    <w:tmpl w:val="8DBA8B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9C78B9"/>
    <w:multiLevelType w:val="multilevel"/>
    <w:tmpl w:val="46000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4070786"/>
    <w:multiLevelType w:val="hybridMultilevel"/>
    <w:tmpl w:val="F99ECC30"/>
    <w:lvl w:ilvl="0" w:tplc="08090001">
      <w:start w:val="1"/>
      <w:numFmt w:val="bullet"/>
      <w:lvlText w:val=""/>
      <w:lvlJc w:val="left"/>
      <w:pPr>
        <w:ind w:left="1290" w:hanging="360"/>
      </w:pPr>
      <w:rPr>
        <w:rFonts w:hint="default" w:ascii="Symbol" w:hAnsi="Symbol"/>
      </w:rPr>
    </w:lvl>
    <w:lvl w:ilvl="1" w:tplc="08090003" w:tentative="1">
      <w:start w:val="1"/>
      <w:numFmt w:val="bullet"/>
      <w:lvlText w:val="o"/>
      <w:lvlJc w:val="left"/>
      <w:pPr>
        <w:ind w:left="2010" w:hanging="360"/>
      </w:pPr>
      <w:rPr>
        <w:rFonts w:hint="default" w:ascii="Courier New" w:hAnsi="Courier New" w:cs="Courier New"/>
      </w:rPr>
    </w:lvl>
    <w:lvl w:ilvl="2" w:tplc="08090005" w:tentative="1">
      <w:start w:val="1"/>
      <w:numFmt w:val="bullet"/>
      <w:lvlText w:val=""/>
      <w:lvlJc w:val="left"/>
      <w:pPr>
        <w:ind w:left="2730" w:hanging="360"/>
      </w:pPr>
      <w:rPr>
        <w:rFonts w:hint="default" w:ascii="Wingdings" w:hAnsi="Wingdings"/>
      </w:rPr>
    </w:lvl>
    <w:lvl w:ilvl="3" w:tplc="08090001" w:tentative="1">
      <w:start w:val="1"/>
      <w:numFmt w:val="bullet"/>
      <w:lvlText w:val=""/>
      <w:lvlJc w:val="left"/>
      <w:pPr>
        <w:ind w:left="3450" w:hanging="360"/>
      </w:pPr>
      <w:rPr>
        <w:rFonts w:hint="default" w:ascii="Symbol" w:hAnsi="Symbol"/>
      </w:rPr>
    </w:lvl>
    <w:lvl w:ilvl="4" w:tplc="08090003" w:tentative="1">
      <w:start w:val="1"/>
      <w:numFmt w:val="bullet"/>
      <w:lvlText w:val="o"/>
      <w:lvlJc w:val="left"/>
      <w:pPr>
        <w:ind w:left="4170" w:hanging="360"/>
      </w:pPr>
      <w:rPr>
        <w:rFonts w:hint="default" w:ascii="Courier New" w:hAnsi="Courier New" w:cs="Courier New"/>
      </w:rPr>
    </w:lvl>
    <w:lvl w:ilvl="5" w:tplc="08090005" w:tentative="1">
      <w:start w:val="1"/>
      <w:numFmt w:val="bullet"/>
      <w:lvlText w:val=""/>
      <w:lvlJc w:val="left"/>
      <w:pPr>
        <w:ind w:left="4890" w:hanging="360"/>
      </w:pPr>
      <w:rPr>
        <w:rFonts w:hint="default" w:ascii="Wingdings" w:hAnsi="Wingdings"/>
      </w:rPr>
    </w:lvl>
    <w:lvl w:ilvl="6" w:tplc="08090001" w:tentative="1">
      <w:start w:val="1"/>
      <w:numFmt w:val="bullet"/>
      <w:lvlText w:val=""/>
      <w:lvlJc w:val="left"/>
      <w:pPr>
        <w:ind w:left="5610" w:hanging="360"/>
      </w:pPr>
      <w:rPr>
        <w:rFonts w:hint="default" w:ascii="Symbol" w:hAnsi="Symbol"/>
      </w:rPr>
    </w:lvl>
    <w:lvl w:ilvl="7" w:tplc="08090003" w:tentative="1">
      <w:start w:val="1"/>
      <w:numFmt w:val="bullet"/>
      <w:lvlText w:val="o"/>
      <w:lvlJc w:val="left"/>
      <w:pPr>
        <w:ind w:left="6330" w:hanging="360"/>
      </w:pPr>
      <w:rPr>
        <w:rFonts w:hint="default" w:ascii="Courier New" w:hAnsi="Courier New" w:cs="Courier New"/>
      </w:rPr>
    </w:lvl>
    <w:lvl w:ilvl="8" w:tplc="08090005" w:tentative="1">
      <w:start w:val="1"/>
      <w:numFmt w:val="bullet"/>
      <w:lvlText w:val=""/>
      <w:lvlJc w:val="left"/>
      <w:pPr>
        <w:ind w:left="7050" w:hanging="360"/>
      </w:pPr>
      <w:rPr>
        <w:rFonts w:hint="default" w:ascii="Wingdings" w:hAnsi="Wingdings"/>
      </w:rPr>
    </w:lvl>
  </w:abstractNum>
  <w:abstractNum w:abstractNumId="47" w15:restartNumberingAfterBreak="0">
    <w:nsid w:val="754F168C"/>
    <w:multiLevelType w:val="multilevel"/>
    <w:tmpl w:val="52200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9545392"/>
    <w:multiLevelType w:val="multilevel"/>
    <w:tmpl w:val="A35EE8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188745">
    <w:abstractNumId w:val="16"/>
  </w:num>
  <w:num w:numId="2" w16cid:durableId="2042320837">
    <w:abstractNumId w:val="9"/>
  </w:num>
  <w:num w:numId="3" w16cid:durableId="672993910">
    <w:abstractNumId w:val="7"/>
  </w:num>
  <w:num w:numId="4" w16cid:durableId="848759024">
    <w:abstractNumId w:val="6"/>
  </w:num>
  <w:num w:numId="5" w16cid:durableId="67964921">
    <w:abstractNumId w:val="5"/>
  </w:num>
  <w:num w:numId="6" w16cid:durableId="1064333848">
    <w:abstractNumId w:val="4"/>
  </w:num>
  <w:num w:numId="7" w16cid:durableId="1028523734">
    <w:abstractNumId w:val="8"/>
  </w:num>
  <w:num w:numId="8" w16cid:durableId="2117096381">
    <w:abstractNumId w:val="3"/>
  </w:num>
  <w:num w:numId="9" w16cid:durableId="1471363213">
    <w:abstractNumId w:val="2"/>
  </w:num>
  <w:num w:numId="10" w16cid:durableId="1037855406">
    <w:abstractNumId w:val="1"/>
  </w:num>
  <w:num w:numId="11" w16cid:durableId="1512796072">
    <w:abstractNumId w:val="0"/>
  </w:num>
  <w:num w:numId="12" w16cid:durableId="210776278">
    <w:abstractNumId w:val="38"/>
  </w:num>
  <w:num w:numId="13" w16cid:durableId="10837481">
    <w:abstractNumId w:val="42"/>
  </w:num>
  <w:num w:numId="14" w16cid:durableId="332806807">
    <w:abstractNumId w:val="28"/>
  </w:num>
  <w:num w:numId="15" w16cid:durableId="727844075">
    <w:abstractNumId w:val="32"/>
  </w:num>
  <w:num w:numId="16" w16cid:durableId="611016540">
    <w:abstractNumId w:val="15"/>
  </w:num>
  <w:num w:numId="17" w16cid:durableId="1409766427">
    <w:abstractNumId w:val="38"/>
  </w:num>
  <w:num w:numId="18" w16cid:durableId="659962168">
    <w:abstractNumId w:val="34"/>
  </w:num>
  <w:num w:numId="19" w16cid:durableId="132602861">
    <w:abstractNumId w:val="39"/>
  </w:num>
  <w:num w:numId="20" w16cid:durableId="1025205079">
    <w:abstractNumId w:val="38"/>
  </w:num>
  <w:num w:numId="21" w16cid:durableId="453520709">
    <w:abstractNumId w:val="37"/>
  </w:num>
  <w:num w:numId="22" w16cid:durableId="1569225034">
    <w:abstractNumId w:val="36"/>
  </w:num>
  <w:num w:numId="23" w16cid:durableId="1034312400">
    <w:abstractNumId w:val="29"/>
  </w:num>
  <w:num w:numId="24" w16cid:durableId="1105613977">
    <w:abstractNumId w:val="19"/>
  </w:num>
  <w:num w:numId="25" w16cid:durableId="1392651279">
    <w:abstractNumId w:val="25"/>
  </w:num>
  <w:num w:numId="26" w16cid:durableId="1606616777">
    <w:abstractNumId w:val="11"/>
  </w:num>
  <w:num w:numId="27" w16cid:durableId="915869851">
    <w:abstractNumId w:val="45"/>
  </w:num>
  <w:num w:numId="28" w16cid:durableId="1004824051">
    <w:abstractNumId w:val="22"/>
  </w:num>
  <w:num w:numId="29" w16cid:durableId="819344545">
    <w:abstractNumId w:val="43"/>
  </w:num>
  <w:num w:numId="30" w16cid:durableId="1854807067">
    <w:abstractNumId w:val="21"/>
  </w:num>
  <w:num w:numId="31" w16cid:durableId="1723097976">
    <w:abstractNumId w:val="35"/>
  </w:num>
  <w:num w:numId="32" w16cid:durableId="2087217438">
    <w:abstractNumId w:val="18"/>
  </w:num>
  <w:num w:numId="33" w16cid:durableId="819997959">
    <w:abstractNumId w:val="47"/>
  </w:num>
  <w:num w:numId="34" w16cid:durableId="785544221">
    <w:abstractNumId w:val="13"/>
  </w:num>
  <w:num w:numId="35" w16cid:durableId="2147119611">
    <w:abstractNumId w:val="33"/>
  </w:num>
  <w:num w:numId="36" w16cid:durableId="872811398">
    <w:abstractNumId w:val="48"/>
  </w:num>
  <w:num w:numId="37" w16cid:durableId="1048457443">
    <w:abstractNumId w:val="24"/>
  </w:num>
  <w:num w:numId="38" w16cid:durableId="1502155641">
    <w:abstractNumId w:val="17"/>
  </w:num>
  <w:num w:numId="39" w16cid:durableId="861093593">
    <w:abstractNumId w:val="20"/>
  </w:num>
  <w:num w:numId="40" w16cid:durableId="2075081993">
    <w:abstractNumId w:val="26"/>
  </w:num>
  <w:num w:numId="41" w16cid:durableId="1976637696">
    <w:abstractNumId w:val="30"/>
  </w:num>
  <w:num w:numId="42" w16cid:durableId="1426415321">
    <w:abstractNumId w:val="27"/>
  </w:num>
  <w:num w:numId="43" w16cid:durableId="1262102560">
    <w:abstractNumId w:val="44"/>
  </w:num>
  <w:num w:numId="44" w16cid:durableId="2003581897">
    <w:abstractNumId w:val="10"/>
  </w:num>
  <w:num w:numId="45" w16cid:durableId="590242327">
    <w:abstractNumId w:val="31"/>
  </w:num>
  <w:num w:numId="46" w16cid:durableId="1647322006">
    <w:abstractNumId w:val="40"/>
  </w:num>
  <w:num w:numId="47" w16cid:durableId="1598057997">
    <w:abstractNumId w:val="41"/>
  </w:num>
  <w:num w:numId="48" w16cid:durableId="1111316034">
    <w:abstractNumId w:val="23"/>
  </w:num>
  <w:num w:numId="49" w16cid:durableId="24139763">
    <w:abstractNumId w:val="12"/>
  </w:num>
  <w:num w:numId="50" w16cid:durableId="136187914">
    <w:abstractNumId w:val="46"/>
  </w:num>
  <w:num w:numId="51" w16cid:durableId="35959857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9"/>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5"/>
    <w:rsid w:val="000107A2"/>
    <w:rsid w:val="00016E2C"/>
    <w:rsid w:val="00030594"/>
    <w:rsid w:val="00034D02"/>
    <w:rsid w:val="000401CC"/>
    <w:rsid w:val="00044FAE"/>
    <w:rsid w:val="000668EF"/>
    <w:rsid w:val="0007254E"/>
    <w:rsid w:val="00090A6A"/>
    <w:rsid w:val="000A355E"/>
    <w:rsid w:val="000A79DD"/>
    <w:rsid w:val="000B3E51"/>
    <w:rsid w:val="000C2307"/>
    <w:rsid w:val="000D3668"/>
    <w:rsid w:val="000E102E"/>
    <w:rsid w:val="000E4F0A"/>
    <w:rsid w:val="000F1A38"/>
    <w:rsid w:val="001271ED"/>
    <w:rsid w:val="00145A14"/>
    <w:rsid w:val="00147390"/>
    <w:rsid w:val="00151B75"/>
    <w:rsid w:val="00167F59"/>
    <w:rsid w:val="00173548"/>
    <w:rsid w:val="00175074"/>
    <w:rsid w:val="001756FC"/>
    <w:rsid w:val="0017582B"/>
    <w:rsid w:val="00176E9D"/>
    <w:rsid w:val="001774FD"/>
    <w:rsid w:val="00184132"/>
    <w:rsid w:val="001B78B9"/>
    <w:rsid w:val="001B7F5C"/>
    <w:rsid w:val="001C3364"/>
    <w:rsid w:val="001C595C"/>
    <w:rsid w:val="001C6B4A"/>
    <w:rsid w:val="001C7A50"/>
    <w:rsid w:val="001D5F42"/>
    <w:rsid w:val="001E04F6"/>
    <w:rsid w:val="001E0967"/>
    <w:rsid w:val="001E38C8"/>
    <w:rsid w:val="001F0F7B"/>
    <w:rsid w:val="001F3233"/>
    <w:rsid w:val="001F3F3D"/>
    <w:rsid w:val="00200B91"/>
    <w:rsid w:val="00205FF8"/>
    <w:rsid w:val="002162CC"/>
    <w:rsid w:val="002267AD"/>
    <w:rsid w:val="00232C31"/>
    <w:rsid w:val="0026051F"/>
    <w:rsid w:val="00266DD3"/>
    <w:rsid w:val="00282D91"/>
    <w:rsid w:val="00290D7D"/>
    <w:rsid w:val="002B0DA1"/>
    <w:rsid w:val="002B593F"/>
    <w:rsid w:val="002B7D8C"/>
    <w:rsid w:val="002C30B6"/>
    <w:rsid w:val="002D76D9"/>
    <w:rsid w:val="002E432D"/>
    <w:rsid w:val="00300C12"/>
    <w:rsid w:val="003123D6"/>
    <w:rsid w:val="003146AC"/>
    <w:rsid w:val="00330612"/>
    <w:rsid w:val="00353A2F"/>
    <w:rsid w:val="00354F9C"/>
    <w:rsid w:val="0037363D"/>
    <w:rsid w:val="00380EB5"/>
    <w:rsid w:val="003839D2"/>
    <w:rsid w:val="003840C3"/>
    <w:rsid w:val="003D7AC7"/>
    <w:rsid w:val="003F0CC0"/>
    <w:rsid w:val="004025BF"/>
    <w:rsid w:val="004058F7"/>
    <w:rsid w:val="0042293B"/>
    <w:rsid w:val="004276BE"/>
    <w:rsid w:val="0043418A"/>
    <w:rsid w:val="0044311B"/>
    <w:rsid w:val="00445393"/>
    <w:rsid w:val="00445FD3"/>
    <w:rsid w:val="004511E5"/>
    <w:rsid w:val="004760D6"/>
    <w:rsid w:val="0048218C"/>
    <w:rsid w:val="0048521B"/>
    <w:rsid w:val="00487A0D"/>
    <w:rsid w:val="004B0DF1"/>
    <w:rsid w:val="004B3A55"/>
    <w:rsid w:val="004C6DE5"/>
    <w:rsid w:val="004D45A6"/>
    <w:rsid w:val="004D55E4"/>
    <w:rsid w:val="004D70F4"/>
    <w:rsid w:val="004E06FB"/>
    <w:rsid w:val="004E4996"/>
    <w:rsid w:val="004E5C79"/>
    <w:rsid w:val="004E7590"/>
    <w:rsid w:val="005134E7"/>
    <w:rsid w:val="00521234"/>
    <w:rsid w:val="00526293"/>
    <w:rsid w:val="00533AB0"/>
    <w:rsid w:val="0054537D"/>
    <w:rsid w:val="00557F72"/>
    <w:rsid w:val="0056654E"/>
    <w:rsid w:val="00570365"/>
    <w:rsid w:val="005737E8"/>
    <w:rsid w:val="005832AE"/>
    <w:rsid w:val="005835EC"/>
    <w:rsid w:val="0058614F"/>
    <w:rsid w:val="0059056F"/>
    <w:rsid w:val="005A37D9"/>
    <w:rsid w:val="005A7AFD"/>
    <w:rsid w:val="005B693D"/>
    <w:rsid w:val="005C7AE9"/>
    <w:rsid w:val="005E2489"/>
    <w:rsid w:val="005E5253"/>
    <w:rsid w:val="005E53AE"/>
    <w:rsid w:val="005F3C93"/>
    <w:rsid w:val="005F5B55"/>
    <w:rsid w:val="00626872"/>
    <w:rsid w:val="00636BAD"/>
    <w:rsid w:val="00641141"/>
    <w:rsid w:val="00655521"/>
    <w:rsid w:val="00676526"/>
    <w:rsid w:val="00676806"/>
    <w:rsid w:val="00677D27"/>
    <w:rsid w:val="006932A9"/>
    <w:rsid w:val="006B0BB4"/>
    <w:rsid w:val="006B4B7D"/>
    <w:rsid w:val="006C2CA4"/>
    <w:rsid w:val="006D0455"/>
    <w:rsid w:val="006E3B6E"/>
    <w:rsid w:val="006F4311"/>
    <w:rsid w:val="00711E1F"/>
    <w:rsid w:val="007134FF"/>
    <w:rsid w:val="00714F73"/>
    <w:rsid w:val="00730AFE"/>
    <w:rsid w:val="00732381"/>
    <w:rsid w:val="007405C6"/>
    <w:rsid w:val="0076787D"/>
    <w:rsid w:val="00770667"/>
    <w:rsid w:val="00776A1B"/>
    <w:rsid w:val="00787F16"/>
    <w:rsid w:val="00791A32"/>
    <w:rsid w:val="0079562C"/>
    <w:rsid w:val="007B34ED"/>
    <w:rsid w:val="007B4DF5"/>
    <w:rsid w:val="00801356"/>
    <w:rsid w:val="00801F98"/>
    <w:rsid w:val="00811A35"/>
    <w:rsid w:val="008350DC"/>
    <w:rsid w:val="00837631"/>
    <w:rsid w:val="00852C81"/>
    <w:rsid w:val="008650E3"/>
    <w:rsid w:val="00872C28"/>
    <w:rsid w:val="00874B5E"/>
    <w:rsid w:val="008803AA"/>
    <w:rsid w:val="00881061"/>
    <w:rsid w:val="00890EF5"/>
    <w:rsid w:val="00893D8B"/>
    <w:rsid w:val="008A2918"/>
    <w:rsid w:val="008A3D4B"/>
    <w:rsid w:val="008A5184"/>
    <w:rsid w:val="008A7672"/>
    <w:rsid w:val="008B2514"/>
    <w:rsid w:val="008B701F"/>
    <w:rsid w:val="008B7D1E"/>
    <w:rsid w:val="008C44E4"/>
    <w:rsid w:val="008C4F57"/>
    <w:rsid w:val="008D2642"/>
    <w:rsid w:val="008E400C"/>
    <w:rsid w:val="008E4F95"/>
    <w:rsid w:val="008F222F"/>
    <w:rsid w:val="008F4705"/>
    <w:rsid w:val="008F7726"/>
    <w:rsid w:val="00904F72"/>
    <w:rsid w:val="00914D30"/>
    <w:rsid w:val="00916035"/>
    <w:rsid w:val="00934ED0"/>
    <w:rsid w:val="00940EB4"/>
    <w:rsid w:val="00947AB3"/>
    <w:rsid w:val="00955869"/>
    <w:rsid w:val="00964A67"/>
    <w:rsid w:val="00971D69"/>
    <w:rsid w:val="00975AE7"/>
    <w:rsid w:val="009B5B30"/>
    <w:rsid w:val="009C0B4C"/>
    <w:rsid w:val="009C6403"/>
    <w:rsid w:val="009D2F2A"/>
    <w:rsid w:val="009E3A21"/>
    <w:rsid w:val="009E5892"/>
    <w:rsid w:val="00A00D30"/>
    <w:rsid w:val="00A01AAD"/>
    <w:rsid w:val="00A07127"/>
    <w:rsid w:val="00A15293"/>
    <w:rsid w:val="00A33F50"/>
    <w:rsid w:val="00A34B23"/>
    <w:rsid w:val="00A35724"/>
    <w:rsid w:val="00A362F4"/>
    <w:rsid w:val="00A36F37"/>
    <w:rsid w:val="00A45A45"/>
    <w:rsid w:val="00A50F48"/>
    <w:rsid w:val="00A653F4"/>
    <w:rsid w:val="00A7070D"/>
    <w:rsid w:val="00A8443B"/>
    <w:rsid w:val="00A85699"/>
    <w:rsid w:val="00A91FB5"/>
    <w:rsid w:val="00AA5DFA"/>
    <w:rsid w:val="00AA616A"/>
    <w:rsid w:val="00AB7E3F"/>
    <w:rsid w:val="00AE3BE2"/>
    <w:rsid w:val="00AE457D"/>
    <w:rsid w:val="00AE5981"/>
    <w:rsid w:val="00AF7192"/>
    <w:rsid w:val="00B410DE"/>
    <w:rsid w:val="00B42B34"/>
    <w:rsid w:val="00B55333"/>
    <w:rsid w:val="00B75752"/>
    <w:rsid w:val="00B84A0B"/>
    <w:rsid w:val="00B85390"/>
    <w:rsid w:val="00BC51E6"/>
    <w:rsid w:val="00BE738D"/>
    <w:rsid w:val="00BF229A"/>
    <w:rsid w:val="00BF463E"/>
    <w:rsid w:val="00C03E7E"/>
    <w:rsid w:val="00C07D8F"/>
    <w:rsid w:val="00C164A9"/>
    <w:rsid w:val="00C23CC0"/>
    <w:rsid w:val="00C26EAD"/>
    <w:rsid w:val="00C2717C"/>
    <w:rsid w:val="00C34F67"/>
    <w:rsid w:val="00C453AB"/>
    <w:rsid w:val="00C516CF"/>
    <w:rsid w:val="00C57586"/>
    <w:rsid w:val="00C610D7"/>
    <w:rsid w:val="00C66E6C"/>
    <w:rsid w:val="00C8606E"/>
    <w:rsid w:val="00C87CEE"/>
    <w:rsid w:val="00C93E3C"/>
    <w:rsid w:val="00CA5ED8"/>
    <w:rsid w:val="00CB1557"/>
    <w:rsid w:val="00CB4780"/>
    <w:rsid w:val="00CE1A8F"/>
    <w:rsid w:val="00CE2A6E"/>
    <w:rsid w:val="00D17A99"/>
    <w:rsid w:val="00D24C6E"/>
    <w:rsid w:val="00D43AE1"/>
    <w:rsid w:val="00D47C9F"/>
    <w:rsid w:val="00D61E8A"/>
    <w:rsid w:val="00D63DD3"/>
    <w:rsid w:val="00D70021"/>
    <w:rsid w:val="00D84A76"/>
    <w:rsid w:val="00D86F4F"/>
    <w:rsid w:val="00DA0312"/>
    <w:rsid w:val="00DA478E"/>
    <w:rsid w:val="00DA7172"/>
    <w:rsid w:val="00DB7B36"/>
    <w:rsid w:val="00DC21DE"/>
    <w:rsid w:val="00DC2DBD"/>
    <w:rsid w:val="00DC2F0C"/>
    <w:rsid w:val="00DE0E3C"/>
    <w:rsid w:val="00DF2828"/>
    <w:rsid w:val="00E227B1"/>
    <w:rsid w:val="00E252F8"/>
    <w:rsid w:val="00E27115"/>
    <w:rsid w:val="00E30561"/>
    <w:rsid w:val="00E31490"/>
    <w:rsid w:val="00E34021"/>
    <w:rsid w:val="00E3628B"/>
    <w:rsid w:val="00E544A4"/>
    <w:rsid w:val="00E742FD"/>
    <w:rsid w:val="00E75698"/>
    <w:rsid w:val="00E84091"/>
    <w:rsid w:val="00EB2FCD"/>
    <w:rsid w:val="00EB710D"/>
    <w:rsid w:val="00ED2546"/>
    <w:rsid w:val="00ED29F8"/>
    <w:rsid w:val="00EF0798"/>
    <w:rsid w:val="00EF4B7D"/>
    <w:rsid w:val="00F03498"/>
    <w:rsid w:val="00F03ECA"/>
    <w:rsid w:val="00F0414E"/>
    <w:rsid w:val="00F10881"/>
    <w:rsid w:val="00F35AB7"/>
    <w:rsid w:val="00F40B26"/>
    <w:rsid w:val="00F445BD"/>
    <w:rsid w:val="00F60A94"/>
    <w:rsid w:val="00F63F09"/>
    <w:rsid w:val="00F66647"/>
    <w:rsid w:val="00F74B25"/>
    <w:rsid w:val="00F7649B"/>
    <w:rsid w:val="00F83A35"/>
    <w:rsid w:val="00F9111C"/>
    <w:rsid w:val="00FA2668"/>
    <w:rsid w:val="00FA3F09"/>
    <w:rsid w:val="00FD65EB"/>
    <w:rsid w:val="00FE2428"/>
    <w:rsid w:val="00FE4D88"/>
    <w:rsid w:val="01711C7B"/>
    <w:rsid w:val="05E8BD77"/>
    <w:rsid w:val="05FAAFC5"/>
    <w:rsid w:val="08E333C9"/>
    <w:rsid w:val="09859FE1"/>
    <w:rsid w:val="0D3EB089"/>
    <w:rsid w:val="0D4B34CF"/>
    <w:rsid w:val="1027B4F9"/>
    <w:rsid w:val="17C7E233"/>
    <w:rsid w:val="1945974C"/>
    <w:rsid w:val="19710DA1"/>
    <w:rsid w:val="1974F93E"/>
    <w:rsid w:val="1C04C1B8"/>
    <w:rsid w:val="1CD0B9C4"/>
    <w:rsid w:val="1E45B686"/>
    <w:rsid w:val="1FADA799"/>
    <w:rsid w:val="20F4BD56"/>
    <w:rsid w:val="226C5A6E"/>
    <w:rsid w:val="233130F7"/>
    <w:rsid w:val="24D9F891"/>
    <w:rsid w:val="25360C78"/>
    <w:rsid w:val="2632B09E"/>
    <w:rsid w:val="271CCA15"/>
    <w:rsid w:val="279D484E"/>
    <w:rsid w:val="2B3A7B03"/>
    <w:rsid w:val="2E898F9A"/>
    <w:rsid w:val="2F68B362"/>
    <w:rsid w:val="33356ABB"/>
    <w:rsid w:val="37C55433"/>
    <w:rsid w:val="3E210D53"/>
    <w:rsid w:val="4050F88B"/>
    <w:rsid w:val="4529AAE0"/>
    <w:rsid w:val="471FDABE"/>
    <w:rsid w:val="477E2DB1"/>
    <w:rsid w:val="488E17FB"/>
    <w:rsid w:val="49A7F2BC"/>
    <w:rsid w:val="4C3E1324"/>
    <w:rsid w:val="4CF7315E"/>
    <w:rsid w:val="51A16487"/>
    <w:rsid w:val="5D4B643B"/>
    <w:rsid w:val="5F670495"/>
    <w:rsid w:val="62890CD4"/>
    <w:rsid w:val="6805AD78"/>
    <w:rsid w:val="6A973C76"/>
    <w:rsid w:val="6AFA1203"/>
    <w:rsid w:val="6B0631BA"/>
    <w:rsid w:val="6CBED662"/>
    <w:rsid w:val="6FF0F063"/>
    <w:rsid w:val="70E4B4B1"/>
    <w:rsid w:val="73C4F053"/>
    <w:rsid w:val="786337A5"/>
    <w:rsid w:val="7B3BB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E8BF"/>
  <w15:docId w15:val="{18770F92-21C8-43F2-96F8-B30692291B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1A35"/>
    <w:rPr>
      <w:rFonts w:eastAsiaTheme="majorEastAsia" w:cstheme="majorBidi"/>
      <w:b/>
      <w:bCs/>
      <w:sz w:val="36"/>
      <w:szCs w:val="28"/>
    </w:rPr>
  </w:style>
  <w:style w:type="character" w:styleId="Heading2Char" w:customStyle="1">
    <w:name w:val="Heading 2 Char"/>
    <w:basedOn w:val="DefaultParagraphFont"/>
    <w:link w:val="Heading2"/>
    <w:uiPriority w:val="9"/>
    <w:rsid w:val="00811A35"/>
    <w:rPr>
      <w:rFonts w:eastAsiaTheme="majorEastAsia" w:cstheme="majorBidi"/>
      <w:b/>
      <w:bCs/>
      <w:sz w:val="32"/>
      <w:szCs w:val="26"/>
    </w:rPr>
  </w:style>
  <w:style w:type="character" w:styleId="Heading3Char" w:customStyle="1">
    <w:name w:val="Heading 3 Char"/>
    <w:basedOn w:val="DefaultParagraphFont"/>
    <w:link w:val="Heading3"/>
    <w:uiPriority w:val="9"/>
    <w:rsid w:val="00811A35"/>
    <w:rPr>
      <w:rFonts w:eastAsiaTheme="majorEastAsia" w:cstheme="majorBidi"/>
      <w:b/>
      <w:bCs/>
      <w:sz w:val="28"/>
    </w:rPr>
  </w:style>
  <w:style w:type="character" w:styleId="Heading4Char" w:customStyle="1">
    <w:name w:val="Heading 4 Char"/>
    <w:basedOn w:val="DefaultParagraphFont"/>
    <w:link w:val="Heading4"/>
    <w:uiPriority w:val="9"/>
    <w:rsid w:val="00811A35"/>
    <w:rPr>
      <w:rFonts w:eastAsiaTheme="majorEastAsia" w:cstheme="majorBidi"/>
      <w:b/>
      <w:bCs/>
      <w:iCs/>
      <w:sz w:val="26"/>
    </w:rPr>
  </w:style>
  <w:style w:type="character" w:styleId="Heading5Char" w:customStyle="1">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qFormat/>
    <w:rsid w:val="00811A35"/>
    <w:pPr>
      <w:ind w:left="720"/>
      <w:contextualSpacing/>
    </w:pPr>
  </w:style>
  <w:style w:type="paragraph" w:styleId="Bulletlist" w:customStyle="1">
    <w:name w:val="Bullet list"/>
    <w:basedOn w:val="ListParagraph"/>
    <w:link w:val="BulletlistChar"/>
    <w:qFormat/>
    <w:rsid w:val="00811A35"/>
    <w:pPr>
      <w:numPr>
        <w:numId w:val="1"/>
      </w:numPr>
    </w:pPr>
  </w:style>
  <w:style w:type="paragraph" w:styleId="Headers" w:customStyle="1">
    <w:name w:val="Headers"/>
    <w:basedOn w:val="Header"/>
    <w:link w:val="HeadersChar"/>
    <w:rsid w:val="00CA5ED8"/>
    <w:rPr>
      <w:noProof/>
      <w:lang w:eastAsia="en-GB"/>
    </w:rPr>
  </w:style>
  <w:style w:type="character" w:styleId="ListParagraphChar" w:customStyle="1">
    <w:name w:val="List Paragraph Char"/>
    <w:basedOn w:val="DefaultParagraphFont"/>
    <w:link w:val="ListParagraph"/>
    <w:uiPriority w:val="34"/>
    <w:rsid w:val="00811A35"/>
    <w:rPr>
      <w:sz w:val="24"/>
    </w:rPr>
  </w:style>
  <w:style w:type="character" w:styleId="BulletlistChar" w:customStyle="1">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styleId="HeadersChar" w:customStyle="1">
    <w:name w:val="Headers Char"/>
    <w:basedOn w:val="HeaderChar"/>
    <w:link w:val="Headers"/>
    <w:rsid w:val="00CA5ED8"/>
    <w:rPr>
      <w:noProof/>
      <w:sz w:val="24"/>
      <w:lang w:eastAsia="en-GB"/>
    </w:rPr>
  </w:style>
  <w:style w:type="paragraph" w:styleId="Numberlist" w:customStyle="1">
    <w:name w:val="Number list"/>
    <w:basedOn w:val="ListParagraph"/>
    <w:link w:val="NumberlistChar"/>
    <w:qFormat/>
    <w:rsid w:val="008B2514"/>
    <w:pPr>
      <w:numPr>
        <w:numId w:val="12"/>
      </w:numPr>
    </w:pPr>
  </w:style>
  <w:style w:type="character" w:styleId="NumberlistChar" w:customStyle="1">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 w:type="paragraph" w:styleId="paragraph" w:customStyle="1">
    <w:name w:val="paragraph"/>
    <w:basedOn w:val="Normal"/>
    <w:rsid w:val="00C07D8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C07D8F"/>
  </w:style>
  <w:style w:type="character" w:styleId="eop" w:customStyle="1">
    <w:name w:val="eop"/>
    <w:basedOn w:val="DefaultParagraphFont"/>
    <w:rsid w:val="00C07D8F"/>
  </w:style>
  <w:style w:type="character" w:styleId="tabchar" w:customStyle="1">
    <w:name w:val="tabchar"/>
    <w:basedOn w:val="DefaultParagraphFont"/>
    <w:rsid w:val="000D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customXml/itemProps2.xml><?xml version="1.0" encoding="utf-8"?>
<ds:datastoreItem xmlns:ds="http://schemas.openxmlformats.org/officeDocument/2006/customXml" ds:itemID="{34E6E9EF-03E5-4D32-8053-1EB8109E6CE5}"/>
</file>

<file path=customXml/itemProps3.xml><?xml version="1.0" encoding="utf-8"?>
<ds:datastoreItem xmlns:ds="http://schemas.openxmlformats.org/officeDocument/2006/customXml" ds:itemID="{A74CDD7A-B9E3-4914-BC79-F874FCA5463D}">
  <ds:schemaRefs>
    <ds:schemaRef ds:uri="http://schemas.microsoft.com/sharepoint/v3/contenttype/forms"/>
  </ds:schemaRefs>
</ds:datastoreItem>
</file>

<file path=customXml/itemProps4.xml><?xml version="1.0" encoding="utf-8"?>
<ds:datastoreItem xmlns:ds="http://schemas.openxmlformats.org/officeDocument/2006/customXml" ds:itemID="{2C62A5CE-1866-4E20-ADC3-FE0E235BF824}">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BFW Hospitals NHS Foundation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Rossall</dc:creator>
  <cp:lastModifiedBy>MOORE, Rachael (NHS LANCASHIRE AND SOUTH CUMBRIA ICB - 00R)</cp:lastModifiedBy>
  <cp:revision>141</cp:revision>
  <dcterms:created xsi:type="dcterms:W3CDTF">2026-05-19T11:58:00Z</dcterms:created>
  <dcterms:modified xsi:type="dcterms:W3CDTF">2026-05-22T09:28:08Z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docLang">
    <vt:lpwstr>en</vt:lpwstr>
  </property>
  <property fmtid="{D5CDD505-2E9C-101B-9397-08002B2CF9AE}" pid="4" name="MediaServiceImageTags">
    <vt:lpwstr/>
  </property>
</Properties>
</file>