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2A53" w:rsidR="00D8683A" w:rsidP="00D8683A" w:rsidRDefault="00D8683A" w14:paraId="1A31C215" w14:textId="77777777">
      <w:pPr>
        <w:pStyle w:val="Heading1"/>
        <w:spacing w:before="120" w:line="240" w:lineRule="auto"/>
        <w:jc w:val="center"/>
        <w:rPr>
          <w:sz w:val="28"/>
        </w:rPr>
      </w:pPr>
      <w:r w:rsidRPr="00C32A53">
        <w:rPr>
          <w:sz w:val="28"/>
        </w:rPr>
        <w:t>L &amp; SC Integrated Care Board</w:t>
      </w:r>
    </w:p>
    <w:p w:rsidRPr="00D8683A" w:rsidR="00D8683A" w:rsidP="00D8683A" w:rsidRDefault="00D8683A" w14:paraId="01EF6D2F" w14:textId="77777777">
      <w:pPr>
        <w:pStyle w:val="Heading1"/>
        <w:spacing w:before="120" w:line="240" w:lineRule="auto"/>
        <w:jc w:val="center"/>
        <w:rPr>
          <w:sz w:val="28"/>
        </w:rPr>
      </w:pPr>
      <w:r w:rsidRPr="00C32A53">
        <w:rPr>
          <w:sz w:val="28"/>
        </w:rPr>
        <w:t>Primary Care Contracts Sub-committee</w:t>
      </w:r>
    </w:p>
    <w:p w:rsidRPr="00DA478E" w:rsidR="00CA5ED8" w:rsidP="001756FC" w:rsidRDefault="00CA5ED8" w14:paraId="29518CD7" w14:textId="77777777">
      <w:pPr>
        <w:spacing w:after="120" w:line="240" w:lineRule="auto"/>
        <w:rPr>
          <w:sz w:val="22"/>
        </w:rPr>
      </w:pPr>
    </w:p>
    <w:tbl>
      <w:tblPr>
        <w:tblStyle w:val="TableGrid"/>
        <w:tblW w:w="0" w:type="auto"/>
        <w:tblLook w:val="04A0" w:firstRow="1" w:lastRow="0" w:firstColumn="1" w:lastColumn="0" w:noHBand="0" w:noVBand="1"/>
      </w:tblPr>
      <w:tblGrid>
        <w:gridCol w:w="2209"/>
        <w:gridCol w:w="6807"/>
      </w:tblGrid>
      <w:tr w:rsidRPr="00972E8A" w:rsidR="009C0B4C" w:rsidTr="0C3BD881" w14:paraId="7E2E2A7F" w14:textId="77777777">
        <w:trPr>
          <w:trHeight w:val="340"/>
        </w:trPr>
        <w:tc>
          <w:tcPr>
            <w:tcW w:w="2209" w:type="dxa"/>
            <w:tcBorders>
              <w:bottom w:val="single" w:color="auto" w:sz="4" w:space="0"/>
            </w:tcBorders>
            <w:shd w:val="clear" w:color="auto" w:fill="C6D9F1" w:themeFill="text2" w:themeFillTint="33"/>
            <w:tcMar/>
          </w:tcPr>
          <w:p w:rsidRPr="00972E8A" w:rsidR="009C0B4C" w:rsidP="001756FC" w:rsidRDefault="009C0B4C" w14:paraId="3894E28E" w14:textId="77777777">
            <w:pPr>
              <w:pStyle w:val="Numberlist"/>
              <w:numPr>
                <w:ilvl w:val="0"/>
                <w:numId w:val="0"/>
              </w:numPr>
              <w:spacing w:after="120"/>
              <w:rPr>
                <w:b/>
                <w:szCs w:val="24"/>
              </w:rPr>
            </w:pPr>
            <w:r w:rsidRPr="00972E8A">
              <w:rPr>
                <w:b/>
                <w:szCs w:val="24"/>
              </w:rPr>
              <w:t>Date of meeting</w:t>
            </w:r>
          </w:p>
        </w:tc>
        <w:tc>
          <w:tcPr>
            <w:tcW w:w="6807" w:type="dxa"/>
            <w:tcBorders>
              <w:bottom w:val="single" w:color="auto" w:sz="4" w:space="0"/>
            </w:tcBorders>
            <w:tcMar/>
          </w:tcPr>
          <w:p w:rsidRPr="00972E8A" w:rsidR="009C0B4C" w:rsidP="09A1B54F" w:rsidRDefault="003A27CA" w14:paraId="42C4423E" w14:textId="5A1BCE66">
            <w:pPr>
              <w:pStyle w:val="Numberlist"/>
              <w:numPr>
                <w:ilvl w:val="0"/>
                <w:numId w:val="0"/>
              </w:numPr>
              <w:spacing w:after="120"/>
            </w:pPr>
            <w:r w:rsidR="79D60067">
              <w:rPr/>
              <w:t>2</w:t>
            </w:r>
            <w:r w:rsidR="246296C8">
              <w:rPr/>
              <w:t>7</w:t>
            </w:r>
            <w:r w:rsidRPr="0C3BD881" w:rsidR="246296C8">
              <w:rPr>
                <w:vertAlign w:val="superscript"/>
              </w:rPr>
              <w:t>th</w:t>
            </w:r>
            <w:r w:rsidR="246296C8">
              <w:rPr/>
              <w:t xml:space="preserve"> </w:t>
            </w:r>
            <w:r w:rsidR="003A27CA">
              <w:rPr/>
              <w:t>May 2026</w:t>
            </w:r>
          </w:p>
        </w:tc>
      </w:tr>
      <w:tr w:rsidRPr="00972E8A" w:rsidR="009C0B4C" w:rsidTr="0C3BD881" w14:paraId="4DBE3C44" w14:textId="77777777">
        <w:trPr>
          <w:trHeight w:val="340"/>
        </w:trPr>
        <w:tc>
          <w:tcPr>
            <w:tcW w:w="2209" w:type="dxa"/>
            <w:tcBorders>
              <w:bottom w:val="single" w:color="auto" w:sz="4" w:space="0"/>
            </w:tcBorders>
            <w:shd w:val="clear" w:color="auto" w:fill="C6D9F1" w:themeFill="text2" w:themeFillTint="33"/>
            <w:tcMar/>
          </w:tcPr>
          <w:p w:rsidRPr="00972E8A" w:rsidR="009C0B4C" w:rsidP="00955869" w:rsidRDefault="009C0B4C" w14:paraId="4C215281" w14:textId="77777777">
            <w:pPr>
              <w:pStyle w:val="Numberlist"/>
              <w:numPr>
                <w:ilvl w:val="0"/>
                <w:numId w:val="0"/>
              </w:numPr>
              <w:rPr>
                <w:b/>
                <w:szCs w:val="24"/>
              </w:rPr>
            </w:pPr>
            <w:r w:rsidRPr="00972E8A">
              <w:rPr>
                <w:b/>
                <w:szCs w:val="24"/>
              </w:rPr>
              <w:t>Title of paper</w:t>
            </w:r>
          </w:p>
        </w:tc>
        <w:tc>
          <w:tcPr>
            <w:tcW w:w="6807" w:type="dxa"/>
            <w:tcBorders>
              <w:bottom w:val="single" w:color="auto" w:sz="4" w:space="0"/>
            </w:tcBorders>
            <w:tcMar/>
          </w:tcPr>
          <w:p w:rsidRPr="00972E8A" w:rsidR="009C0B4C" w:rsidP="00955869" w:rsidRDefault="003A27CA" w14:paraId="35670F2F" w14:textId="4AB31E98">
            <w:pPr>
              <w:pStyle w:val="Numberlist"/>
              <w:numPr>
                <w:ilvl w:val="0"/>
                <w:numId w:val="0"/>
              </w:numPr>
              <w:rPr>
                <w:bCs/>
                <w:szCs w:val="24"/>
              </w:rPr>
            </w:pPr>
            <w:r>
              <w:rPr>
                <w:bCs/>
                <w:szCs w:val="24"/>
              </w:rPr>
              <w:t xml:space="preserve">Dental Access Review </w:t>
            </w:r>
            <w:r w:rsidR="00AB13B7">
              <w:rPr>
                <w:bCs/>
                <w:szCs w:val="24"/>
              </w:rPr>
              <w:t>and Service Delivery Recommendations for the Fylde Coast</w:t>
            </w:r>
          </w:p>
        </w:tc>
      </w:tr>
      <w:tr w:rsidRPr="00972E8A" w:rsidR="009C0B4C" w:rsidTr="0C3BD881" w14:paraId="3C72285A" w14:textId="77777777">
        <w:trPr>
          <w:trHeight w:val="340"/>
        </w:trPr>
        <w:tc>
          <w:tcPr>
            <w:tcW w:w="2209" w:type="dxa"/>
            <w:tcBorders>
              <w:bottom w:val="single" w:color="auto" w:sz="4" w:space="0"/>
            </w:tcBorders>
            <w:shd w:val="clear" w:color="auto" w:fill="C6D9F1" w:themeFill="text2" w:themeFillTint="33"/>
            <w:tcMar/>
          </w:tcPr>
          <w:p w:rsidRPr="00972E8A" w:rsidR="009C0B4C" w:rsidP="00955869" w:rsidRDefault="009C0B4C" w14:paraId="161ACD67" w14:textId="77777777">
            <w:pPr>
              <w:pStyle w:val="Numberlist"/>
              <w:numPr>
                <w:ilvl w:val="0"/>
                <w:numId w:val="0"/>
              </w:numPr>
              <w:rPr>
                <w:b/>
                <w:szCs w:val="24"/>
              </w:rPr>
            </w:pPr>
            <w:r w:rsidRPr="00972E8A">
              <w:rPr>
                <w:b/>
                <w:szCs w:val="24"/>
              </w:rPr>
              <w:t>Presented by</w:t>
            </w:r>
          </w:p>
        </w:tc>
        <w:tc>
          <w:tcPr>
            <w:tcW w:w="6807" w:type="dxa"/>
            <w:tcBorders>
              <w:bottom w:val="single" w:color="auto" w:sz="4" w:space="0"/>
            </w:tcBorders>
            <w:tcMar/>
          </w:tcPr>
          <w:p w:rsidR="009C0B4C" w:rsidP="00955869" w:rsidRDefault="00AB13B7" w14:paraId="125FAF15" w14:textId="77777777">
            <w:pPr>
              <w:pStyle w:val="Numberlist"/>
              <w:numPr>
                <w:ilvl w:val="0"/>
                <w:numId w:val="0"/>
              </w:numPr>
              <w:rPr>
                <w:bCs/>
                <w:szCs w:val="24"/>
              </w:rPr>
            </w:pPr>
            <w:r>
              <w:rPr>
                <w:bCs/>
                <w:szCs w:val="24"/>
              </w:rPr>
              <w:t>Sarah Bloy, Head of Primary Care</w:t>
            </w:r>
          </w:p>
          <w:p w:rsidRPr="00972E8A" w:rsidR="00AB13B7" w:rsidP="00955869" w:rsidRDefault="00AB13B7" w14:paraId="1D46B3F3" w14:textId="41BBD7FD">
            <w:pPr>
              <w:pStyle w:val="Numberlist"/>
              <w:numPr>
                <w:ilvl w:val="0"/>
                <w:numId w:val="0"/>
              </w:numPr>
              <w:rPr>
                <w:bCs/>
                <w:szCs w:val="24"/>
              </w:rPr>
            </w:pPr>
            <w:r>
              <w:rPr>
                <w:bCs/>
                <w:szCs w:val="24"/>
              </w:rPr>
              <w:t>Nick Barkworth, Senior Primary Care Delivery Manager</w:t>
            </w:r>
          </w:p>
        </w:tc>
      </w:tr>
      <w:tr w:rsidRPr="00972E8A" w:rsidR="00AB13B7" w:rsidTr="0C3BD881" w14:paraId="2680C51B" w14:textId="77777777">
        <w:trPr>
          <w:trHeight w:val="340"/>
        </w:trPr>
        <w:tc>
          <w:tcPr>
            <w:tcW w:w="2209" w:type="dxa"/>
            <w:tcBorders>
              <w:bottom w:val="single" w:color="auto" w:sz="4" w:space="0"/>
            </w:tcBorders>
            <w:shd w:val="clear" w:color="auto" w:fill="C6D9F1" w:themeFill="text2" w:themeFillTint="33"/>
            <w:tcMar/>
          </w:tcPr>
          <w:p w:rsidRPr="00972E8A" w:rsidR="00AB13B7" w:rsidP="00AB13B7" w:rsidRDefault="00AB13B7" w14:paraId="0282CB95" w14:textId="77777777">
            <w:pPr>
              <w:pStyle w:val="Numberlist"/>
              <w:numPr>
                <w:ilvl w:val="0"/>
                <w:numId w:val="0"/>
              </w:numPr>
              <w:rPr>
                <w:b/>
                <w:szCs w:val="24"/>
              </w:rPr>
            </w:pPr>
            <w:r w:rsidRPr="00972E8A">
              <w:rPr>
                <w:b/>
                <w:szCs w:val="24"/>
              </w:rPr>
              <w:t>Author</w:t>
            </w:r>
          </w:p>
        </w:tc>
        <w:tc>
          <w:tcPr>
            <w:tcW w:w="6807" w:type="dxa"/>
            <w:tcBorders>
              <w:bottom w:val="single" w:color="auto" w:sz="4" w:space="0"/>
            </w:tcBorders>
            <w:tcMar/>
          </w:tcPr>
          <w:p w:rsidR="00AB13B7" w:rsidP="00AB13B7" w:rsidRDefault="00AB13B7" w14:paraId="051FCF4F" w14:textId="77777777">
            <w:pPr>
              <w:pStyle w:val="Numberlist"/>
              <w:numPr>
                <w:ilvl w:val="0"/>
                <w:numId w:val="0"/>
              </w:numPr>
              <w:rPr>
                <w:bCs/>
                <w:szCs w:val="24"/>
              </w:rPr>
            </w:pPr>
            <w:r>
              <w:rPr>
                <w:bCs/>
                <w:szCs w:val="24"/>
              </w:rPr>
              <w:t>Sarah Bloy, Head of Primary Care</w:t>
            </w:r>
          </w:p>
          <w:p w:rsidR="00AB13B7" w:rsidP="00AB13B7" w:rsidRDefault="00AB13B7" w14:paraId="0BD38AB6" w14:textId="77777777">
            <w:pPr>
              <w:pStyle w:val="Numberlist"/>
              <w:numPr>
                <w:ilvl w:val="0"/>
                <w:numId w:val="0"/>
              </w:numPr>
              <w:rPr>
                <w:bCs/>
                <w:szCs w:val="24"/>
              </w:rPr>
            </w:pPr>
            <w:r>
              <w:rPr>
                <w:bCs/>
                <w:szCs w:val="24"/>
              </w:rPr>
              <w:t>Nick Barkworth, Senior Primary Care Delivery Manager</w:t>
            </w:r>
          </w:p>
          <w:p w:rsidR="00AB13B7" w:rsidP="00AB13B7" w:rsidRDefault="00AB13B7" w14:paraId="1D5F4796" w14:textId="18E41B79">
            <w:pPr>
              <w:pStyle w:val="Numberlist"/>
              <w:numPr>
                <w:ilvl w:val="0"/>
                <w:numId w:val="0"/>
              </w:numPr>
              <w:rPr>
                <w:bCs/>
                <w:szCs w:val="24"/>
              </w:rPr>
            </w:pPr>
            <w:r>
              <w:rPr>
                <w:bCs/>
                <w:szCs w:val="24"/>
              </w:rPr>
              <w:t>Deborah Moore, Consultant in Dental Public Health</w:t>
            </w:r>
          </w:p>
          <w:p w:rsidRPr="00972E8A" w:rsidR="00AB13B7" w:rsidP="00AB13B7" w:rsidRDefault="00AB13B7" w14:paraId="6EC8C029" w14:textId="0C1294FC">
            <w:pPr>
              <w:pStyle w:val="Numberlist"/>
              <w:numPr>
                <w:ilvl w:val="0"/>
                <w:numId w:val="0"/>
              </w:numPr>
              <w:rPr>
                <w:bCs/>
                <w:szCs w:val="24"/>
              </w:rPr>
            </w:pPr>
            <w:r>
              <w:rPr>
                <w:bCs/>
                <w:szCs w:val="24"/>
              </w:rPr>
              <w:t>Dan Clough, Communications and Engagement Manager</w:t>
            </w:r>
          </w:p>
        </w:tc>
      </w:tr>
      <w:tr w:rsidRPr="00972E8A" w:rsidR="00AB13B7" w:rsidTr="0C3BD881" w14:paraId="75B5DCD4" w14:textId="77777777">
        <w:trPr>
          <w:trHeight w:val="340"/>
        </w:trPr>
        <w:tc>
          <w:tcPr>
            <w:tcW w:w="2209" w:type="dxa"/>
            <w:tcBorders>
              <w:bottom w:val="single" w:color="auto" w:sz="4" w:space="0"/>
            </w:tcBorders>
            <w:shd w:val="clear" w:color="auto" w:fill="C6D9F1" w:themeFill="text2" w:themeFillTint="33"/>
            <w:tcMar/>
          </w:tcPr>
          <w:p w:rsidRPr="00972E8A" w:rsidR="00AB13B7" w:rsidP="00AB13B7" w:rsidRDefault="00AB13B7" w14:paraId="3516700E" w14:textId="77777777">
            <w:pPr>
              <w:pStyle w:val="Numberlist"/>
              <w:numPr>
                <w:ilvl w:val="0"/>
                <w:numId w:val="0"/>
              </w:numPr>
              <w:rPr>
                <w:b/>
                <w:szCs w:val="24"/>
              </w:rPr>
            </w:pPr>
            <w:r w:rsidRPr="00972E8A">
              <w:rPr>
                <w:b/>
                <w:szCs w:val="24"/>
              </w:rPr>
              <w:t>Agenda item</w:t>
            </w:r>
          </w:p>
        </w:tc>
        <w:tc>
          <w:tcPr>
            <w:tcW w:w="6807" w:type="dxa"/>
            <w:tcBorders>
              <w:bottom w:val="single" w:color="auto" w:sz="4" w:space="0"/>
            </w:tcBorders>
            <w:tcMar/>
          </w:tcPr>
          <w:p w:rsidRPr="00972E8A" w:rsidR="00AB13B7" w:rsidP="00AB13B7" w:rsidRDefault="00AB13B7" w14:paraId="38D59B5C" w14:textId="5EBEECE9">
            <w:pPr>
              <w:pStyle w:val="Numberlist"/>
              <w:numPr>
                <w:ilvl w:val="0"/>
                <w:numId w:val="0"/>
              </w:numPr>
            </w:pPr>
            <w:r w:rsidR="7DA66351">
              <w:rPr/>
              <w:t>8</w:t>
            </w:r>
          </w:p>
        </w:tc>
      </w:tr>
      <w:tr w:rsidRPr="00972E8A" w:rsidR="00AB13B7" w:rsidTr="0C3BD881" w14:paraId="69F6B4EA" w14:textId="77777777">
        <w:trPr>
          <w:trHeight w:val="340"/>
        </w:trPr>
        <w:tc>
          <w:tcPr>
            <w:tcW w:w="2209" w:type="dxa"/>
            <w:tcBorders>
              <w:bottom w:val="single" w:color="auto" w:sz="4" w:space="0"/>
            </w:tcBorders>
            <w:shd w:val="clear" w:color="auto" w:fill="C6D9F1" w:themeFill="text2" w:themeFillTint="33"/>
            <w:tcMar/>
          </w:tcPr>
          <w:p w:rsidRPr="00972E8A" w:rsidR="00AB13B7" w:rsidP="00AB13B7" w:rsidRDefault="00AB13B7" w14:paraId="5CE5AAFF" w14:textId="77777777">
            <w:pPr>
              <w:pStyle w:val="Numberlist"/>
              <w:numPr>
                <w:ilvl w:val="0"/>
                <w:numId w:val="0"/>
              </w:numPr>
              <w:rPr>
                <w:b/>
                <w:szCs w:val="24"/>
              </w:rPr>
            </w:pPr>
            <w:r w:rsidRPr="00972E8A">
              <w:rPr>
                <w:b/>
                <w:szCs w:val="24"/>
              </w:rPr>
              <w:t xml:space="preserve">Confidential </w:t>
            </w:r>
          </w:p>
        </w:tc>
        <w:tc>
          <w:tcPr>
            <w:tcW w:w="6807" w:type="dxa"/>
            <w:tcBorders>
              <w:bottom w:val="single" w:color="auto" w:sz="4" w:space="0"/>
            </w:tcBorders>
            <w:tcMar/>
          </w:tcPr>
          <w:p w:rsidRPr="00972E8A" w:rsidR="00AB13B7" w:rsidP="00AB13B7" w:rsidRDefault="00AB13B7" w14:paraId="71DDEDBF" w14:textId="5E7493CF">
            <w:pPr>
              <w:pStyle w:val="Numberlist"/>
              <w:numPr>
                <w:ilvl w:val="0"/>
                <w:numId w:val="0"/>
              </w:numPr>
              <w:rPr>
                <w:bCs/>
                <w:szCs w:val="24"/>
              </w:rPr>
            </w:pPr>
            <w:r>
              <w:rPr>
                <w:bCs/>
                <w:szCs w:val="24"/>
              </w:rPr>
              <w:t>No</w:t>
            </w:r>
          </w:p>
        </w:tc>
      </w:tr>
    </w:tbl>
    <w:p w:rsidRPr="00972E8A" w:rsidR="00A8443B" w:rsidP="00955869" w:rsidRDefault="00A8443B" w14:paraId="38877104" w14:textId="77777777">
      <w:pPr>
        <w:pStyle w:val="Numberlist"/>
        <w:numPr>
          <w:ilvl w:val="0"/>
          <w:numId w:val="0"/>
        </w:numPr>
        <w:rPr>
          <w:szCs w:val="24"/>
        </w:rPr>
      </w:pPr>
    </w:p>
    <w:tbl>
      <w:tblPr>
        <w:tblStyle w:val="TableGrid"/>
        <w:tblW w:w="0" w:type="auto"/>
        <w:tblLook w:val="04A0" w:firstRow="1" w:lastRow="0" w:firstColumn="1" w:lastColumn="0" w:noHBand="0" w:noVBand="1"/>
      </w:tblPr>
      <w:tblGrid>
        <w:gridCol w:w="2999"/>
        <w:gridCol w:w="713"/>
        <w:gridCol w:w="702"/>
        <w:gridCol w:w="704"/>
        <w:gridCol w:w="902"/>
        <w:gridCol w:w="2996"/>
      </w:tblGrid>
      <w:tr w:rsidRPr="00972E8A" w:rsidR="001C595C" w:rsidTr="00904F72" w14:paraId="1B9B4866" w14:textId="77777777">
        <w:tc>
          <w:tcPr>
            <w:tcW w:w="9016" w:type="dxa"/>
            <w:gridSpan w:val="6"/>
            <w:shd w:val="clear" w:color="auto" w:fill="C6D9F1" w:themeFill="text2" w:themeFillTint="33"/>
          </w:tcPr>
          <w:p w:rsidRPr="00972E8A" w:rsidR="001C595C" w:rsidP="00955869" w:rsidRDefault="001C595C" w14:paraId="3F077188" w14:textId="77777777">
            <w:pPr>
              <w:pStyle w:val="Numberlist"/>
              <w:numPr>
                <w:ilvl w:val="0"/>
                <w:numId w:val="0"/>
              </w:numPr>
              <w:rPr>
                <w:b/>
                <w:szCs w:val="24"/>
              </w:rPr>
            </w:pPr>
            <w:r w:rsidRPr="00972E8A">
              <w:rPr>
                <w:b/>
                <w:szCs w:val="24"/>
              </w:rPr>
              <w:t>Purpose of the paper</w:t>
            </w:r>
          </w:p>
        </w:tc>
      </w:tr>
      <w:tr w:rsidRPr="00972E8A" w:rsidR="001C595C" w:rsidTr="00904F72" w14:paraId="25A49D1F" w14:textId="77777777">
        <w:tc>
          <w:tcPr>
            <w:tcW w:w="9016" w:type="dxa"/>
            <w:gridSpan w:val="6"/>
          </w:tcPr>
          <w:p w:rsidRPr="00972E8A" w:rsidR="00266DD3" w:rsidP="00266DD3" w:rsidRDefault="00AB13B7" w14:paraId="0719A20C" w14:textId="0896294F">
            <w:pPr>
              <w:pStyle w:val="Numberlist"/>
              <w:numPr>
                <w:ilvl w:val="0"/>
                <w:numId w:val="0"/>
              </w:numPr>
              <w:rPr>
                <w:szCs w:val="24"/>
              </w:rPr>
            </w:pPr>
            <w:r w:rsidRPr="007A27B7">
              <w:rPr>
                <w:rStyle w:val="normaltextrun"/>
                <w:color w:val="000000"/>
                <w:szCs w:val="24"/>
                <w:shd w:val="clear" w:color="auto" w:fill="FFFFFF"/>
              </w:rPr>
              <w:t>The purpose of this report is to review dental access across the Fylde Coast within the context of the restoration of care to pre-</w:t>
            </w:r>
            <w:r w:rsidR="009611AA">
              <w:rPr>
                <w:rStyle w:val="normaltextrun"/>
                <w:color w:val="000000"/>
                <w:szCs w:val="24"/>
                <w:shd w:val="clear" w:color="auto" w:fill="FFFFFF"/>
              </w:rPr>
              <w:t xml:space="preserve">COVID </w:t>
            </w:r>
            <w:r w:rsidRPr="007A27B7">
              <w:rPr>
                <w:rStyle w:val="normaltextrun"/>
                <w:color w:val="000000"/>
                <w:szCs w:val="24"/>
                <w:shd w:val="clear" w:color="auto" w:fill="FFFFFF"/>
              </w:rPr>
              <w:t>levels. One of the key objectives is to understand why dental access has not restored to pre-</w:t>
            </w:r>
            <w:proofErr w:type="gramStart"/>
            <w:r w:rsidR="009611AA">
              <w:rPr>
                <w:rStyle w:val="normaltextrun"/>
                <w:color w:val="000000"/>
                <w:szCs w:val="24"/>
                <w:shd w:val="clear" w:color="auto" w:fill="FFFFFF"/>
              </w:rPr>
              <w:t xml:space="preserve">COVID </w:t>
            </w:r>
            <w:r w:rsidRPr="007A27B7">
              <w:rPr>
                <w:rStyle w:val="normaltextrun"/>
                <w:color w:val="000000"/>
                <w:szCs w:val="24"/>
                <w:shd w:val="clear" w:color="auto" w:fill="FFFFFF"/>
              </w:rPr>
              <w:t xml:space="preserve"> levels</w:t>
            </w:r>
            <w:proofErr w:type="gramEnd"/>
            <w:r w:rsidRPr="007A27B7">
              <w:rPr>
                <w:rStyle w:val="normaltextrun"/>
                <w:color w:val="000000"/>
                <w:szCs w:val="24"/>
                <w:shd w:val="clear" w:color="auto" w:fill="FFFFFF"/>
              </w:rPr>
              <w:t>. The report consider</w:t>
            </w:r>
            <w:r w:rsidR="00A55051">
              <w:rPr>
                <w:rStyle w:val="normaltextrun"/>
                <w:color w:val="000000"/>
                <w:szCs w:val="24"/>
                <w:shd w:val="clear" w:color="auto" w:fill="FFFFFF"/>
              </w:rPr>
              <w:t>s</w:t>
            </w:r>
            <w:r w:rsidRPr="007A27B7">
              <w:rPr>
                <w:rStyle w:val="normaltextrun"/>
                <w:color w:val="000000"/>
                <w:szCs w:val="24"/>
                <w:shd w:val="clear" w:color="auto" w:fill="FFFFFF"/>
              </w:rPr>
              <w:t xml:space="preserve"> the history and pattern of commissioning in terms of the number of contracts and units of dental activity (UDAs) delivered on the Fylde Coast. The needs of the population </w:t>
            </w:r>
            <w:r w:rsidR="00A55051">
              <w:rPr>
                <w:rStyle w:val="normaltextrun"/>
                <w:color w:val="000000"/>
                <w:szCs w:val="24"/>
                <w:shd w:val="clear" w:color="auto" w:fill="FFFFFF"/>
              </w:rPr>
              <w:t>are</w:t>
            </w:r>
            <w:r w:rsidRPr="007A27B7">
              <w:rPr>
                <w:rStyle w:val="normaltextrun"/>
                <w:color w:val="000000"/>
                <w:szCs w:val="24"/>
                <w:shd w:val="clear" w:color="auto" w:fill="FFFFFF"/>
              </w:rPr>
              <w:t xml:space="preserve"> considered and recommendations made for the ICB to consider.</w:t>
            </w:r>
          </w:p>
          <w:p w:rsidRPr="00972E8A" w:rsidR="00266DD3" w:rsidP="00266DD3" w:rsidRDefault="00266DD3" w14:paraId="2F352A4D" w14:textId="1C87216A">
            <w:pPr>
              <w:pStyle w:val="Numberlist"/>
              <w:numPr>
                <w:ilvl w:val="0"/>
                <w:numId w:val="0"/>
              </w:numPr>
              <w:rPr>
                <w:szCs w:val="24"/>
              </w:rPr>
            </w:pPr>
          </w:p>
        </w:tc>
      </w:tr>
      <w:tr w:rsidRPr="00972E8A" w:rsidR="001C595C" w:rsidTr="00904F72" w14:paraId="40CD51DF" w14:textId="77777777">
        <w:tc>
          <w:tcPr>
            <w:tcW w:w="9016" w:type="dxa"/>
            <w:gridSpan w:val="6"/>
            <w:shd w:val="clear" w:color="auto" w:fill="C6D9F1" w:themeFill="text2" w:themeFillTint="33"/>
          </w:tcPr>
          <w:p w:rsidRPr="00972E8A" w:rsidR="001C595C" w:rsidP="00955869" w:rsidRDefault="001C595C" w14:paraId="372C7D3D" w14:textId="77777777">
            <w:pPr>
              <w:pStyle w:val="Numberlist"/>
              <w:numPr>
                <w:ilvl w:val="0"/>
                <w:numId w:val="0"/>
              </w:numPr>
              <w:rPr>
                <w:b/>
                <w:szCs w:val="24"/>
              </w:rPr>
            </w:pPr>
            <w:r w:rsidRPr="00972E8A">
              <w:rPr>
                <w:b/>
                <w:szCs w:val="24"/>
              </w:rPr>
              <w:t>Executive summary</w:t>
            </w:r>
          </w:p>
        </w:tc>
      </w:tr>
      <w:tr w:rsidRPr="00972E8A" w:rsidR="001C595C" w:rsidTr="00904F72" w14:paraId="3B94C6B5" w14:textId="77777777">
        <w:tc>
          <w:tcPr>
            <w:tcW w:w="9016" w:type="dxa"/>
            <w:gridSpan w:val="6"/>
          </w:tcPr>
          <w:p w:rsidRPr="00A55051" w:rsidR="00204CC2" w:rsidP="00204CC2" w:rsidRDefault="00204CC2" w14:paraId="3D5BA611" w14:textId="77777777">
            <w:pPr>
              <w:rPr>
                <w:szCs w:val="24"/>
              </w:rPr>
            </w:pPr>
            <w:r w:rsidRPr="00A55051">
              <w:rPr>
                <w:szCs w:val="24"/>
              </w:rPr>
              <w:t>Access to NHS dental care on the Fylde Coast has recovered more slowly than the rest of Lancashire and South Cumbria, with the most significant and persistent gaps seen in Blackpool and Wyre. Since 2022, these areas have experienced a disproportionate loss of NHS dental capacity due to contract hand</w:t>
            </w:r>
            <w:r w:rsidRPr="00A55051">
              <w:rPr>
                <w:szCs w:val="24"/>
              </w:rPr>
              <w:noBreakHyphen/>
            </w:r>
            <w:r w:rsidRPr="00A55051">
              <w:rPr>
                <w:szCs w:val="24"/>
              </w:rPr>
              <w:t>backs, with Blackpool facing the greatest disinvestment per head of population.</w:t>
            </w:r>
          </w:p>
          <w:p w:rsidRPr="00A55051" w:rsidR="00F90C7B" w:rsidP="00204CC2" w:rsidRDefault="00F90C7B" w14:paraId="03F89F9A" w14:textId="77777777">
            <w:pPr>
              <w:rPr>
                <w:szCs w:val="24"/>
              </w:rPr>
            </w:pPr>
          </w:p>
          <w:p w:rsidRPr="00A55051" w:rsidR="00204CC2" w:rsidP="00204CC2" w:rsidRDefault="00204CC2" w14:paraId="7FFEC120" w14:textId="77777777">
            <w:pPr>
              <w:rPr>
                <w:szCs w:val="24"/>
              </w:rPr>
            </w:pPr>
            <w:r w:rsidRPr="00A55051">
              <w:rPr>
                <w:szCs w:val="24"/>
              </w:rPr>
              <w:t>These access deficits sit alongside exceptionally high levels of deprivation and oral health need, particularly in Blackpool and Fleetwood, where disease burden is estimated to be 2–3.5 times higher than in more affluent areas. Child dental access in Blackpool remains the worst in the ICB, while Wyre now has the lowest overall access rate, despite previously performing well pre</w:t>
            </w:r>
            <w:r w:rsidRPr="00A55051">
              <w:rPr>
                <w:szCs w:val="24"/>
              </w:rPr>
              <w:noBreakHyphen/>
            </w:r>
            <w:r w:rsidRPr="00A55051">
              <w:rPr>
                <w:szCs w:val="24"/>
              </w:rPr>
              <w:t>COVID.</w:t>
            </w:r>
          </w:p>
          <w:p w:rsidRPr="00A55051" w:rsidR="00F90C7B" w:rsidP="00204CC2" w:rsidRDefault="00F90C7B" w14:paraId="115578E5" w14:textId="77777777">
            <w:pPr>
              <w:rPr>
                <w:szCs w:val="24"/>
              </w:rPr>
            </w:pPr>
          </w:p>
          <w:p w:rsidRPr="00A55051" w:rsidR="00204CC2" w:rsidP="00204CC2" w:rsidRDefault="00204CC2" w14:paraId="6B43D87E" w14:textId="19DB01B1">
            <w:pPr>
              <w:rPr>
                <w:szCs w:val="24"/>
              </w:rPr>
            </w:pPr>
            <w:r w:rsidRPr="00A55051">
              <w:rPr>
                <w:szCs w:val="24"/>
              </w:rPr>
              <w:t xml:space="preserve">Patient and public feedback consistently highlights that for many </w:t>
            </w:r>
            <w:r w:rsidRPr="00A55051" w:rsidR="00B841FC">
              <w:rPr>
                <w:szCs w:val="24"/>
              </w:rPr>
              <w:t>residents’</w:t>
            </w:r>
            <w:r w:rsidRPr="00A55051">
              <w:rPr>
                <w:szCs w:val="24"/>
              </w:rPr>
              <w:t xml:space="preserve"> NHS dentistry is effectively unavailable, driving increased reliance on private care, widening inequalities, and avoidable pain and distress.</w:t>
            </w:r>
          </w:p>
          <w:p w:rsidRPr="00A55051" w:rsidR="00F90C7B" w:rsidP="00204CC2" w:rsidRDefault="00F90C7B" w14:paraId="34F60D3D" w14:textId="77777777">
            <w:pPr>
              <w:rPr>
                <w:szCs w:val="24"/>
              </w:rPr>
            </w:pPr>
          </w:p>
          <w:p w:rsidRPr="00A55051" w:rsidR="00266DD3" w:rsidP="007A7298" w:rsidRDefault="00204CC2" w14:paraId="1FCAA125" w14:textId="5C4FDB55">
            <w:pPr>
              <w:rPr>
                <w:szCs w:val="24"/>
              </w:rPr>
            </w:pPr>
            <w:r w:rsidRPr="00A55051">
              <w:rPr>
                <w:szCs w:val="24"/>
              </w:rPr>
              <w:t>Given national funding constraints, the report concludes that recovery to pre</w:t>
            </w:r>
            <w:r w:rsidRPr="00A55051">
              <w:rPr>
                <w:szCs w:val="24"/>
              </w:rPr>
              <w:noBreakHyphen/>
            </w:r>
            <w:r w:rsidRPr="00A55051">
              <w:rPr>
                <w:szCs w:val="24"/>
              </w:rPr>
              <w:t xml:space="preserve">COVID activity alone is insufficient and recommends </w:t>
            </w:r>
            <w:r w:rsidR="00ED0AC5">
              <w:rPr>
                <w:szCs w:val="24"/>
              </w:rPr>
              <w:t>using the denta</w:t>
            </w:r>
            <w:r w:rsidR="00BE06CE">
              <w:rPr>
                <w:szCs w:val="24"/>
              </w:rPr>
              <w:t>l</w:t>
            </w:r>
            <w:r w:rsidR="00ED0AC5">
              <w:rPr>
                <w:szCs w:val="24"/>
              </w:rPr>
              <w:t xml:space="preserve"> ring fence </w:t>
            </w:r>
            <w:r w:rsidR="00BE06CE">
              <w:rPr>
                <w:szCs w:val="24"/>
              </w:rPr>
              <w:t xml:space="preserve">to support a </w:t>
            </w:r>
            <w:r w:rsidRPr="00A55051">
              <w:rPr>
                <w:szCs w:val="24"/>
              </w:rPr>
              <w:t>targeted, deprivation</w:t>
            </w:r>
            <w:r w:rsidRPr="00A55051">
              <w:rPr>
                <w:szCs w:val="24"/>
              </w:rPr>
              <w:noBreakHyphen/>
            </w:r>
            <w:r w:rsidRPr="00A55051">
              <w:rPr>
                <w:szCs w:val="24"/>
              </w:rPr>
              <w:t xml:space="preserve">weighted investment, alongside the </w:t>
            </w:r>
            <w:r w:rsidRPr="00A55051">
              <w:rPr>
                <w:szCs w:val="24"/>
              </w:rPr>
              <w:t>development of a bespoke, place</w:t>
            </w:r>
            <w:r w:rsidRPr="00A55051">
              <w:rPr>
                <w:szCs w:val="24"/>
              </w:rPr>
              <w:noBreakHyphen/>
            </w:r>
            <w:r w:rsidRPr="00A55051">
              <w:rPr>
                <w:szCs w:val="24"/>
              </w:rPr>
              <w:t>based dental service model for the Fylde Coast, supported by clinical engagement and clearer public communication on urgent care.</w:t>
            </w:r>
          </w:p>
        </w:tc>
      </w:tr>
      <w:tr w:rsidRPr="00972E8A" w:rsidR="001C595C" w:rsidTr="00904F72" w14:paraId="3F4927A4" w14:textId="77777777">
        <w:tc>
          <w:tcPr>
            <w:tcW w:w="9016" w:type="dxa"/>
            <w:gridSpan w:val="6"/>
            <w:shd w:val="clear" w:color="auto" w:fill="C6D9F1" w:themeFill="text2" w:themeFillTint="33"/>
          </w:tcPr>
          <w:p w:rsidRPr="00972E8A" w:rsidR="001C595C" w:rsidP="00955869" w:rsidRDefault="001C595C" w14:paraId="5597E56B" w14:textId="77777777">
            <w:pPr>
              <w:pStyle w:val="Numberlist"/>
              <w:numPr>
                <w:ilvl w:val="0"/>
                <w:numId w:val="0"/>
              </w:numPr>
              <w:rPr>
                <w:b/>
                <w:szCs w:val="24"/>
              </w:rPr>
            </w:pPr>
            <w:r w:rsidRPr="00972E8A">
              <w:rPr>
                <w:b/>
                <w:szCs w:val="24"/>
              </w:rPr>
              <w:t>Recommendations</w:t>
            </w:r>
          </w:p>
        </w:tc>
      </w:tr>
      <w:tr w:rsidRPr="00972E8A" w:rsidR="001C595C" w:rsidTr="00904F72" w14:paraId="62B8CB80" w14:textId="77777777">
        <w:tc>
          <w:tcPr>
            <w:tcW w:w="9016" w:type="dxa"/>
            <w:gridSpan w:val="6"/>
          </w:tcPr>
          <w:p w:rsidR="00192365" w:rsidP="00192365" w:rsidRDefault="00192365" w14:paraId="2D503910" w14:textId="01EB3132">
            <w:pPr>
              <w:pStyle w:val="paragraph"/>
              <w:spacing w:before="0" w:beforeAutospacing="0" w:after="0" w:afterAutospacing="0"/>
              <w:textAlignment w:val="baseline"/>
              <w:rPr>
                <w:rFonts w:ascii="Arial" w:hAnsi="Arial" w:cs="Arial"/>
              </w:rPr>
            </w:pPr>
            <w:r>
              <w:rPr>
                <w:rStyle w:val="normaltextrun"/>
                <w:rFonts w:ascii="Arial" w:hAnsi="Arial" w:cs="Arial" w:eastAsiaTheme="majorEastAsia"/>
              </w:rPr>
              <w:t>Members of the Primary Care Contracts Sub-Committee are asked to:</w:t>
            </w:r>
            <w:r>
              <w:rPr>
                <w:rStyle w:val="eop"/>
                <w:rFonts w:ascii="Arial" w:hAnsi="Arial" w:cs="Arial"/>
              </w:rPr>
              <w:t> </w:t>
            </w:r>
          </w:p>
          <w:p w:rsidR="00192365" w:rsidP="00192365" w:rsidRDefault="00192365" w14:paraId="79A9DE2B"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rsidRPr="001D04CF" w:rsidR="00192365" w:rsidP="00BF6424" w:rsidRDefault="00192365" w14:paraId="66F9D7F2" w14:textId="77777777">
            <w:pPr>
              <w:pStyle w:val="paragraph"/>
              <w:numPr>
                <w:ilvl w:val="1"/>
                <w:numId w:val="18"/>
              </w:numPr>
              <w:spacing w:before="0" w:beforeAutospacing="0" w:after="0" w:afterAutospacing="0"/>
              <w:textAlignment w:val="baseline"/>
              <w:rPr>
                <w:rStyle w:val="normaltextrun"/>
                <w:rFonts w:ascii="Arial" w:hAnsi="Arial" w:cs="Arial" w:eastAsiaTheme="majorEastAsia"/>
              </w:rPr>
            </w:pPr>
            <w:r w:rsidRPr="001D04CF">
              <w:rPr>
                <w:rStyle w:val="normaltextrun"/>
                <w:rFonts w:ascii="Arial" w:hAnsi="Arial" w:cs="Arial" w:eastAsiaTheme="majorEastAsia"/>
              </w:rPr>
              <w:t>Accept the contents of the report </w:t>
            </w:r>
          </w:p>
          <w:p w:rsidRPr="001D04CF" w:rsidR="00192365" w:rsidP="00BF6424" w:rsidRDefault="00192365" w14:paraId="19DE3DC7" w14:textId="77777777">
            <w:pPr>
              <w:pStyle w:val="paragraph"/>
              <w:numPr>
                <w:ilvl w:val="1"/>
                <w:numId w:val="18"/>
              </w:numPr>
              <w:spacing w:before="0" w:beforeAutospacing="0" w:after="0" w:afterAutospacing="0"/>
              <w:textAlignment w:val="baseline"/>
              <w:rPr>
                <w:rStyle w:val="normaltextrun"/>
                <w:rFonts w:ascii="Arial" w:hAnsi="Arial" w:cs="Arial" w:eastAsiaTheme="majorEastAsia"/>
              </w:rPr>
            </w:pPr>
            <w:r w:rsidRPr="001D04CF">
              <w:rPr>
                <w:rStyle w:val="normaltextrun"/>
                <w:rFonts w:ascii="Arial" w:hAnsi="Arial" w:cs="Arial" w:eastAsiaTheme="majorEastAsia"/>
              </w:rPr>
              <w:t>Agree the following pieces of follow-up work (April to June inclusive): </w:t>
            </w:r>
          </w:p>
          <w:p w:rsidRPr="001D04CF" w:rsidR="00192365" w:rsidP="00301926" w:rsidRDefault="00192365" w14:paraId="2EA25016" w14:textId="7B5FEB6E">
            <w:pPr>
              <w:pStyle w:val="paragraph"/>
              <w:numPr>
                <w:ilvl w:val="2"/>
                <w:numId w:val="26"/>
              </w:numPr>
              <w:spacing w:before="0" w:beforeAutospacing="0" w:after="0" w:afterAutospacing="0"/>
              <w:textAlignment w:val="baseline"/>
              <w:rPr>
                <w:rStyle w:val="normaltextrun"/>
                <w:rFonts w:ascii="Arial" w:hAnsi="Arial" w:cs="Arial" w:eastAsiaTheme="majorEastAsia"/>
              </w:rPr>
            </w:pPr>
            <w:r w:rsidRPr="001D04CF">
              <w:rPr>
                <w:rStyle w:val="normaltextrun"/>
                <w:rFonts w:ascii="Arial" w:hAnsi="Arial" w:cs="Arial" w:eastAsiaTheme="majorEastAsia"/>
              </w:rPr>
              <w:t xml:space="preserve">Develop a coherent evidence-based and transparent rationale for allocation of the available investment. </w:t>
            </w:r>
          </w:p>
          <w:p w:rsidRPr="001D04CF" w:rsidR="00192365" w:rsidP="00301926" w:rsidRDefault="00192365" w14:paraId="23E71CF5" w14:textId="77777777">
            <w:pPr>
              <w:pStyle w:val="paragraph"/>
              <w:numPr>
                <w:ilvl w:val="2"/>
                <w:numId w:val="26"/>
              </w:numPr>
              <w:spacing w:before="0" w:beforeAutospacing="0" w:after="0" w:afterAutospacing="0"/>
              <w:textAlignment w:val="baseline"/>
              <w:rPr>
                <w:rStyle w:val="normaltextrun"/>
                <w:rFonts w:ascii="Arial" w:hAnsi="Arial" w:cs="Arial" w:eastAsiaTheme="majorEastAsia"/>
              </w:rPr>
            </w:pPr>
            <w:r w:rsidRPr="001D04CF">
              <w:rPr>
                <w:rStyle w:val="normaltextrun"/>
                <w:rFonts w:ascii="Arial" w:hAnsi="Arial" w:cs="Arial" w:eastAsiaTheme="majorEastAsia"/>
              </w:rPr>
              <w:t>Seek feedback on the model from the profession, engage with clinical teams/local authority to co-design via focus groups. </w:t>
            </w:r>
          </w:p>
          <w:p w:rsidRPr="001D04CF" w:rsidR="00192365" w:rsidP="00301926" w:rsidRDefault="00301926" w14:paraId="744EA8FC" w14:textId="2FA28141">
            <w:pPr>
              <w:pStyle w:val="paragraph"/>
              <w:numPr>
                <w:ilvl w:val="2"/>
                <w:numId w:val="26"/>
              </w:numPr>
              <w:spacing w:before="0" w:beforeAutospacing="0" w:after="0" w:afterAutospacing="0"/>
              <w:textAlignment w:val="baseline"/>
              <w:rPr>
                <w:rStyle w:val="normaltextrun"/>
                <w:rFonts w:ascii="Arial" w:hAnsi="Arial" w:cs="Arial" w:eastAsiaTheme="majorEastAsia"/>
              </w:rPr>
            </w:pPr>
            <w:r>
              <w:rPr>
                <w:rStyle w:val="normaltextrun"/>
                <w:rFonts w:ascii="Arial" w:hAnsi="Arial" w:cs="Arial" w:eastAsiaTheme="majorEastAsia"/>
              </w:rPr>
              <w:t>S</w:t>
            </w:r>
            <w:r w:rsidRPr="00301926">
              <w:rPr>
                <w:rStyle w:val="normaltextrun"/>
                <w:rFonts w:ascii="Arial" w:hAnsi="Arial" w:cs="Arial" w:eastAsiaTheme="majorEastAsia"/>
              </w:rPr>
              <w:t>trengthen</w:t>
            </w:r>
            <w:r w:rsidRPr="001D04CF" w:rsidR="00192365">
              <w:rPr>
                <w:rStyle w:val="normaltextrun"/>
                <w:rFonts w:ascii="Arial" w:hAnsi="Arial" w:cs="Arial" w:eastAsiaTheme="majorEastAsia"/>
              </w:rPr>
              <w:t xml:space="preserve"> a communication plan to increase access to information regarding urgent dental care to minimise the number of people in pain. </w:t>
            </w:r>
          </w:p>
          <w:p w:rsidRPr="00972E8A" w:rsidR="00266DD3" w:rsidP="00192365" w:rsidRDefault="00266DD3" w14:paraId="76CE484E" w14:textId="7F217A1C">
            <w:pPr>
              <w:pStyle w:val="paragraph"/>
              <w:spacing w:before="0" w:beforeAutospacing="0" w:after="0" w:afterAutospacing="0"/>
              <w:ind w:left="1080"/>
              <w:textAlignment w:val="baseline"/>
            </w:pPr>
          </w:p>
        </w:tc>
      </w:tr>
      <w:tr w:rsidRPr="00972E8A" w:rsidR="001C595C" w:rsidTr="00266DD3" w14:paraId="1DF15A20" w14:textId="77777777">
        <w:tc>
          <w:tcPr>
            <w:tcW w:w="9016" w:type="dxa"/>
            <w:gridSpan w:val="6"/>
            <w:tcBorders>
              <w:bottom w:val="single" w:color="auto" w:sz="4" w:space="0"/>
            </w:tcBorders>
            <w:shd w:val="clear" w:color="auto" w:fill="C6D9F1" w:themeFill="text2" w:themeFillTint="33"/>
          </w:tcPr>
          <w:p w:rsidRPr="00972E8A" w:rsidR="001C595C" w:rsidP="001C595C" w:rsidRDefault="001C595C" w14:paraId="6663CE61" w14:textId="0A3C927E">
            <w:pPr>
              <w:rPr>
                <w:b/>
                <w:szCs w:val="24"/>
              </w:rPr>
            </w:pPr>
            <w:r w:rsidRPr="00972E8A">
              <w:rPr>
                <w:b/>
                <w:szCs w:val="24"/>
              </w:rPr>
              <w:t xml:space="preserve">Governance and reporting </w:t>
            </w:r>
          </w:p>
        </w:tc>
      </w:tr>
      <w:tr w:rsidRPr="00972E8A" w:rsidR="001C595C" w:rsidTr="00266DD3" w14:paraId="17CDF5C1" w14:textId="77777777">
        <w:tc>
          <w:tcPr>
            <w:tcW w:w="2999" w:type="dxa"/>
            <w:shd w:val="clear" w:color="auto" w:fill="C6D9F1" w:themeFill="text2" w:themeFillTint="33"/>
          </w:tcPr>
          <w:p w:rsidRPr="00972E8A" w:rsidR="001C595C" w:rsidP="001C595C" w:rsidRDefault="001C595C" w14:paraId="4F1B2CE7" w14:textId="77777777">
            <w:pPr>
              <w:rPr>
                <w:b/>
                <w:szCs w:val="24"/>
              </w:rPr>
            </w:pPr>
            <w:r w:rsidRPr="00972E8A">
              <w:rPr>
                <w:b/>
                <w:szCs w:val="24"/>
              </w:rPr>
              <w:t>Meeting</w:t>
            </w:r>
          </w:p>
        </w:tc>
        <w:tc>
          <w:tcPr>
            <w:tcW w:w="3021" w:type="dxa"/>
            <w:gridSpan w:val="4"/>
            <w:shd w:val="clear" w:color="auto" w:fill="C6D9F1" w:themeFill="text2" w:themeFillTint="33"/>
          </w:tcPr>
          <w:p w:rsidRPr="00972E8A" w:rsidR="001C595C" w:rsidP="001C595C" w:rsidRDefault="001C595C" w14:paraId="60968B5C" w14:textId="77777777">
            <w:pPr>
              <w:rPr>
                <w:b/>
                <w:szCs w:val="24"/>
              </w:rPr>
            </w:pPr>
            <w:r w:rsidRPr="00972E8A">
              <w:rPr>
                <w:b/>
                <w:szCs w:val="24"/>
              </w:rPr>
              <w:t>Date</w:t>
            </w:r>
          </w:p>
        </w:tc>
        <w:tc>
          <w:tcPr>
            <w:tcW w:w="2996" w:type="dxa"/>
            <w:shd w:val="clear" w:color="auto" w:fill="C6D9F1" w:themeFill="text2" w:themeFillTint="33"/>
          </w:tcPr>
          <w:p w:rsidRPr="00972E8A" w:rsidR="001C595C" w:rsidP="001C595C" w:rsidRDefault="001C595C" w14:paraId="0A6D226A" w14:textId="77777777">
            <w:pPr>
              <w:rPr>
                <w:b/>
                <w:szCs w:val="24"/>
              </w:rPr>
            </w:pPr>
            <w:r w:rsidRPr="00972E8A">
              <w:rPr>
                <w:b/>
                <w:szCs w:val="24"/>
              </w:rPr>
              <w:t>Outcomes</w:t>
            </w:r>
          </w:p>
        </w:tc>
      </w:tr>
      <w:tr w:rsidRPr="00972E8A" w:rsidR="001C595C" w:rsidTr="00904F72" w14:paraId="06E466D9" w14:textId="77777777">
        <w:tc>
          <w:tcPr>
            <w:tcW w:w="2999" w:type="dxa"/>
            <w:shd w:val="clear" w:color="auto" w:fill="FFFFFF" w:themeFill="background1"/>
          </w:tcPr>
          <w:p w:rsidRPr="00972E8A" w:rsidR="00F239FD" w:rsidP="001C595C" w:rsidRDefault="000E29FC" w14:paraId="3CE20CBA" w14:textId="330C67DA">
            <w:pPr>
              <w:rPr>
                <w:bCs/>
                <w:szCs w:val="24"/>
              </w:rPr>
            </w:pPr>
            <w:r>
              <w:rPr>
                <w:bCs/>
                <w:szCs w:val="24"/>
              </w:rPr>
              <w:t>Dental Access and Oral Health Improvement Steering Group</w:t>
            </w:r>
          </w:p>
          <w:p w:rsidRPr="00972E8A" w:rsidR="00266DD3" w:rsidP="001C595C" w:rsidRDefault="00266DD3" w14:paraId="5359BE43" w14:textId="7D215763">
            <w:pPr>
              <w:rPr>
                <w:b/>
                <w:szCs w:val="24"/>
              </w:rPr>
            </w:pPr>
          </w:p>
        </w:tc>
        <w:tc>
          <w:tcPr>
            <w:tcW w:w="3021" w:type="dxa"/>
            <w:gridSpan w:val="4"/>
            <w:shd w:val="clear" w:color="auto" w:fill="FFFFFF" w:themeFill="background1"/>
          </w:tcPr>
          <w:p w:rsidRPr="00972E8A" w:rsidR="001C595C" w:rsidP="001C595C" w:rsidRDefault="00433F41" w14:paraId="34E4DF51" w14:textId="073B04F3">
            <w:pPr>
              <w:rPr>
                <w:bCs/>
                <w:szCs w:val="24"/>
              </w:rPr>
            </w:pPr>
            <w:r>
              <w:rPr>
                <w:bCs/>
                <w:szCs w:val="24"/>
              </w:rPr>
              <w:t>30 March 2026</w:t>
            </w:r>
          </w:p>
        </w:tc>
        <w:tc>
          <w:tcPr>
            <w:tcW w:w="2996" w:type="dxa"/>
            <w:shd w:val="clear" w:color="auto" w:fill="FFFFFF" w:themeFill="background1"/>
          </w:tcPr>
          <w:p w:rsidR="00433F41" w:rsidP="001C595C" w:rsidRDefault="004269F3" w14:paraId="6638153D" w14:textId="77777777">
            <w:pPr>
              <w:rPr>
                <w:bCs/>
                <w:szCs w:val="24"/>
              </w:rPr>
            </w:pPr>
            <w:r>
              <w:rPr>
                <w:bCs/>
                <w:szCs w:val="24"/>
              </w:rPr>
              <w:t>Next steps supported.</w:t>
            </w:r>
          </w:p>
          <w:p w:rsidRPr="00972E8A" w:rsidR="001C595C" w:rsidP="001C595C" w:rsidRDefault="00CB0B86" w14:paraId="4B57EB22" w14:textId="79903F7C">
            <w:pPr>
              <w:rPr>
                <w:bCs/>
                <w:szCs w:val="24"/>
              </w:rPr>
            </w:pPr>
            <w:r>
              <w:rPr>
                <w:bCs/>
                <w:szCs w:val="24"/>
              </w:rPr>
              <w:t>Advised to submit to PCCSC.</w:t>
            </w:r>
          </w:p>
        </w:tc>
      </w:tr>
      <w:tr w:rsidRPr="00972E8A" w:rsidR="001C595C" w:rsidTr="00904F72" w14:paraId="551603BF" w14:textId="77777777">
        <w:tc>
          <w:tcPr>
            <w:tcW w:w="9016" w:type="dxa"/>
            <w:gridSpan w:val="6"/>
            <w:shd w:val="clear" w:color="auto" w:fill="C6D9F1" w:themeFill="text2" w:themeFillTint="33"/>
          </w:tcPr>
          <w:p w:rsidRPr="00972E8A" w:rsidR="001C595C" w:rsidP="001C595C" w:rsidRDefault="001C595C" w14:paraId="034A511A" w14:textId="77777777">
            <w:pPr>
              <w:rPr>
                <w:b/>
                <w:szCs w:val="24"/>
              </w:rPr>
            </w:pPr>
            <w:r w:rsidRPr="00972E8A">
              <w:rPr>
                <w:b/>
                <w:szCs w:val="24"/>
              </w:rPr>
              <w:t>Conflicts of interest identified</w:t>
            </w:r>
          </w:p>
        </w:tc>
      </w:tr>
      <w:tr w:rsidRPr="00972E8A" w:rsidR="001C595C" w:rsidTr="00904F72" w14:paraId="6F988758" w14:textId="77777777">
        <w:tc>
          <w:tcPr>
            <w:tcW w:w="9016" w:type="dxa"/>
            <w:gridSpan w:val="6"/>
            <w:shd w:val="clear" w:color="auto" w:fill="FFFFFF" w:themeFill="background1"/>
          </w:tcPr>
          <w:p w:rsidRPr="00972E8A" w:rsidR="001C595C" w:rsidP="001C595C" w:rsidRDefault="00CB0B86" w14:paraId="0982EF42" w14:textId="6C14889F">
            <w:pPr>
              <w:rPr>
                <w:bCs/>
                <w:szCs w:val="24"/>
              </w:rPr>
            </w:pPr>
            <w:r>
              <w:rPr>
                <w:bCs/>
                <w:szCs w:val="24"/>
              </w:rPr>
              <w:t>Not applicable.</w:t>
            </w:r>
          </w:p>
          <w:p w:rsidRPr="00972E8A" w:rsidR="00266DD3" w:rsidP="001C595C" w:rsidRDefault="00266DD3" w14:paraId="489AA429" w14:textId="5A765AB6">
            <w:pPr>
              <w:rPr>
                <w:b/>
                <w:szCs w:val="24"/>
              </w:rPr>
            </w:pPr>
          </w:p>
        </w:tc>
      </w:tr>
      <w:tr w:rsidRPr="00972E8A" w:rsidR="001C595C" w:rsidTr="00904F72" w14:paraId="4569AF41" w14:textId="77777777">
        <w:tc>
          <w:tcPr>
            <w:tcW w:w="9016" w:type="dxa"/>
            <w:gridSpan w:val="6"/>
            <w:shd w:val="clear" w:color="auto" w:fill="C6D9F1" w:themeFill="text2" w:themeFillTint="33"/>
          </w:tcPr>
          <w:p w:rsidRPr="00972E8A" w:rsidR="001C595C" w:rsidP="001C595C" w:rsidRDefault="001C595C" w14:paraId="498D1BA0" w14:textId="77777777">
            <w:pPr>
              <w:rPr>
                <w:b/>
                <w:szCs w:val="24"/>
              </w:rPr>
            </w:pPr>
            <w:r w:rsidRPr="00972E8A">
              <w:rPr>
                <w:b/>
                <w:szCs w:val="24"/>
              </w:rPr>
              <w:t xml:space="preserve">Implications </w:t>
            </w:r>
          </w:p>
        </w:tc>
      </w:tr>
      <w:tr w:rsidRPr="00972E8A" w:rsidR="001F3F3D" w:rsidTr="00904F72" w14:paraId="5D9BB821" w14:textId="77777777">
        <w:tc>
          <w:tcPr>
            <w:tcW w:w="2999" w:type="dxa"/>
            <w:shd w:val="clear" w:color="auto" w:fill="FFFFFF" w:themeFill="background1"/>
          </w:tcPr>
          <w:p w:rsidRPr="008B0601" w:rsidR="001F3F3D" w:rsidP="001C595C" w:rsidRDefault="008B0601" w14:paraId="02751A32" w14:textId="5466A1BB">
            <w:pPr>
              <w:rPr>
                <w:b/>
                <w:iCs/>
                <w:szCs w:val="24"/>
              </w:rPr>
            </w:pPr>
            <w:r>
              <w:rPr>
                <w:iCs/>
                <w:szCs w:val="24"/>
              </w:rPr>
              <w:t>(</w:t>
            </w:r>
            <w:r w:rsidRPr="008B0601" w:rsidR="001F3F3D">
              <w:rPr>
                <w:iCs/>
                <w:szCs w:val="24"/>
              </w:rPr>
              <w:t>If yes, please provide a brief risk description and reference number</w:t>
            </w:r>
            <w:r>
              <w:rPr>
                <w:iCs/>
                <w:szCs w:val="24"/>
              </w:rPr>
              <w:t>)</w:t>
            </w:r>
          </w:p>
        </w:tc>
        <w:tc>
          <w:tcPr>
            <w:tcW w:w="713" w:type="dxa"/>
            <w:shd w:val="clear" w:color="auto" w:fill="FFFFFF" w:themeFill="background1"/>
          </w:tcPr>
          <w:p w:rsidRPr="00972E8A" w:rsidR="001F3F3D" w:rsidP="001C595C" w:rsidRDefault="001F3F3D" w14:paraId="617AB1E0" w14:textId="68278B6A">
            <w:pPr>
              <w:rPr>
                <w:b/>
                <w:szCs w:val="24"/>
              </w:rPr>
            </w:pPr>
            <w:r w:rsidRPr="00972E8A">
              <w:rPr>
                <w:b/>
                <w:szCs w:val="24"/>
              </w:rPr>
              <w:t>Y</w:t>
            </w:r>
            <w:r w:rsidRPr="00972E8A" w:rsidR="00266DD3">
              <w:rPr>
                <w:b/>
                <w:szCs w:val="24"/>
              </w:rPr>
              <w:t>es</w:t>
            </w:r>
          </w:p>
        </w:tc>
        <w:tc>
          <w:tcPr>
            <w:tcW w:w="702" w:type="dxa"/>
            <w:shd w:val="clear" w:color="auto" w:fill="FFFFFF" w:themeFill="background1"/>
          </w:tcPr>
          <w:p w:rsidRPr="00972E8A" w:rsidR="001F3F3D" w:rsidP="001C595C" w:rsidRDefault="001F3F3D" w14:paraId="3B06C3AE" w14:textId="69D517A9">
            <w:pPr>
              <w:rPr>
                <w:b/>
                <w:szCs w:val="24"/>
              </w:rPr>
            </w:pPr>
            <w:r w:rsidRPr="00972E8A">
              <w:rPr>
                <w:b/>
                <w:szCs w:val="24"/>
              </w:rPr>
              <w:t>N</w:t>
            </w:r>
            <w:r w:rsidRPr="00972E8A" w:rsidR="00266DD3">
              <w:rPr>
                <w:b/>
                <w:szCs w:val="24"/>
              </w:rPr>
              <w:t>o</w:t>
            </w:r>
          </w:p>
        </w:tc>
        <w:tc>
          <w:tcPr>
            <w:tcW w:w="704" w:type="dxa"/>
            <w:shd w:val="clear" w:color="auto" w:fill="FFFFFF" w:themeFill="background1"/>
          </w:tcPr>
          <w:p w:rsidRPr="00972E8A" w:rsidR="001F3F3D" w:rsidP="001C595C" w:rsidRDefault="001F3F3D" w14:paraId="0D8DCADF" w14:textId="77777777">
            <w:pPr>
              <w:rPr>
                <w:b/>
                <w:szCs w:val="24"/>
              </w:rPr>
            </w:pPr>
            <w:r w:rsidRPr="00972E8A">
              <w:rPr>
                <w:b/>
                <w:szCs w:val="24"/>
              </w:rPr>
              <w:t>N/A</w:t>
            </w:r>
          </w:p>
        </w:tc>
        <w:tc>
          <w:tcPr>
            <w:tcW w:w="3898" w:type="dxa"/>
            <w:gridSpan w:val="2"/>
            <w:shd w:val="clear" w:color="auto" w:fill="FFFFFF" w:themeFill="background1"/>
          </w:tcPr>
          <w:p w:rsidRPr="00972E8A" w:rsidR="001F3F3D" w:rsidP="001C595C" w:rsidRDefault="001F3F3D" w14:paraId="13AC8CA1" w14:textId="77777777">
            <w:pPr>
              <w:rPr>
                <w:b/>
                <w:szCs w:val="24"/>
              </w:rPr>
            </w:pPr>
            <w:r w:rsidRPr="00972E8A">
              <w:rPr>
                <w:b/>
                <w:szCs w:val="24"/>
              </w:rPr>
              <w:t>Comments</w:t>
            </w:r>
          </w:p>
        </w:tc>
      </w:tr>
      <w:tr w:rsidRPr="00972E8A" w:rsidR="001F3F3D" w:rsidTr="00904F72" w14:paraId="7628B833" w14:textId="77777777">
        <w:tc>
          <w:tcPr>
            <w:tcW w:w="2999" w:type="dxa"/>
            <w:shd w:val="clear" w:color="auto" w:fill="FFFFFF" w:themeFill="background1"/>
          </w:tcPr>
          <w:p w:rsidRPr="00972E8A" w:rsidR="001F3F3D" w:rsidP="001F3F3D" w:rsidRDefault="001F3F3D" w14:paraId="39F3BA4E" w14:textId="77777777">
            <w:pPr>
              <w:shd w:val="clear" w:color="auto" w:fill="FFFFFF" w:themeFill="background1"/>
              <w:rPr>
                <w:szCs w:val="24"/>
              </w:rPr>
            </w:pPr>
            <w:r w:rsidRPr="00972E8A">
              <w:rPr>
                <w:szCs w:val="24"/>
              </w:rPr>
              <w:t>Quality impact assessment completed</w:t>
            </w:r>
          </w:p>
        </w:tc>
        <w:tc>
          <w:tcPr>
            <w:tcW w:w="713" w:type="dxa"/>
            <w:shd w:val="clear" w:color="auto" w:fill="FFFFFF" w:themeFill="background1"/>
          </w:tcPr>
          <w:p w:rsidRPr="00972E8A" w:rsidR="001F3F3D" w:rsidP="001F3F3D" w:rsidRDefault="001F3F3D" w14:paraId="563F26E4" w14:textId="77777777">
            <w:pPr>
              <w:shd w:val="clear" w:color="auto" w:fill="FFFFFF" w:themeFill="background1"/>
              <w:rPr>
                <w:szCs w:val="24"/>
              </w:rPr>
            </w:pPr>
          </w:p>
        </w:tc>
        <w:tc>
          <w:tcPr>
            <w:tcW w:w="702" w:type="dxa"/>
            <w:shd w:val="clear" w:color="auto" w:fill="FFFFFF" w:themeFill="background1"/>
          </w:tcPr>
          <w:p w:rsidRPr="00972E8A" w:rsidR="001F3F3D" w:rsidP="001F3F3D" w:rsidRDefault="001F3F3D" w14:paraId="4FC3C986" w14:textId="77777777">
            <w:pPr>
              <w:shd w:val="clear" w:color="auto" w:fill="FFFFFF" w:themeFill="background1"/>
              <w:rPr>
                <w:szCs w:val="24"/>
              </w:rPr>
            </w:pPr>
          </w:p>
        </w:tc>
        <w:tc>
          <w:tcPr>
            <w:tcW w:w="704" w:type="dxa"/>
            <w:shd w:val="clear" w:color="auto" w:fill="FFFFFF" w:themeFill="background1"/>
          </w:tcPr>
          <w:p w:rsidRPr="00972E8A" w:rsidR="001F3F3D" w:rsidP="001F3F3D" w:rsidRDefault="0003055E" w14:paraId="25170B93" w14:textId="12E2479B">
            <w:pPr>
              <w:shd w:val="clear" w:color="auto" w:fill="FFFFFF" w:themeFill="background1"/>
              <w:rPr>
                <w:szCs w:val="24"/>
              </w:rPr>
            </w:pPr>
            <w:r>
              <w:rPr>
                <w:szCs w:val="24"/>
              </w:rPr>
              <w:t>*</w:t>
            </w:r>
          </w:p>
        </w:tc>
        <w:tc>
          <w:tcPr>
            <w:tcW w:w="3898" w:type="dxa"/>
            <w:gridSpan w:val="2"/>
            <w:shd w:val="clear" w:color="auto" w:fill="FFFFFF" w:themeFill="background1"/>
          </w:tcPr>
          <w:p w:rsidRPr="00972E8A" w:rsidR="001F3F3D" w:rsidP="001F3F3D" w:rsidRDefault="001F3F3D" w14:paraId="0023BD7B" w14:textId="77777777">
            <w:pPr>
              <w:shd w:val="clear" w:color="auto" w:fill="FFFFFF" w:themeFill="background1"/>
              <w:rPr>
                <w:szCs w:val="24"/>
              </w:rPr>
            </w:pPr>
          </w:p>
        </w:tc>
      </w:tr>
      <w:tr w:rsidRPr="00972E8A" w:rsidR="001F3F3D" w:rsidTr="00904F72" w14:paraId="6EEDA663" w14:textId="77777777">
        <w:tc>
          <w:tcPr>
            <w:tcW w:w="2999" w:type="dxa"/>
            <w:shd w:val="clear" w:color="auto" w:fill="FFFFFF" w:themeFill="background1"/>
          </w:tcPr>
          <w:p w:rsidRPr="00972E8A" w:rsidR="001F3F3D" w:rsidP="001F3F3D" w:rsidRDefault="001F3F3D" w14:paraId="132F764A" w14:textId="77777777">
            <w:pPr>
              <w:shd w:val="clear" w:color="auto" w:fill="FFFFFF" w:themeFill="background1"/>
              <w:rPr>
                <w:szCs w:val="24"/>
              </w:rPr>
            </w:pPr>
            <w:r w:rsidRPr="00972E8A">
              <w:rPr>
                <w:szCs w:val="24"/>
              </w:rPr>
              <w:t>Equality impact assessment completed</w:t>
            </w:r>
          </w:p>
        </w:tc>
        <w:tc>
          <w:tcPr>
            <w:tcW w:w="713" w:type="dxa"/>
            <w:shd w:val="clear" w:color="auto" w:fill="FFFFFF" w:themeFill="background1"/>
          </w:tcPr>
          <w:p w:rsidRPr="00972E8A" w:rsidR="001F3F3D" w:rsidP="001F3F3D" w:rsidRDefault="001F3F3D" w14:paraId="1ED9BD31" w14:textId="77777777">
            <w:pPr>
              <w:shd w:val="clear" w:color="auto" w:fill="FFFFFF" w:themeFill="background1"/>
              <w:rPr>
                <w:szCs w:val="24"/>
              </w:rPr>
            </w:pPr>
          </w:p>
        </w:tc>
        <w:tc>
          <w:tcPr>
            <w:tcW w:w="702" w:type="dxa"/>
            <w:shd w:val="clear" w:color="auto" w:fill="FFFFFF" w:themeFill="background1"/>
          </w:tcPr>
          <w:p w:rsidRPr="00972E8A" w:rsidR="001F3F3D" w:rsidP="001F3F3D" w:rsidRDefault="001F3F3D" w14:paraId="223BBF25" w14:textId="77777777">
            <w:pPr>
              <w:shd w:val="clear" w:color="auto" w:fill="FFFFFF" w:themeFill="background1"/>
              <w:rPr>
                <w:szCs w:val="24"/>
              </w:rPr>
            </w:pPr>
          </w:p>
        </w:tc>
        <w:tc>
          <w:tcPr>
            <w:tcW w:w="704" w:type="dxa"/>
            <w:shd w:val="clear" w:color="auto" w:fill="FFFFFF" w:themeFill="background1"/>
          </w:tcPr>
          <w:p w:rsidRPr="00972E8A" w:rsidR="001F3F3D" w:rsidP="001F3F3D" w:rsidRDefault="0003055E" w14:paraId="6920A6B6" w14:textId="0DE1D2F8">
            <w:pPr>
              <w:shd w:val="clear" w:color="auto" w:fill="FFFFFF" w:themeFill="background1"/>
              <w:rPr>
                <w:szCs w:val="24"/>
              </w:rPr>
            </w:pPr>
            <w:r>
              <w:rPr>
                <w:szCs w:val="24"/>
              </w:rPr>
              <w:t>*</w:t>
            </w:r>
          </w:p>
        </w:tc>
        <w:tc>
          <w:tcPr>
            <w:tcW w:w="3898" w:type="dxa"/>
            <w:gridSpan w:val="2"/>
            <w:shd w:val="clear" w:color="auto" w:fill="FFFFFF" w:themeFill="background1"/>
          </w:tcPr>
          <w:p w:rsidRPr="00972E8A" w:rsidR="001F3F3D" w:rsidP="001F3F3D" w:rsidRDefault="001F3F3D" w14:paraId="24A87DC5" w14:textId="77777777">
            <w:pPr>
              <w:shd w:val="clear" w:color="auto" w:fill="FFFFFF" w:themeFill="background1"/>
              <w:rPr>
                <w:szCs w:val="24"/>
              </w:rPr>
            </w:pPr>
          </w:p>
        </w:tc>
      </w:tr>
      <w:tr w:rsidRPr="00972E8A" w:rsidR="001F3F3D" w:rsidTr="00904F72" w14:paraId="47AB07EE" w14:textId="77777777">
        <w:tc>
          <w:tcPr>
            <w:tcW w:w="2999" w:type="dxa"/>
            <w:shd w:val="clear" w:color="auto" w:fill="FFFFFF" w:themeFill="background1"/>
          </w:tcPr>
          <w:p w:rsidRPr="00972E8A" w:rsidR="001F3F3D" w:rsidP="001F3F3D" w:rsidRDefault="00523A5E" w14:paraId="2E150A2B" w14:textId="1EA34423">
            <w:pPr>
              <w:shd w:val="clear" w:color="auto" w:fill="FFFFFF" w:themeFill="background1"/>
              <w:rPr>
                <w:szCs w:val="24"/>
              </w:rPr>
            </w:pPr>
            <w:r>
              <w:rPr>
                <w:szCs w:val="24"/>
              </w:rPr>
              <w:t>Data p</w:t>
            </w:r>
            <w:r w:rsidRPr="00972E8A" w:rsidR="001F3F3D">
              <w:rPr>
                <w:szCs w:val="24"/>
              </w:rPr>
              <w:t>rivacy impact assessment completed</w:t>
            </w:r>
          </w:p>
        </w:tc>
        <w:tc>
          <w:tcPr>
            <w:tcW w:w="713" w:type="dxa"/>
            <w:shd w:val="clear" w:color="auto" w:fill="FFFFFF" w:themeFill="background1"/>
          </w:tcPr>
          <w:p w:rsidRPr="00972E8A" w:rsidR="001F3F3D" w:rsidP="001F3F3D" w:rsidRDefault="001F3F3D" w14:paraId="7833E42A" w14:textId="77777777">
            <w:pPr>
              <w:shd w:val="clear" w:color="auto" w:fill="FFFFFF" w:themeFill="background1"/>
              <w:rPr>
                <w:szCs w:val="24"/>
              </w:rPr>
            </w:pPr>
          </w:p>
        </w:tc>
        <w:tc>
          <w:tcPr>
            <w:tcW w:w="702" w:type="dxa"/>
            <w:shd w:val="clear" w:color="auto" w:fill="FFFFFF" w:themeFill="background1"/>
          </w:tcPr>
          <w:p w:rsidRPr="00972E8A" w:rsidR="001F3F3D" w:rsidP="001F3F3D" w:rsidRDefault="001F3F3D" w14:paraId="79C52992" w14:textId="77777777">
            <w:pPr>
              <w:shd w:val="clear" w:color="auto" w:fill="FFFFFF" w:themeFill="background1"/>
              <w:rPr>
                <w:szCs w:val="24"/>
              </w:rPr>
            </w:pPr>
          </w:p>
        </w:tc>
        <w:tc>
          <w:tcPr>
            <w:tcW w:w="704" w:type="dxa"/>
            <w:shd w:val="clear" w:color="auto" w:fill="FFFFFF" w:themeFill="background1"/>
          </w:tcPr>
          <w:p w:rsidRPr="00972E8A" w:rsidR="001F3F3D" w:rsidP="001F3F3D" w:rsidRDefault="0003055E" w14:paraId="1BD8D23C" w14:textId="2B673D82">
            <w:pPr>
              <w:shd w:val="clear" w:color="auto" w:fill="FFFFFF" w:themeFill="background1"/>
              <w:rPr>
                <w:szCs w:val="24"/>
              </w:rPr>
            </w:pPr>
            <w:r>
              <w:rPr>
                <w:szCs w:val="24"/>
              </w:rPr>
              <w:t>*</w:t>
            </w:r>
          </w:p>
        </w:tc>
        <w:tc>
          <w:tcPr>
            <w:tcW w:w="3898" w:type="dxa"/>
            <w:gridSpan w:val="2"/>
            <w:shd w:val="clear" w:color="auto" w:fill="FFFFFF" w:themeFill="background1"/>
          </w:tcPr>
          <w:p w:rsidRPr="00972E8A" w:rsidR="001F3F3D" w:rsidP="001F3F3D" w:rsidRDefault="001F3F3D" w14:paraId="6805F593" w14:textId="77777777">
            <w:pPr>
              <w:shd w:val="clear" w:color="auto" w:fill="FFFFFF" w:themeFill="background1"/>
              <w:rPr>
                <w:szCs w:val="24"/>
              </w:rPr>
            </w:pPr>
          </w:p>
        </w:tc>
      </w:tr>
      <w:tr w:rsidRPr="00972E8A" w:rsidR="001F3F3D" w:rsidTr="00904F72" w14:paraId="399777E2" w14:textId="77777777">
        <w:tc>
          <w:tcPr>
            <w:tcW w:w="2999" w:type="dxa"/>
            <w:shd w:val="clear" w:color="auto" w:fill="FFFFFF" w:themeFill="background1"/>
          </w:tcPr>
          <w:p w:rsidRPr="00972E8A" w:rsidR="001F3F3D" w:rsidP="001F3F3D" w:rsidRDefault="001F3F3D" w14:paraId="075C1526" w14:textId="77777777">
            <w:pPr>
              <w:shd w:val="clear" w:color="auto" w:fill="FFFFFF" w:themeFill="background1"/>
              <w:rPr>
                <w:szCs w:val="24"/>
              </w:rPr>
            </w:pPr>
            <w:r w:rsidRPr="00972E8A">
              <w:rPr>
                <w:szCs w:val="24"/>
              </w:rPr>
              <w:t>Financial impact assessment completed</w:t>
            </w:r>
          </w:p>
        </w:tc>
        <w:tc>
          <w:tcPr>
            <w:tcW w:w="713" w:type="dxa"/>
            <w:shd w:val="clear" w:color="auto" w:fill="FFFFFF" w:themeFill="background1"/>
          </w:tcPr>
          <w:p w:rsidRPr="00972E8A" w:rsidR="001F3F3D" w:rsidP="001F3F3D" w:rsidRDefault="001F3F3D" w14:paraId="72A4048E" w14:textId="77777777">
            <w:pPr>
              <w:shd w:val="clear" w:color="auto" w:fill="FFFFFF" w:themeFill="background1"/>
              <w:rPr>
                <w:szCs w:val="24"/>
              </w:rPr>
            </w:pPr>
          </w:p>
        </w:tc>
        <w:tc>
          <w:tcPr>
            <w:tcW w:w="702" w:type="dxa"/>
            <w:shd w:val="clear" w:color="auto" w:fill="FFFFFF" w:themeFill="background1"/>
          </w:tcPr>
          <w:p w:rsidRPr="00972E8A" w:rsidR="001F3F3D" w:rsidP="001F3F3D" w:rsidRDefault="001F3F3D" w14:paraId="194FACCE" w14:textId="77777777">
            <w:pPr>
              <w:shd w:val="clear" w:color="auto" w:fill="FFFFFF" w:themeFill="background1"/>
              <w:rPr>
                <w:szCs w:val="24"/>
              </w:rPr>
            </w:pPr>
          </w:p>
        </w:tc>
        <w:tc>
          <w:tcPr>
            <w:tcW w:w="704" w:type="dxa"/>
            <w:shd w:val="clear" w:color="auto" w:fill="FFFFFF" w:themeFill="background1"/>
          </w:tcPr>
          <w:p w:rsidRPr="00972E8A" w:rsidR="001F3F3D" w:rsidP="001F3F3D" w:rsidRDefault="0003055E" w14:paraId="20A51FFF" w14:textId="32AF5FDA">
            <w:pPr>
              <w:shd w:val="clear" w:color="auto" w:fill="FFFFFF" w:themeFill="background1"/>
              <w:rPr>
                <w:szCs w:val="24"/>
              </w:rPr>
            </w:pPr>
            <w:r>
              <w:rPr>
                <w:szCs w:val="24"/>
              </w:rPr>
              <w:t>*</w:t>
            </w:r>
          </w:p>
        </w:tc>
        <w:tc>
          <w:tcPr>
            <w:tcW w:w="3898" w:type="dxa"/>
            <w:gridSpan w:val="2"/>
            <w:shd w:val="clear" w:color="auto" w:fill="FFFFFF" w:themeFill="background1"/>
          </w:tcPr>
          <w:p w:rsidRPr="00972E8A" w:rsidR="001F3F3D" w:rsidP="001F3F3D" w:rsidRDefault="001F3F3D" w14:paraId="79C94636" w14:textId="77777777">
            <w:pPr>
              <w:shd w:val="clear" w:color="auto" w:fill="FFFFFF" w:themeFill="background1"/>
              <w:rPr>
                <w:szCs w:val="24"/>
              </w:rPr>
            </w:pPr>
          </w:p>
        </w:tc>
      </w:tr>
      <w:tr w:rsidRPr="00972E8A" w:rsidR="001F3F3D" w:rsidTr="00904F72" w14:paraId="60375C5D" w14:textId="77777777">
        <w:tc>
          <w:tcPr>
            <w:tcW w:w="2999" w:type="dxa"/>
            <w:shd w:val="clear" w:color="auto" w:fill="FFFFFF" w:themeFill="background1"/>
          </w:tcPr>
          <w:p w:rsidRPr="00972E8A" w:rsidR="001F3F3D" w:rsidP="001F3F3D" w:rsidRDefault="001F3F3D" w14:paraId="02DEF318" w14:textId="77777777">
            <w:pPr>
              <w:shd w:val="clear" w:color="auto" w:fill="FFFFFF" w:themeFill="background1"/>
              <w:rPr>
                <w:szCs w:val="24"/>
              </w:rPr>
            </w:pPr>
            <w:r w:rsidRPr="00972E8A">
              <w:rPr>
                <w:szCs w:val="24"/>
              </w:rPr>
              <w:t>Associated risks</w:t>
            </w:r>
          </w:p>
        </w:tc>
        <w:tc>
          <w:tcPr>
            <w:tcW w:w="713" w:type="dxa"/>
            <w:shd w:val="clear" w:color="auto" w:fill="FFFFFF" w:themeFill="background1"/>
          </w:tcPr>
          <w:p w:rsidRPr="00972E8A" w:rsidR="001F3F3D" w:rsidP="001F3F3D" w:rsidRDefault="001F3F3D" w14:paraId="3E2098F7" w14:textId="77777777">
            <w:pPr>
              <w:shd w:val="clear" w:color="auto" w:fill="FFFFFF" w:themeFill="background1"/>
              <w:rPr>
                <w:szCs w:val="24"/>
              </w:rPr>
            </w:pPr>
          </w:p>
        </w:tc>
        <w:tc>
          <w:tcPr>
            <w:tcW w:w="702" w:type="dxa"/>
            <w:shd w:val="clear" w:color="auto" w:fill="FFFFFF" w:themeFill="background1"/>
          </w:tcPr>
          <w:p w:rsidRPr="00972E8A" w:rsidR="001F3F3D" w:rsidP="001F3F3D" w:rsidRDefault="001F3F3D" w14:paraId="03990CE2" w14:textId="77777777">
            <w:pPr>
              <w:shd w:val="clear" w:color="auto" w:fill="FFFFFF" w:themeFill="background1"/>
              <w:rPr>
                <w:szCs w:val="24"/>
              </w:rPr>
            </w:pPr>
          </w:p>
        </w:tc>
        <w:tc>
          <w:tcPr>
            <w:tcW w:w="704" w:type="dxa"/>
            <w:shd w:val="clear" w:color="auto" w:fill="FFFFFF" w:themeFill="background1"/>
          </w:tcPr>
          <w:p w:rsidRPr="00972E8A" w:rsidR="001F3F3D" w:rsidP="001F3F3D" w:rsidRDefault="00935E4F" w14:paraId="218FF9B8" w14:textId="46110FFD">
            <w:pPr>
              <w:shd w:val="clear" w:color="auto" w:fill="FFFFFF" w:themeFill="background1"/>
              <w:rPr>
                <w:szCs w:val="24"/>
              </w:rPr>
            </w:pPr>
            <w:r>
              <w:rPr>
                <w:szCs w:val="24"/>
              </w:rPr>
              <w:t>*</w:t>
            </w:r>
          </w:p>
        </w:tc>
        <w:tc>
          <w:tcPr>
            <w:tcW w:w="3898" w:type="dxa"/>
            <w:gridSpan w:val="2"/>
            <w:shd w:val="clear" w:color="auto" w:fill="FFFFFF" w:themeFill="background1"/>
          </w:tcPr>
          <w:p w:rsidRPr="00972E8A" w:rsidR="001F3F3D" w:rsidP="001F3F3D" w:rsidRDefault="001F3F3D" w14:paraId="2B6BC37D" w14:textId="77777777">
            <w:pPr>
              <w:shd w:val="clear" w:color="auto" w:fill="FFFFFF" w:themeFill="background1"/>
              <w:rPr>
                <w:szCs w:val="24"/>
              </w:rPr>
            </w:pPr>
          </w:p>
        </w:tc>
      </w:tr>
      <w:tr w:rsidRPr="00972E8A" w:rsidR="001F3F3D" w:rsidTr="00904F72" w14:paraId="69418540" w14:textId="77777777">
        <w:tc>
          <w:tcPr>
            <w:tcW w:w="2999" w:type="dxa"/>
            <w:shd w:val="clear" w:color="auto" w:fill="FFFFFF" w:themeFill="background1"/>
          </w:tcPr>
          <w:p w:rsidRPr="00972E8A" w:rsidR="001F3F3D" w:rsidP="001F3F3D" w:rsidRDefault="001F3F3D" w14:paraId="46DF4057" w14:textId="7EF23F73">
            <w:pPr>
              <w:shd w:val="clear" w:color="auto" w:fill="FFFFFF" w:themeFill="background1"/>
              <w:rPr>
                <w:szCs w:val="24"/>
              </w:rPr>
            </w:pPr>
            <w:r w:rsidRPr="00972E8A">
              <w:rPr>
                <w:szCs w:val="24"/>
              </w:rPr>
              <w:t>Are associated risks detailed on the IC</w:t>
            </w:r>
            <w:r w:rsidR="00523A5E">
              <w:rPr>
                <w:szCs w:val="24"/>
              </w:rPr>
              <w:t>B</w:t>
            </w:r>
            <w:r w:rsidRPr="00972E8A">
              <w:rPr>
                <w:szCs w:val="24"/>
              </w:rPr>
              <w:t xml:space="preserve"> Risk Register?</w:t>
            </w:r>
          </w:p>
        </w:tc>
        <w:tc>
          <w:tcPr>
            <w:tcW w:w="713" w:type="dxa"/>
            <w:shd w:val="clear" w:color="auto" w:fill="FFFFFF" w:themeFill="background1"/>
          </w:tcPr>
          <w:p w:rsidRPr="00972E8A" w:rsidR="001F3F3D" w:rsidP="001F3F3D" w:rsidRDefault="001F3F3D" w14:paraId="7DB41A4D" w14:textId="77777777">
            <w:pPr>
              <w:shd w:val="clear" w:color="auto" w:fill="FFFFFF" w:themeFill="background1"/>
              <w:rPr>
                <w:szCs w:val="24"/>
              </w:rPr>
            </w:pPr>
          </w:p>
        </w:tc>
        <w:tc>
          <w:tcPr>
            <w:tcW w:w="702" w:type="dxa"/>
            <w:shd w:val="clear" w:color="auto" w:fill="FFFFFF" w:themeFill="background1"/>
          </w:tcPr>
          <w:p w:rsidRPr="00972E8A" w:rsidR="001F3F3D" w:rsidP="001F3F3D" w:rsidRDefault="001F3F3D" w14:paraId="0161EDDE" w14:textId="77777777">
            <w:pPr>
              <w:shd w:val="clear" w:color="auto" w:fill="FFFFFF" w:themeFill="background1"/>
              <w:rPr>
                <w:szCs w:val="24"/>
              </w:rPr>
            </w:pPr>
          </w:p>
        </w:tc>
        <w:tc>
          <w:tcPr>
            <w:tcW w:w="704" w:type="dxa"/>
            <w:shd w:val="clear" w:color="auto" w:fill="FFFFFF" w:themeFill="background1"/>
          </w:tcPr>
          <w:p w:rsidRPr="00972E8A" w:rsidR="001F3F3D" w:rsidP="001F3F3D" w:rsidRDefault="00935E4F" w14:paraId="24EF14B9" w14:textId="179F40F1">
            <w:pPr>
              <w:shd w:val="clear" w:color="auto" w:fill="FFFFFF" w:themeFill="background1"/>
              <w:rPr>
                <w:szCs w:val="24"/>
              </w:rPr>
            </w:pPr>
            <w:r>
              <w:rPr>
                <w:szCs w:val="24"/>
              </w:rPr>
              <w:t>*</w:t>
            </w:r>
          </w:p>
        </w:tc>
        <w:tc>
          <w:tcPr>
            <w:tcW w:w="3898" w:type="dxa"/>
            <w:gridSpan w:val="2"/>
            <w:shd w:val="clear" w:color="auto" w:fill="FFFFFF" w:themeFill="background1"/>
          </w:tcPr>
          <w:p w:rsidRPr="00972E8A" w:rsidR="001F3F3D" w:rsidP="001F3F3D" w:rsidRDefault="001F3F3D" w14:paraId="02FAC418" w14:textId="77777777">
            <w:pPr>
              <w:shd w:val="clear" w:color="auto" w:fill="FFFFFF" w:themeFill="background1"/>
              <w:rPr>
                <w:szCs w:val="24"/>
              </w:rPr>
            </w:pPr>
          </w:p>
        </w:tc>
      </w:tr>
    </w:tbl>
    <w:p w:rsidRPr="00972E8A" w:rsidR="001C595C" w:rsidP="001F3F3D" w:rsidRDefault="001C595C" w14:paraId="11A1D71D" w14:textId="0F8FB4A6">
      <w:pPr>
        <w:pStyle w:val="Numberlist"/>
        <w:numPr>
          <w:ilvl w:val="0"/>
          <w:numId w:val="0"/>
        </w:numPr>
        <w:shd w:val="clear" w:color="auto" w:fill="FFFFFF" w:themeFill="background1"/>
        <w:rPr>
          <w:szCs w:val="24"/>
        </w:rPr>
      </w:pPr>
    </w:p>
    <w:tbl>
      <w:tblPr>
        <w:tblStyle w:val="TableGrid"/>
        <w:tblW w:w="0" w:type="auto"/>
        <w:tblLook w:val="04A0" w:firstRow="1" w:lastRow="0" w:firstColumn="1" w:lastColumn="0" w:noHBand="0" w:noVBand="1"/>
      </w:tblPr>
      <w:tblGrid>
        <w:gridCol w:w="2972"/>
        <w:gridCol w:w="6044"/>
      </w:tblGrid>
      <w:tr w:rsidRPr="00972E8A" w:rsidR="00904F72" w:rsidTr="00904F72" w14:paraId="61D00D71" w14:textId="77777777">
        <w:tc>
          <w:tcPr>
            <w:tcW w:w="2972" w:type="dxa"/>
            <w:shd w:val="clear" w:color="auto" w:fill="B8CCE4" w:themeFill="accent1" w:themeFillTint="66"/>
          </w:tcPr>
          <w:p w:rsidRPr="00972E8A" w:rsidR="00904F72" w:rsidP="001F3F3D" w:rsidRDefault="00904F72" w14:paraId="1D2C3BB1" w14:textId="6FBE339A">
            <w:pPr>
              <w:pStyle w:val="Numberlist"/>
              <w:numPr>
                <w:ilvl w:val="0"/>
                <w:numId w:val="0"/>
              </w:numPr>
              <w:rPr>
                <w:b/>
                <w:bCs/>
                <w:szCs w:val="24"/>
              </w:rPr>
            </w:pPr>
            <w:r w:rsidRPr="00972E8A">
              <w:rPr>
                <w:b/>
                <w:bCs/>
                <w:szCs w:val="24"/>
              </w:rPr>
              <w:t>Report authorised by:</w:t>
            </w:r>
          </w:p>
        </w:tc>
        <w:tc>
          <w:tcPr>
            <w:tcW w:w="6044" w:type="dxa"/>
          </w:tcPr>
          <w:p w:rsidRPr="00972E8A" w:rsidR="00904F72" w:rsidP="006B4B7D" w:rsidRDefault="00A55051" w14:paraId="44FABA76" w14:textId="33F60B65">
            <w:pPr>
              <w:pStyle w:val="Numberlist"/>
              <w:numPr>
                <w:ilvl w:val="0"/>
                <w:numId w:val="0"/>
              </w:numPr>
              <w:tabs>
                <w:tab w:val="left" w:pos="1753"/>
              </w:tabs>
              <w:rPr>
                <w:szCs w:val="24"/>
              </w:rPr>
            </w:pPr>
            <w:r>
              <w:rPr>
                <w:szCs w:val="24"/>
              </w:rPr>
              <w:t>Craig Harris, Chief Commissioning Officer</w:t>
            </w:r>
          </w:p>
        </w:tc>
      </w:tr>
    </w:tbl>
    <w:p w:rsidRPr="00972E8A" w:rsidR="00904F72" w:rsidP="00266DD3" w:rsidRDefault="00904F72" w14:paraId="173A742F" w14:textId="40037DDF">
      <w:pPr>
        <w:spacing w:after="0" w:line="240" w:lineRule="auto"/>
        <w:rPr>
          <w:rFonts w:eastAsiaTheme="minorEastAsia"/>
          <w:b/>
          <w:bCs/>
          <w:color w:val="000000" w:themeColor="text1"/>
          <w:kern w:val="24"/>
          <w:szCs w:val="24"/>
          <w:lang w:val="en-US" w:eastAsia="en-GB"/>
        </w:rPr>
      </w:pPr>
    </w:p>
    <w:p w:rsidRPr="00972E8A" w:rsidR="006B4B7D" w:rsidRDefault="006B4B7D" w14:paraId="0370A28A" w14:textId="011FE701">
      <w:pPr>
        <w:rPr>
          <w:rFonts w:eastAsiaTheme="minorEastAsia"/>
          <w:b/>
          <w:bCs/>
          <w:color w:val="000000" w:themeColor="text1"/>
          <w:kern w:val="24"/>
          <w:szCs w:val="24"/>
          <w:lang w:val="en-US" w:eastAsia="en-GB"/>
        </w:rPr>
      </w:pPr>
    </w:p>
    <w:sectPr w:rsidRPr="00972E8A" w:rsidR="006B4B7D" w:rsidSect="006E3B6E">
      <w:headerReference w:type="default" r:id="rId11"/>
      <w:footerReference w:type="default" r:id="rId12"/>
      <w:headerReference w:type="first" r:id="rId13"/>
      <w:pgSz w:w="11906" w:h="16838" w:orient="portrait"/>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385" w:rsidP="00811A35" w:rsidRDefault="001A4385" w14:paraId="1A7F9F83" w14:textId="77777777">
      <w:pPr>
        <w:spacing w:after="0" w:line="240" w:lineRule="auto"/>
      </w:pPr>
      <w:r>
        <w:separator/>
      </w:r>
    </w:p>
  </w:endnote>
  <w:endnote w:type="continuationSeparator" w:id="0">
    <w:p w:rsidR="001A4385" w:rsidP="00811A35" w:rsidRDefault="001A4385" w14:paraId="6A25944B" w14:textId="77777777">
      <w:pPr>
        <w:spacing w:after="0" w:line="240" w:lineRule="auto"/>
      </w:pPr>
      <w:r>
        <w:continuationSeparator/>
      </w:r>
    </w:p>
  </w:endnote>
  <w:endnote w:type="continuationNotice" w:id="1">
    <w:p w:rsidR="001A4385" w:rsidRDefault="001A4385" w14:paraId="0C04BE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47445"/>
      <w:docPartObj>
        <w:docPartGallery w:val="Page Numbers (Bottom of Page)"/>
        <w:docPartUnique/>
      </w:docPartObj>
    </w:sdtPr>
    <w:sdtEndPr>
      <w:rPr>
        <w:noProof/>
      </w:rPr>
    </w:sdtEndPr>
    <w:sdtContent>
      <w:p w:rsidR="00CA5ED8" w:rsidRDefault="00CA5ED8" w14:paraId="3C4967D4" w14:textId="77777777">
        <w:pPr>
          <w:pStyle w:val="Footer"/>
          <w:jc w:val="right"/>
        </w:pPr>
        <w:r>
          <w:fldChar w:fldCharType="begin"/>
        </w:r>
        <w:r>
          <w:instrText xml:space="preserve"> PAGE   \* MERGEFORMAT </w:instrText>
        </w:r>
        <w:r>
          <w:fldChar w:fldCharType="separate"/>
        </w:r>
        <w:r w:rsidR="00DE0E3C">
          <w:rPr>
            <w:noProof/>
          </w:rPr>
          <w:t>1</w:t>
        </w:r>
        <w:r>
          <w:rPr>
            <w:noProof/>
          </w:rPr>
          <w:fldChar w:fldCharType="end"/>
        </w:r>
      </w:p>
    </w:sdtContent>
  </w:sdt>
  <w:p w:rsidR="00CA5ED8" w:rsidRDefault="00CA5ED8" w14:paraId="672107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385" w:rsidP="00811A35" w:rsidRDefault="001A4385" w14:paraId="0197479E" w14:textId="77777777">
      <w:pPr>
        <w:spacing w:after="0" w:line="240" w:lineRule="auto"/>
      </w:pPr>
      <w:r>
        <w:separator/>
      </w:r>
    </w:p>
  </w:footnote>
  <w:footnote w:type="continuationSeparator" w:id="0">
    <w:p w:rsidR="001A4385" w:rsidP="00811A35" w:rsidRDefault="001A4385" w14:paraId="4597C4E5" w14:textId="77777777">
      <w:pPr>
        <w:spacing w:after="0" w:line="240" w:lineRule="auto"/>
      </w:pPr>
      <w:r>
        <w:continuationSeparator/>
      </w:r>
    </w:p>
  </w:footnote>
  <w:footnote w:type="continuationNotice" w:id="1">
    <w:p w:rsidR="001A4385" w:rsidRDefault="001A4385" w14:paraId="656E6EB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3B6E" w:rsidR="00811A35" w:rsidP="006E3B6E" w:rsidRDefault="00811A35" w14:paraId="01FED1BC" w14:textId="4F9224E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E3B6E" w:rsidP="006E3B6E" w:rsidRDefault="006E3B6E" w14:paraId="2D985332" w14:textId="7A908692">
    <w:pPr>
      <w:pStyle w:val="Header"/>
      <w:jc w:val="right"/>
    </w:pPr>
    <w:r>
      <w:rPr>
        <w:noProof/>
      </w:rPr>
      <w:drawing>
        <wp:inline distT="0" distB="0" distL="0" distR="0" wp14:anchorId="1BFCB57D" wp14:editId="20B27DCB">
          <wp:extent cx="1591310" cy="10363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8A3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E53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16BA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387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EEFEE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7823A3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8E6F93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4C7F6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2541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EA5C7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0F338C"/>
    <w:multiLevelType w:val="multilevel"/>
    <w:tmpl w:val="AFC6B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C055FD"/>
    <w:multiLevelType w:val="multilevel"/>
    <w:tmpl w:val="12386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5D6FE3"/>
    <w:multiLevelType w:val="multilevel"/>
    <w:tmpl w:val="6FEC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08236F"/>
    <w:multiLevelType w:val="multilevel"/>
    <w:tmpl w:val="13F05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07E68"/>
    <w:multiLevelType w:val="multilevel"/>
    <w:tmpl w:val="7D0E0F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537E49"/>
    <w:multiLevelType w:val="hybridMultilevel"/>
    <w:tmpl w:val="E850D13C"/>
    <w:lvl w:ilvl="0" w:tplc="0716572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622B84"/>
    <w:multiLevelType w:val="hybridMultilevel"/>
    <w:tmpl w:val="57E8C080"/>
    <w:lvl w:ilvl="0" w:tplc="78749688">
      <w:numFmt w:val="bullet"/>
      <w:pStyle w:val="Bulletlis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7971516"/>
    <w:multiLevelType w:val="multilevel"/>
    <w:tmpl w:val="354C2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612BAE"/>
    <w:multiLevelType w:val="multilevel"/>
    <w:tmpl w:val="B5C257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A56C76"/>
    <w:multiLevelType w:val="multilevel"/>
    <w:tmpl w:val="60180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2139F4"/>
    <w:multiLevelType w:val="hybridMultilevel"/>
    <w:tmpl w:val="E7FC3CD0"/>
    <w:lvl w:ilvl="0" w:tplc="8C88BFF4">
      <w:start w:val="1"/>
      <w:numFmt w:val="bullet"/>
      <w:lvlText w:val="•"/>
      <w:lvlJc w:val="left"/>
      <w:pPr>
        <w:tabs>
          <w:tab w:val="num" w:pos="720"/>
        </w:tabs>
        <w:ind w:left="720" w:hanging="360"/>
      </w:pPr>
      <w:rPr>
        <w:rFonts w:hint="default" w:ascii="Arial" w:hAnsi="Arial"/>
      </w:rPr>
    </w:lvl>
    <w:lvl w:ilvl="1" w:tplc="A6F0CC66">
      <w:start w:val="1"/>
      <w:numFmt w:val="bullet"/>
      <w:lvlText w:val="•"/>
      <w:lvlJc w:val="left"/>
      <w:pPr>
        <w:tabs>
          <w:tab w:val="num" w:pos="1440"/>
        </w:tabs>
        <w:ind w:left="1440" w:hanging="360"/>
      </w:pPr>
      <w:rPr>
        <w:rFonts w:hint="default" w:ascii="Arial" w:hAnsi="Arial"/>
      </w:rPr>
    </w:lvl>
    <w:lvl w:ilvl="2" w:tplc="E50CA9C4" w:tentative="1">
      <w:start w:val="1"/>
      <w:numFmt w:val="bullet"/>
      <w:lvlText w:val="•"/>
      <w:lvlJc w:val="left"/>
      <w:pPr>
        <w:tabs>
          <w:tab w:val="num" w:pos="2160"/>
        </w:tabs>
        <w:ind w:left="2160" w:hanging="360"/>
      </w:pPr>
      <w:rPr>
        <w:rFonts w:hint="default" w:ascii="Arial" w:hAnsi="Arial"/>
      </w:rPr>
    </w:lvl>
    <w:lvl w:ilvl="3" w:tplc="6C70819E" w:tentative="1">
      <w:start w:val="1"/>
      <w:numFmt w:val="bullet"/>
      <w:lvlText w:val="•"/>
      <w:lvlJc w:val="left"/>
      <w:pPr>
        <w:tabs>
          <w:tab w:val="num" w:pos="2880"/>
        </w:tabs>
        <w:ind w:left="2880" w:hanging="360"/>
      </w:pPr>
      <w:rPr>
        <w:rFonts w:hint="default" w:ascii="Arial" w:hAnsi="Arial"/>
      </w:rPr>
    </w:lvl>
    <w:lvl w:ilvl="4" w:tplc="F67E079C" w:tentative="1">
      <w:start w:val="1"/>
      <w:numFmt w:val="bullet"/>
      <w:lvlText w:val="•"/>
      <w:lvlJc w:val="left"/>
      <w:pPr>
        <w:tabs>
          <w:tab w:val="num" w:pos="3600"/>
        </w:tabs>
        <w:ind w:left="3600" w:hanging="360"/>
      </w:pPr>
      <w:rPr>
        <w:rFonts w:hint="default" w:ascii="Arial" w:hAnsi="Arial"/>
      </w:rPr>
    </w:lvl>
    <w:lvl w:ilvl="5" w:tplc="46A82C8A" w:tentative="1">
      <w:start w:val="1"/>
      <w:numFmt w:val="bullet"/>
      <w:lvlText w:val="•"/>
      <w:lvlJc w:val="left"/>
      <w:pPr>
        <w:tabs>
          <w:tab w:val="num" w:pos="4320"/>
        </w:tabs>
        <w:ind w:left="4320" w:hanging="360"/>
      </w:pPr>
      <w:rPr>
        <w:rFonts w:hint="default" w:ascii="Arial" w:hAnsi="Arial"/>
      </w:rPr>
    </w:lvl>
    <w:lvl w:ilvl="6" w:tplc="FD961AA8" w:tentative="1">
      <w:start w:val="1"/>
      <w:numFmt w:val="bullet"/>
      <w:lvlText w:val="•"/>
      <w:lvlJc w:val="left"/>
      <w:pPr>
        <w:tabs>
          <w:tab w:val="num" w:pos="5040"/>
        </w:tabs>
        <w:ind w:left="5040" w:hanging="360"/>
      </w:pPr>
      <w:rPr>
        <w:rFonts w:hint="default" w:ascii="Arial" w:hAnsi="Arial"/>
      </w:rPr>
    </w:lvl>
    <w:lvl w:ilvl="7" w:tplc="E042F096" w:tentative="1">
      <w:start w:val="1"/>
      <w:numFmt w:val="bullet"/>
      <w:lvlText w:val="•"/>
      <w:lvlJc w:val="left"/>
      <w:pPr>
        <w:tabs>
          <w:tab w:val="num" w:pos="5760"/>
        </w:tabs>
        <w:ind w:left="5760" w:hanging="360"/>
      </w:pPr>
      <w:rPr>
        <w:rFonts w:hint="default" w:ascii="Arial" w:hAnsi="Arial"/>
      </w:rPr>
    </w:lvl>
    <w:lvl w:ilvl="8" w:tplc="70C834C8"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50842797"/>
    <w:multiLevelType w:val="multilevel"/>
    <w:tmpl w:val="F88826A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230362"/>
    <w:multiLevelType w:val="multilevel"/>
    <w:tmpl w:val="EA541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776FD1"/>
    <w:multiLevelType w:val="hybridMultilevel"/>
    <w:tmpl w:val="3A7C02AE"/>
    <w:lvl w:ilvl="0" w:tplc="26B0B18E">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EA73D4"/>
    <w:multiLevelType w:val="multilevel"/>
    <w:tmpl w:val="476ED944"/>
    <w:lvl w:ilvl="0">
      <w:start w:val="2"/>
      <w:numFmt w:val="decimal"/>
      <w:lvlText w:val="%1."/>
      <w:lvlJc w:val="left"/>
      <w:pPr>
        <w:tabs>
          <w:tab w:val="num" w:pos="720"/>
        </w:tabs>
        <w:ind w:left="720" w:hanging="360"/>
      </w:p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F6288F"/>
    <w:multiLevelType w:val="multilevel"/>
    <w:tmpl w:val="7856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942868">
    <w:abstractNumId w:val="16"/>
  </w:num>
  <w:num w:numId="2" w16cid:durableId="1256480221">
    <w:abstractNumId w:val="9"/>
  </w:num>
  <w:num w:numId="3" w16cid:durableId="436367418">
    <w:abstractNumId w:val="7"/>
  </w:num>
  <w:num w:numId="4" w16cid:durableId="1928347352">
    <w:abstractNumId w:val="6"/>
  </w:num>
  <w:num w:numId="5" w16cid:durableId="437338224">
    <w:abstractNumId w:val="5"/>
  </w:num>
  <w:num w:numId="6" w16cid:durableId="1416900918">
    <w:abstractNumId w:val="4"/>
  </w:num>
  <w:num w:numId="7" w16cid:durableId="309599505">
    <w:abstractNumId w:val="8"/>
  </w:num>
  <w:num w:numId="8" w16cid:durableId="1776049273">
    <w:abstractNumId w:val="3"/>
  </w:num>
  <w:num w:numId="9" w16cid:durableId="1738046077">
    <w:abstractNumId w:val="2"/>
  </w:num>
  <w:num w:numId="10" w16cid:durableId="1245840101">
    <w:abstractNumId w:val="1"/>
  </w:num>
  <w:num w:numId="11" w16cid:durableId="191889870">
    <w:abstractNumId w:val="0"/>
  </w:num>
  <w:num w:numId="12" w16cid:durableId="1835607403">
    <w:abstractNumId w:val="23"/>
  </w:num>
  <w:num w:numId="13" w16cid:durableId="1495994256">
    <w:abstractNumId w:val="24"/>
  </w:num>
  <w:num w:numId="14" w16cid:durableId="205945778">
    <w:abstractNumId w:val="20"/>
  </w:num>
  <w:num w:numId="15" w16cid:durableId="1958681316">
    <w:abstractNumId w:val="21"/>
  </w:num>
  <w:num w:numId="16" w16cid:durableId="478033175">
    <w:abstractNumId w:val="15"/>
  </w:num>
  <w:num w:numId="17" w16cid:durableId="1233392337">
    <w:abstractNumId w:val="25"/>
  </w:num>
  <w:num w:numId="18" w16cid:durableId="668872371">
    <w:abstractNumId w:val="22"/>
  </w:num>
  <w:num w:numId="19" w16cid:durableId="138351778">
    <w:abstractNumId w:val="13"/>
  </w:num>
  <w:num w:numId="20" w16cid:durableId="1951818002">
    <w:abstractNumId w:val="19"/>
  </w:num>
  <w:num w:numId="21" w16cid:durableId="1456631014">
    <w:abstractNumId w:val="12"/>
  </w:num>
  <w:num w:numId="22" w16cid:durableId="107284286">
    <w:abstractNumId w:val="11"/>
  </w:num>
  <w:num w:numId="23" w16cid:durableId="1815216550">
    <w:abstractNumId w:val="17"/>
  </w:num>
  <w:num w:numId="24" w16cid:durableId="1080366721">
    <w:abstractNumId w:val="18"/>
  </w:num>
  <w:num w:numId="25" w16cid:durableId="1535651847">
    <w:abstractNumId w:val="14"/>
  </w:num>
  <w:num w:numId="26" w16cid:durableId="120101678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35"/>
    <w:rsid w:val="00020CAD"/>
    <w:rsid w:val="0003055E"/>
    <w:rsid w:val="00034491"/>
    <w:rsid w:val="000B3E51"/>
    <w:rsid w:val="000E29FC"/>
    <w:rsid w:val="00175074"/>
    <w:rsid w:val="001756FC"/>
    <w:rsid w:val="00192365"/>
    <w:rsid w:val="001A4385"/>
    <w:rsid w:val="001C595C"/>
    <w:rsid w:val="001D04CF"/>
    <w:rsid w:val="001F03C7"/>
    <w:rsid w:val="001F3F3D"/>
    <w:rsid w:val="001F64BF"/>
    <w:rsid w:val="00204CC2"/>
    <w:rsid w:val="00266DD3"/>
    <w:rsid w:val="00286BBA"/>
    <w:rsid w:val="002B457C"/>
    <w:rsid w:val="002B6BA0"/>
    <w:rsid w:val="002C051A"/>
    <w:rsid w:val="00301926"/>
    <w:rsid w:val="0032793F"/>
    <w:rsid w:val="00347568"/>
    <w:rsid w:val="0036772A"/>
    <w:rsid w:val="003839D2"/>
    <w:rsid w:val="003A27CA"/>
    <w:rsid w:val="003B7114"/>
    <w:rsid w:val="004025BF"/>
    <w:rsid w:val="00422A68"/>
    <w:rsid w:val="004269F3"/>
    <w:rsid w:val="00433F41"/>
    <w:rsid w:val="004523DD"/>
    <w:rsid w:val="004D7E6B"/>
    <w:rsid w:val="00513BB3"/>
    <w:rsid w:val="00523A5E"/>
    <w:rsid w:val="00533AB0"/>
    <w:rsid w:val="0056654E"/>
    <w:rsid w:val="0057242E"/>
    <w:rsid w:val="005B693D"/>
    <w:rsid w:val="005C394A"/>
    <w:rsid w:val="006136D7"/>
    <w:rsid w:val="00637270"/>
    <w:rsid w:val="00641141"/>
    <w:rsid w:val="00680F4E"/>
    <w:rsid w:val="006B4B7D"/>
    <w:rsid w:val="006E3B6E"/>
    <w:rsid w:val="006F55A7"/>
    <w:rsid w:val="00714A5A"/>
    <w:rsid w:val="00755ECA"/>
    <w:rsid w:val="00776B44"/>
    <w:rsid w:val="00782242"/>
    <w:rsid w:val="00787F16"/>
    <w:rsid w:val="0079562C"/>
    <w:rsid w:val="007A27B7"/>
    <w:rsid w:val="007A7298"/>
    <w:rsid w:val="007B34ED"/>
    <w:rsid w:val="00811A35"/>
    <w:rsid w:val="008B03F5"/>
    <w:rsid w:val="008B0601"/>
    <w:rsid w:val="008B2514"/>
    <w:rsid w:val="008F6178"/>
    <w:rsid w:val="00904F72"/>
    <w:rsid w:val="00915155"/>
    <w:rsid w:val="00935E4F"/>
    <w:rsid w:val="00955869"/>
    <w:rsid w:val="009611AA"/>
    <w:rsid w:val="00972E8A"/>
    <w:rsid w:val="009B40B5"/>
    <w:rsid w:val="009C0B4C"/>
    <w:rsid w:val="009C571F"/>
    <w:rsid w:val="009F0774"/>
    <w:rsid w:val="00A55051"/>
    <w:rsid w:val="00A70940"/>
    <w:rsid w:val="00A76BEE"/>
    <w:rsid w:val="00A8443B"/>
    <w:rsid w:val="00A85699"/>
    <w:rsid w:val="00A8631D"/>
    <w:rsid w:val="00AB13B7"/>
    <w:rsid w:val="00AD6C13"/>
    <w:rsid w:val="00AE457D"/>
    <w:rsid w:val="00B841FC"/>
    <w:rsid w:val="00BA7909"/>
    <w:rsid w:val="00BE06CE"/>
    <w:rsid w:val="00BE342D"/>
    <w:rsid w:val="00BE5B40"/>
    <w:rsid w:val="00BE5F0A"/>
    <w:rsid w:val="00BF6424"/>
    <w:rsid w:val="00C32A53"/>
    <w:rsid w:val="00C346AD"/>
    <w:rsid w:val="00C5500C"/>
    <w:rsid w:val="00C66397"/>
    <w:rsid w:val="00CA5ED8"/>
    <w:rsid w:val="00CB0B86"/>
    <w:rsid w:val="00CD18C7"/>
    <w:rsid w:val="00CE68B5"/>
    <w:rsid w:val="00CF5C7D"/>
    <w:rsid w:val="00D21DAD"/>
    <w:rsid w:val="00D8683A"/>
    <w:rsid w:val="00DA478E"/>
    <w:rsid w:val="00DC21DE"/>
    <w:rsid w:val="00DE0E3C"/>
    <w:rsid w:val="00E3007F"/>
    <w:rsid w:val="00E430EE"/>
    <w:rsid w:val="00E97EE6"/>
    <w:rsid w:val="00EB5AE5"/>
    <w:rsid w:val="00ED0AC5"/>
    <w:rsid w:val="00ED317F"/>
    <w:rsid w:val="00F239FD"/>
    <w:rsid w:val="00F63F09"/>
    <w:rsid w:val="00F90C7B"/>
    <w:rsid w:val="00FE2428"/>
    <w:rsid w:val="00FE3F99"/>
    <w:rsid w:val="00FF2077"/>
    <w:rsid w:val="09A1B54F"/>
    <w:rsid w:val="0C3BD881"/>
    <w:rsid w:val="246296C8"/>
    <w:rsid w:val="3CF031F9"/>
    <w:rsid w:val="54F8C2DA"/>
    <w:rsid w:val="70D01D52"/>
    <w:rsid w:val="79D60067"/>
    <w:rsid w:val="7DA663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E8BF"/>
  <w15:docId w15:val="{DDA5E773-A36A-4BAB-96D4-5D3E3546AA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1A35"/>
    <w:rPr>
      <w:sz w:val="24"/>
    </w:rPr>
  </w:style>
  <w:style w:type="paragraph" w:styleId="Heading1">
    <w:name w:val="heading 1"/>
    <w:basedOn w:val="Normal"/>
    <w:next w:val="Normal"/>
    <w:link w:val="Heading1Char"/>
    <w:uiPriority w:val="9"/>
    <w:qFormat/>
    <w:rsid w:val="00811A35"/>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811A35"/>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811A35"/>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811A35"/>
    <w:pPr>
      <w:keepNext/>
      <w:keepLines/>
      <w:spacing w:before="200"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811A35"/>
    <w:pPr>
      <w:keepNext/>
      <w:keepLines/>
      <w:spacing w:before="200" w:after="0"/>
      <w:outlineLvl w:val="4"/>
    </w:pPr>
    <w:rPr>
      <w:rFonts w:eastAsiaTheme="majorEastAsia" w:cstheme="majorBid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11A35"/>
    <w:rPr>
      <w:rFonts w:eastAsiaTheme="majorEastAsia" w:cstheme="majorBidi"/>
      <w:b/>
      <w:bCs/>
      <w:sz w:val="36"/>
      <w:szCs w:val="28"/>
    </w:rPr>
  </w:style>
  <w:style w:type="character" w:styleId="Heading2Char" w:customStyle="1">
    <w:name w:val="Heading 2 Char"/>
    <w:basedOn w:val="DefaultParagraphFont"/>
    <w:link w:val="Heading2"/>
    <w:uiPriority w:val="9"/>
    <w:rsid w:val="00811A35"/>
    <w:rPr>
      <w:rFonts w:eastAsiaTheme="majorEastAsia" w:cstheme="majorBidi"/>
      <w:b/>
      <w:bCs/>
      <w:sz w:val="32"/>
      <w:szCs w:val="26"/>
    </w:rPr>
  </w:style>
  <w:style w:type="character" w:styleId="Heading3Char" w:customStyle="1">
    <w:name w:val="Heading 3 Char"/>
    <w:basedOn w:val="DefaultParagraphFont"/>
    <w:link w:val="Heading3"/>
    <w:uiPriority w:val="9"/>
    <w:rsid w:val="00811A35"/>
    <w:rPr>
      <w:rFonts w:eastAsiaTheme="majorEastAsia" w:cstheme="majorBidi"/>
      <w:b/>
      <w:bCs/>
      <w:sz w:val="28"/>
    </w:rPr>
  </w:style>
  <w:style w:type="character" w:styleId="Heading4Char" w:customStyle="1">
    <w:name w:val="Heading 4 Char"/>
    <w:basedOn w:val="DefaultParagraphFont"/>
    <w:link w:val="Heading4"/>
    <w:uiPriority w:val="9"/>
    <w:rsid w:val="00811A35"/>
    <w:rPr>
      <w:rFonts w:eastAsiaTheme="majorEastAsia" w:cstheme="majorBidi"/>
      <w:b/>
      <w:bCs/>
      <w:iCs/>
      <w:sz w:val="26"/>
    </w:rPr>
  </w:style>
  <w:style w:type="character" w:styleId="Heading5Char" w:customStyle="1">
    <w:name w:val="Heading 5 Char"/>
    <w:basedOn w:val="DefaultParagraphFont"/>
    <w:link w:val="Heading5"/>
    <w:uiPriority w:val="9"/>
    <w:rsid w:val="00811A35"/>
    <w:rPr>
      <w:rFonts w:eastAsiaTheme="majorEastAsia" w:cstheme="majorBidi"/>
      <w:b/>
      <w:sz w:val="24"/>
    </w:rPr>
  </w:style>
  <w:style w:type="paragraph" w:styleId="Header">
    <w:name w:val="header"/>
    <w:basedOn w:val="Normal"/>
    <w:link w:val="HeaderChar"/>
    <w:uiPriority w:val="99"/>
    <w:unhideWhenUsed/>
    <w:rsid w:val="00811A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1A35"/>
    <w:rPr>
      <w:sz w:val="24"/>
    </w:rPr>
  </w:style>
  <w:style w:type="paragraph" w:styleId="Footer">
    <w:name w:val="footer"/>
    <w:basedOn w:val="Normal"/>
    <w:link w:val="FooterChar"/>
    <w:uiPriority w:val="99"/>
    <w:unhideWhenUsed/>
    <w:rsid w:val="00811A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1A35"/>
    <w:rPr>
      <w:sz w:val="24"/>
    </w:rPr>
  </w:style>
  <w:style w:type="paragraph" w:styleId="BalloonText">
    <w:name w:val="Balloon Text"/>
    <w:basedOn w:val="Normal"/>
    <w:link w:val="BalloonTextChar"/>
    <w:uiPriority w:val="99"/>
    <w:semiHidden/>
    <w:unhideWhenUsed/>
    <w:rsid w:val="00811A3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11A35"/>
    <w:rPr>
      <w:rFonts w:ascii="Tahoma" w:hAnsi="Tahoma" w:cs="Tahoma"/>
      <w:sz w:val="16"/>
      <w:szCs w:val="16"/>
    </w:rPr>
  </w:style>
  <w:style w:type="paragraph" w:styleId="ListParagraph">
    <w:name w:val="List Paragraph"/>
    <w:basedOn w:val="Normal"/>
    <w:link w:val="ListParagraphChar"/>
    <w:uiPriority w:val="34"/>
    <w:rsid w:val="00811A35"/>
    <w:pPr>
      <w:ind w:left="720"/>
      <w:contextualSpacing/>
    </w:pPr>
  </w:style>
  <w:style w:type="paragraph" w:styleId="Bulletlist" w:customStyle="1">
    <w:name w:val="Bullet list"/>
    <w:basedOn w:val="ListParagraph"/>
    <w:link w:val="BulletlistChar"/>
    <w:qFormat/>
    <w:rsid w:val="00E3007F"/>
    <w:pPr>
      <w:numPr>
        <w:numId w:val="1"/>
      </w:numPr>
      <w:ind w:left="357" w:firstLine="0"/>
    </w:pPr>
  </w:style>
  <w:style w:type="paragraph" w:styleId="Headers" w:customStyle="1">
    <w:name w:val="Headers"/>
    <w:basedOn w:val="Header"/>
    <w:link w:val="HeadersChar"/>
    <w:rsid w:val="00CA5ED8"/>
    <w:rPr>
      <w:noProof/>
      <w:lang w:eastAsia="en-GB"/>
    </w:rPr>
  </w:style>
  <w:style w:type="character" w:styleId="ListParagraphChar" w:customStyle="1">
    <w:name w:val="List Paragraph Char"/>
    <w:basedOn w:val="DefaultParagraphFont"/>
    <w:link w:val="ListParagraph"/>
    <w:uiPriority w:val="34"/>
    <w:rsid w:val="00811A35"/>
    <w:rPr>
      <w:sz w:val="24"/>
    </w:rPr>
  </w:style>
  <w:style w:type="character" w:styleId="BulletlistChar" w:customStyle="1">
    <w:name w:val="Bullet list Char"/>
    <w:basedOn w:val="ListParagraphChar"/>
    <w:link w:val="Bulletlist"/>
    <w:rsid w:val="00E3007F"/>
    <w:rPr>
      <w:sz w:val="24"/>
    </w:rPr>
  </w:style>
  <w:style w:type="character" w:styleId="PageNumber">
    <w:name w:val="page number"/>
    <w:basedOn w:val="DefaultParagraphFont"/>
    <w:uiPriority w:val="99"/>
    <w:unhideWhenUsed/>
    <w:rsid w:val="00CA5ED8"/>
  </w:style>
  <w:style w:type="character" w:styleId="HeadersChar" w:customStyle="1">
    <w:name w:val="Headers Char"/>
    <w:basedOn w:val="HeaderChar"/>
    <w:link w:val="Headers"/>
    <w:rsid w:val="00CA5ED8"/>
    <w:rPr>
      <w:noProof/>
      <w:sz w:val="24"/>
      <w:lang w:eastAsia="en-GB"/>
    </w:rPr>
  </w:style>
  <w:style w:type="paragraph" w:styleId="Numberlist" w:customStyle="1">
    <w:name w:val="Number list"/>
    <w:basedOn w:val="ListParagraph"/>
    <w:link w:val="NumberlistChar"/>
    <w:qFormat/>
    <w:rsid w:val="00BF6424"/>
    <w:pPr>
      <w:numPr>
        <w:numId w:val="12"/>
      </w:numPr>
      <w:ind w:left="357" w:firstLine="0"/>
    </w:pPr>
  </w:style>
  <w:style w:type="character" w:styleId="NumberlistChar" w:customStyle="1">
    <w:name w:val="Number list Char"/>
    <w:basedOn w:val="ListParagraphChar"/>
    <w:link w:val="Numberlist"/>
    <w:rsid w:val="00BF6424"/>
    <w:rPr>
      <w:sz w:val="24"/>
    </w:rPr>
  </w:style>
  <w:style w:type="table" w:styleId="TableGrid">
    <w:name w:val="Table Grid"/>
    <w:basedOn w:val="TableNormal"/>
    <w:uiPriority w:val="59"/>
    <w:rsid w:val="00A8443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6B4B7D"/>
    <w:rPr>
      <w:rFonts w:ascii="Times New Roman" w:hAnsi="Times New Roman" w:cs="Times New Roman"/>
      <w:szCs w:val="24"/>
    </w:rPr>
  </w:style>
  <w:style w:type="character" w:styleId="normaltextrun" w:customStyle="1">
    <w:name w:val="normaltextrun"/>
    <w:basedOn w:val="DefaultParagraphFont"/>
    <w:rsid w:val="00AB13B7"/>
  </w:style>
  <w:style w:type="paragraph" w:styleId="paragraph" w:customStyle="1">
    <w:name w:val="paragraph"/>
    <w:basedOn w:val="Normal"/>
    <w:rsid w:val="00192365"/>
    <w:pPr>
      <w:spacing w:before="100" w:beforeAutospacing="1" w:after="100" w:afterAutospacing="1" w:line="240" w:lineRule="auto"/>
    </w:pPr>
    <w:rPr>
      <w:rFonts w:ascii="Times New Roman" w:hAnsi="Times New Roman" w:eastAsia="Times New Roman" w:cs="Times New Roman"/>
      <w:szCs w:val="24"/>
      <w:lang w:eastAsia="en-GB"/>
    </w:rPr>
  </w:style>
  <w:style w:type="character" w:styleId="eop" w:customStyle="1">
    <w:name w:val="eop"/>
    <w:basedOn w:val="DefaultParagraphFont"/>
    <w:rsid w:val="00192365"/>
  </w:style>
  <w:style w:type="character" w:styleId="tabchar" w:customStyle="1">
    <w:name w:val="tabchar"/>
    <w:basedOn w:val="DefaultParagraphFont"/>
    <w:rsid w:val="00192365"/>
  </w:style>
  <w:style w:type="character" w:styleId="CommentReference">
    <w:name w:val="Comment Reference"/>
    <w:basedOn w:val="DefaultParagraphFont"/>
    <w:uiPriority w:val="99"/>
    <w:semiHidden/>
    <w:unhideWhenUsed/>
    <w:rsid w:val="00A55051"/>
    <w:rPr>
      <w:sz w:val="16"/>
      <w:szCs w:val="16"/>
    </w:rPr>
  </w:style>
  <w:style w:type="paragraph" w:styleId="CommentText">
    <w:name w:val="Comment Text"/>
    <w:basedOn w:val="Normal"/>
    <w:link w:val="CommentTextChar"/>
    <w:uiPriority w:val="99"/>
    <w:unhideWhenUsed/>
    <w:rsid w:val="00A55051"/>
    <w:pPr>
      <w:spacing w:line="240" w:lineRule="auto"/>
    </w:pPr>
    <w:rPr>
      <w:sz w:val="20"/>
      <w:szCs w:val="20"/>
    </w:rPr>
  </w:style>
  <w:style w:type="character" w:styleId="CommentTextChar" w:customStyle="1">
    <w:name w:val="Comment Text Char"/>
    <w:basedOn w:val="DefaultParagraphFont"/>
    <w:link w:val="CommentText"/>
    <w:uiPriority w:val="99"/>
    <w:rsid w:val="00A55051"/>
    <w:rPr>
      <w:sz w:val="20"/>
      <w:szCs w:val="20"/>
    </w:rPr>
  </w:style>
  <w:style w:type="paragraph" w:styleId="CommentSubject">
    <w:name w:val="Comment Subject"/>
    <w:basedOn w:val="CommentText"/>
    <w:next w:val="CommentText"/>
    <w:link w:val="CommentSubjectChar"/>
    <w:uiPriority w:val="99"/>
    <w:semiHidden/>
    <w:unhideWhenUsed/>
    <w:rsid w:val="00A55051"/>
    <w:rPr>
      <w:b/>
      <w:bCs/>
    </w:rPr>
  </w:style>
  <w:style w:type="character" w:styleId="CommentSubjectChar" w:customStyle="1">
    <w:name w:val="Comment Subject Char"/>
    <w:basedOn w:val="CommentTextChar"/>
    <w:link w:val="CommentSubject"/>
    <w:uiPriority w:val="99"/>
    <w:semiHidden/>
    <w:rsid w:val="00A550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616485">
      <w:bodyDiv w:val="1"/>
      <w:marLeft w:val="0"/>
      <w:marRight w:val="0"/>
      <w:marTop w:val="0"/>
      <w:marBottom w:val="0"/>
      <w:divBdr>
        <w:top w:val="none" w:sz="0" w:space="0" w:color="auto"/>
        <w:left w:val="none" w:sz="0" w:space="0" w:color="auto"/>
        <w:bottom w:val="none" w:sz="0" w:space="0" w:color="auto"/>
        <w:right w:val="none" w:sz="0" w:space="0" w:color="auto"/>
      </w:divBdr>
      <w:divsChild>
        <w:div w:id="141192097">
          <w:marLeft w:val="0"/>
          <w:marRight w:val="0"/>
          <w:marTop w:val="0"/>
          <w:marBottom w:val="0"/>
          <w:divBdr>
            <w:top w:val="none" w:sz="0" w:space="0" w:color="auto"/>
            <w:left w:val="none" w:sz="0" w:space="0" w:color="auto"/>
            <w:bottom w:val="none" w:sz="0" w:space="0" w:color="auto"/>
            <w:right w:val="none" w:sz="0" w:space="0" w:color="auto"/>
          </w:divBdr>
        </w:div>
        <w:div w:id="201938295">
          <w:marLeft w:val="0"/>
          <w:marRight w:val="0"/>
          <w:marTop w:val="0"/>
          <w:marBottom w:val="0"/>
          <w:divBdr>
            <w:top w:val="none" w:sz="0" w:space="0" w:color="auto"/>
            <w:left w:val="none" w:sz="0" w:space="0" w:color="auto"/>
            <w:bottom w:val="none" w:sz="0" w:space="0" w:color="auto"/>
            <w:right w:val="none" w:sz="0" w:space="0" w:color="auto"/>
          </w:divBdr>
        </w:div>
        <w:div w:id="386800319">
          <w:marLeft w:val="0"/>
          <w:marRight w:val="0"/>
          <w:marTop w:val="0"/>
          <w:marBottom w:val="0"/>
          <w:divBdr>
            <w:top w:val="none" w:sz="0" w:space="0" w:color="auto"/>
            <w:left w:val="none" w:sz="0" w:space="0" w:color="auto"/>
            <w:bottom w:val="none" w:sz="0" w:space="0" w:color="auto"/>
            <w:right w:val="none" w:sz="0" w:space="0" w:color="auto"/>
          </w:divBdr>
        </w:div>
        <w:div w:id="946739012">
          <w:marLeft w:val="0"/>
          <w:marRight w:val="0"/>
          <w:marTop w:val="0"/>
          <w:marBottom w:val="0"/>
          <w:divBdr>
            <w:top w:val="none" w:sz="0" w:space="0" w:color="auto"/>
            <w:left w:val="none" w:sz="0" w:space="0" w:color="auto"/>
            <w:bottom w:val="none" w:sz="0" w:space="0" w:color="auto"/>
            <w:right w:val="none" w:sz="0" w:space="0" w:color="auto"/>
          </w:divBdr>
        </w:div>
        <w:div w:id="1185940327">
          <w:marLeft w:val="0"/>
          <w:marRight w:val="0"/>
          <w:marTop w:val="0"/>
          <w:marBottom w:val="0"/>
          <w:divBdr>
            <w:top w:val="none" w:sz="0" w:space="0" w:color="auto"/>
            <w:left w:val="none" w:sz="0" w:space="0" w:color="auto"/>
            <w:bottom w:val="none" w:sz="0" w:space="0" w:color="auto"/>
            <w:right w:val="none" w:sz="0" w:space="0" w:color="auto"/>
          </w:divBdr>
        </w:div>
        <w:div w:id="1191918197">
          <w:marLeft w:val="0"/>
          <w:marRight w:val="0"/>
          <w:marTop w:val="0"/>
          <w:marBottom w:val="0"/>
          <w:divBdr>
            <w:top w:val="none" w:sz="0" w:space="0" w:color="auto"/>
            <w:left w:val="none" w:sz="0" w:space="0" w:color="auto"/>
            <w:bottom w:val="none" w:sz="0" w:space="0" w:color="auto"/>
            <w:right w:val="none" w:sz="0" w:space="0" w:color="auto"/>
          </w:divBdr>
        </w:div>
        <w:div w:id="1264386634">
          <w:marLeft w:val="0"/>
          <w:marRight w:val="0"/>
          <w:marTop w:val="0"/>
          <w:marBottom w:val="0"/>
          <w:divBdr>
            <w:top w:val="none" w:sz="0" w:space="0" w:color="auto"/>
            <w:left w:val="none" w:sz="0" w:space="0" w:color="auto"/>
            <w:bottom w:val="none" w:sz="0" w:space="0" w:color="auto"/>
            <w:right w:val="none" w:sz="0" w:space="0" w:color="auto"/>
          </w:divBdr>
        </w:div>
        <w:div w:id="2027632397">
          <w:marLeft w:val="0"/>
          <w:marRight w:val="0"/>
          <w:marTop w:val="0"/>
          <w:marBottom w:val="0"/>
          <w:divBdr>
            <w:top w:val="none" w:sz="0" w:space="0" w:color="auto"/>
            <w:left w:val="none" w:sz="0" w:space="0" w:color="auto"/>
            <w:bottom w:val="none" w:sz="0" w:space="0" w:color="auto"/>
            <w:right w:val="none" w:sz="0" w:space="0" w:color="auto"/>
          </w:divBdr>
        </w:div>
        <w:div w:id="2130658527">
          <w:marLeft w:val="0"/>
          <w:marRight w:val="0"/>
          <w:marTop w:val="0"/>
          <w:marBottom w:val="0"/>
          <w:divBdr>
            <w:top w:val="none" w:sz="0" w:space="0" w:color="auto"/>
            <w:left w:val="none" w:sz="0" w:space="0" w:color="auto"/>
            <w:bottom w:val="none" w:sz="0" w:space="0" w:color="auto"/>
            <w:right w:val="none" w:sz="0" w:space="0" w:color="auto"/>
          </w:divBdr>
        </w:div>
        <w:div w:id="2140104741">
          <w:marLeft w:val="0"/>
          <w:marRight w:val="0"/>
          <w:marTop w:val="0"/>
          <w:marBottom w:val="0"/>
          <w:divBdr>
            <w:top w:val="none" w:sz="0" w:space="0" w:color="auto"/>
            <w:left w:val="none" w:sz="0" w:space="0" w:color="auto"/>
            <w:bottom w:val="none" w:sz="0" w:space="0" w:color="auto"/>
            <w:right w:val="none" w:sz="0" w:space="0" w:color="auto"/>
          </w:divBdr>
        </w:div>
      </w:divsChild>
    </w:div>
    <w:div w:id="1010253146">
      <w:bodyDiv w:val="1"/>
      <w:marLeft w:val="0"/>
      <w:marRight w:val="0"/>
      <w:marTop w:val="0"/>
      <w:marBottom w:val="0"/>
      <w:divBdr>
        <w:top w:val="none" w:sz="0" w:space="0" w:color="auto"/>
        <w:left w:val="none" w:sz="0" w:space="0" w:color="auto"/>
        <w:bottom w:val="none" w:sz="0" w:space="0" w:color="auto"/>
        <w:right w:val="none" w:sz="0" w:space="0" w:color="auto"/>
      </w:divBdr>
    </w:div>
    <w:div w:id="1255481941">
      <w:bodyDiv w:val="1"/>
      <w:marLeft w:val="0"/>
      <w:marRight w:val="0"/>
      <w:marTop w:val="0"/>
      <w:marBottom w:val="0"/>
      <w:divBdr>
        <w:top w:val="none" w:sz="0" w:space="0" w:color="auto"/>
        <w:left w:val="none" w:sz="0" w:space="0" w:color="auto"/>
        <w:bottom w:val="none" w:sz="0" w:space="0" w:color="auto"/>
        <w:right w:val="none" w:sz="0" w:space="0" w:color="auto"/>
      </w:divBdr>
    </w:div>
    <w:div w:id="16352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4109AFC2C6E043A4318249FC3EB332" ma:contentTypeVersion="10" ma:contentTypeDescription="Create a new document." ma:contentTypeScope="" ma:versionID="6d202c3411c7fac7880508c6ba75e883">
  <xsd:schema xmlns:xsd="http://www.w3.org/2001/XMLSchema" xmlns:xs="http://www.w3.org/2001/XMLSchema" xmlns:p="http://schemas.microsoft.com/office/2006/metadata/properties" xmlns:ns2="d760762f-6d0f-47a6-8fb9-606f44da5725" targetNamespace="http://schemas.microsoft.com/office/2006/metadata/properties" ma:root="true" ma:fieldsID="63b0e48cdd305263923f66abfd8919b9" ns2:_="">
    <xsd:import namespace="d760762f-6d0f-47a6-8fb9-606f44da5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762f-6d0f-47a6-8fb9-606f44da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0762f-6d0f-47a6-8fb9-606f44da57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53A99-B244-475C-828B-1C30E4E139CA}">
  <ds:schemaRefs>
    <ds:schemaRef ds:uri="http://schemas.openxmlformats.org/officeDocument/2006/bibliography"/>
  </ds:schemaRefs>
</ds:datastoreItem>
</file>

<file path=customXml/itemProps2.xml><?xml version="1.0" encoding="utf-8"?>
<ds:datastoreItem xmlns:ds="http://schemas.openxmlformats.org/officeDocument/2006/customXml" ds:itemID="{8D03623B-9E53-4B41-9E64-6CB137F18A23}"/>
</file>

<file path=customXml/itemProps3.xml><?xml version="1.0" encoding="utf-8"?>
<ds:datastoreItem xmlns:ds="http://schemas.openxmlformats.org/officeDocument/2006/customXml" ds:itemID="{CB1CF100-9A92-4F6A-9C22-565561BB602A}">
  <ds:schemaRefs>
    <ds:schemaRef ds:uri="http://schemas.microsoft.com/office/2006/metadata/properties"/>
    <ds:schemaRef ds:uri="http://schemas.microsoft.com/office/infopath/2007/PartnerControls"/>
    <ds:schemaRef ds:uri="bab19fd0-a793-47d1-9a52-8b5f2c50c717"/>
    <ds:schemaRef ds:uri="http://schemas.microsoft.com/sharepoint/v3"/>
  </ds:schemaRefs>
</ds:datastoreItem>
</file>

<file path=customXml/itemProps4.xml><?xml version="1.0" encoding="utf-8"?>
<ds:datastoreItem xmlns:ds="http://schemas.openxmlformats.org/officeDocument/2006/customXml" ds:itemID="{8493CD3A-603A-4502-B7A0-1EB40F2DD3B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BFW Hospitals NHS Foundation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Becky Rossall</dc:creator>
  <keywords/>
  <lastModifiedBy>MOORE, Rachael (NHS LANCASHIRE AND SOUTH CUMBRIA ICB - 00R)</lastModifiedBy>
  <revision>11</revision>
  <dcterms:created xsi:type="dcterms:W3CDTF">2026-04-23T08:11:00.0000000Z</dcterms:created>
  <dcterms:modified xsi:type="dcterms:W3CDTF">2026-05-22T09:27:32.3797838Z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0x0101000A4109AFC2C6E043A4318249FC3EB332</vt:lpwstr>
  </property>
  <property fmtid="{D5CDD505-2E9C-101B-9397-08002B2CF9AE}" pid="3" name="MediaServiceImageTags">
    <vt:lpwstr/>
  </property>
  <property fmtid="{D5CDD505-2E9C-101B-9397-08002B2CF9AE}" pid="5" name="docLang">
    <vt:lpwstr>en</vt:lpwstr>
  </property>
</Properties>
</file>