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70C3A" w:rsidR="00993FBD" w:rsidP="005A34F4" w:rsidRDefault="00F54041" w14:paraId="0F239803" w14:textId="39FC61A7">
      <w:pPr>
        <w:tabs>
          <w:tab w:val="left" w:pos="5985"/>
        </w:tabs>
        <w:spacing w:after="0" w:line="240" w:lineRule="auto"/>
        <w:jc w:val="center"/>
        <w:rPr>
          <w:rFonts w:ascii="Arial" w:hAnsi="Arial" w:cs="Arial"/>
          <w:b/>
          <w:sz w:val="20"/>
          <w:szCs w:val="20"/>
        </w:rPr>
      </w:pPr>
      <w:r w:rsidRPr="00170C3A">
        <w:rPr>
          <w:rFonts w:ascii="Arial" w:hAnsi="Arial" w:cs="Arial"/>
          <w:b/>
          <w:sz w:val="20"/>
          <w:szCs w:val="20"/>
        </w:rPr>
        <w:t>L</w:t>
      </w:r>
      <w:r w:rsidRPr="00170C3A" w:rsidR="368B40FE">
        <w:rPr>
          <w:rFonts w:ascii="Arial" w:hAnsi="Arial" w:cs="Arial"/>
          <w:b/>
          <w:sz w:val="20"/>
          <w:szCs w:val="20"/>
        </w:rPr>
        <w:t>&amp;</w:t>
      </w:r>
      <w:r w:rsidRPr="00170C3A">
        <w:rPr>
          <w:rFonts w:ascii="Arial" w:hAnsi="Arial" w:cs="Arial"/>
          <w:b/>
          <w:sz w:val="20"/>
          <w:szCs w:val="20"/>
        </w:rPr>
        <w:t xml:space="preserve">SC Integrated Care Board </w:t>
      </w:r>
    </w:p>
    <w:p w:rsidRPr="00170C3A" w:rsidR="00962577" w:rsidP="005A34F4" w:rsidRDefault="00F54041" w14:paraId="55D05772" w14:textId="08252B6D">
      <w:pPr>
        <w:tabs>
          <w:tab w:val="left" w:pos="5985"/>
        </w:tabs>
        <w:spacing w:after="0" w:line="240" w:lineRule="auto"/>
        <w:jc w:val="center"/>
        <w:rPr>
          <w:rFonts w:ascii="Arial" w:hAnsi="Arial" w:cs="Arial"/>
          <w:b/>
          <w:sz w:val="20"/>
          <w:szCs w:val="20"/>
        </w:rPr>
      </w:pPr>
      <w:r w:rsidRPr="00170C3A">
        <w:rPr>
          <w:rFonts w:ascii="Arial" w:hAnsi="Arial" w:cs="Arial"/>
          <w:b/>
          <w:sz w:val="20"/>
          <w:szCs w:val="20"/>
        </w:rPr>
        <w:t xml:space="preserve">Primary Care Contracts </w:t>
      </w:r>
      <w:r w:rsidRPr="00170C3A" w:rsidR="00993FBD">
        <w:rPr>
          <w:rFonts w:ascii="Arial" w:hAnsi="Arial" w:cs="Arial"/>
          <w:b/>
          <w:sz w:val="20"/>
          <w:szCs w:val="20"/>
        </w:rPr>
        <w:t>S</w:t>
      </w:r>
      <w:r w:rsidRPr="00170C3A">
        <w:rPr>
          <w:rFonts w:ascii="Arial" w:hAnsi="Arial" w:cs="Arial"/>
          <w:b/>
          <w:sz w:val="20"/>
          <w:szCs w:val="20"/>
        </w:rPr>
        <w:t>ub</w:t>
      </w:r>
      <w:r w:rsidRPr="00170C3A" w:rsidR="00993FBD">
        <w:rPr>
          <w:rFonts w:ascii="Arial" w:hAnsi="Arial" w:cs="Arial"/>
          <w:b/>
          <w:sz w:val="20"/>
          <w:szCs w:val="20"/>
        </w:rPr>
        <w:t>-</w:t>
      </w:r>
      <w:r w:rsidRPr="00170C3A">
        <w:rPr>
          <w:rFonts w:ascii="Arial" w:hAnsi="Arial" w:cs="Arial"/>
          <w:b/>
          <w:sz w:val="20"/>
          <w:szCs w:val="20"/>
        </w:rPr>
        <w:t>Committee</w:t>
      </w:r>
    </w:p>
    <w:p w:rsidRPr="00170C3A" w:rsidR="00962577" w:rsidP="005A34F4" w:rsidRDefault="00962577" w14:paraId="044A82BB" w14:textId="77777777">
      <w:pPr>
        <w:tabs>
          <w:tab w:val="left" w:pos="5985"/>
        </w:tabs>
        <w:spacing w:after="0" w:line="240" w:lineRule="auto"/>
        <w:jc w:val="center"/>
        <w:rPr>
          <w:rFonts w:ascii="Arial" w:hAnsi="Arial" w:cs="Arial"/>
          <w:b/>
          <w:sz w:val="20"/>
          <w:szCs w:val="20"/>
        </w:rPr>
      </w:pPr>
    </w:p>
    <w:p w:rsidRPr="00170C3A" w:rsidR="00421548" w:rsidP="005A34F4" w:rsidRDefault="00421548" w14:paraId="06B5B19A" w14:textId="77777777">
      <w:pPr>
        <w:tabs>
          <w:tab w:val="left" w:pos="5985"/>
        </w:tabs>
        <w:spacing w:after="0" w:line="240" w:lineRule="auto"/>
        <w:jc w:val="center"/>
        <w:rPr>
          <w:rFonts w:ascii="Arial" w:hAnsi="Arial" w:cs="Arial"/>
          <w:b/>
          <w:sz w:val="20"/>
          <w:szCs w:val="20"/>
        </w:rPr>
      </w:pPr>
    </w:p>
    <w:tbl>
      <w:tblPr>
        <w:tblStyle w:val="TableGrid1"/>
        <w:tblW w:w="9493" w:type="dxa"/>
        <w:tblLook w:val="04A0" w:firstRow="1" w:lastRow="0" w:firstColumn="1" w:lastColumn="0" w:noHBand="0" w:noVBand="1"/>
      </w:tblPr>
      <w:tblGrid>
        <w:gridCol w:w="2972"/>
        <w:gridCol w:w="740"/>
        <w:gridCol w:w="702"/>
        <w:gridCol w:w="704"/>
        <w:gridCol w:w="902"/>
        <w:gridCol w:w="3473"/>
      </w:tblGrid>
      <w:tr w:rsidRPr="00170C3A" w:rsidR="00877C1C" w:rsidTr="0E68B005" w14:paraId="19FB1D52" w14:textId="77777777">
        <w:tc>
          <w:tcPr>
            <w:tcW w:w="2972" w:type="dxa"/>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877C1C" w:rsidRDefault="00877C1C" w14:paraId="179466F9" w14:textId="64FF3AAF">
            <w:pPr>
              <w:rPr>
                <w:b/>
                <w:sz w:val="20"/>
                <w:szCs w:val="20"/>
              </w:rPr>
            </w:pPr>
            <w:r w:rsidRPr="00170C3A">
              <w:rPr>
                <w:b/>
                <w:sz w:val="20"/>
                <w:szCs w:val="20"/>
              </w:rPr>
              <w:t>Date of meeting</w:t>
            </w:r>
            <w:r w:rsidRPr="00170C3A" w:rsidR="00421548">
              <w:rPr>
                <w:b/>
                <w:sz w:val="20"/>
                <w:szCs w:val="20"/>
              </w:rPr>
              <w:t>*</w:t>
            </w:r>
          </w:p>
        </w:tc>
        <w:tc>
          <w:tcPr>
            <w:tcW w:w="6521" w:type="dxa"/>
            <w:gridSpan w:val="5"/>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877C1C" w:rsidP="63AE023C" w:rsidRDefault="008D74B5" w14:paraId="333F2F02" w14:textId="17A237D7">
            <w:pPr>
              <w:rPr>
                <w:sz w:val="20"/>
                <w:szCs w:val="20"/>
              </w:rPr>
            </w:pPr>
            <w:r w:rsidRPr="0E68B005" w:rsidR="79073A02">
              <w:rPr>
                <w:sz w:val="20"/>
                <w:szCs w:val="20"/>
              </w:rPr>
              <w:t>2</w:t>
            </w:r>
            <w:r w:rsidRPr="0E68B005" w:rsidR="23B97E90">
              <w:rPr>
                <w:sz w:val="20"/>
                <w:szCs w:val="20"/>
              </w:rPr>
              <w:t>7th</w:t>
            </w:r>
            <w:r w:rsidRPr="0E68B005" w:rsidR="79073A02">
              <w:rPr>
                <w:sz w:val="20"/>
                <w:szCs w:val="20"/>
              </w:rPr>
              <w:t xml:space="preserve"> </w:t>
            </w:r>
            <w:r w:rsidRPr="0E68B005" w:rsidR="00F420F7">
              <w:rPr>
                <w:sz w:val="20"/>
                <w:szCs w:val="20"/>
              </w:rPr>
              <w:t>May</w:t>
            </w:r>
            <w:r w:rsidRPr="0E68B005" w:rsidR="00DB6AD0">
              <w:rPr>
                <w:sz w:val="20"/>
                <w:szCs w:val="20"/>
              </w:rPr>
              <w:t xml:space="preserve"> 2026</w:t>
            </w:r>
          </w:p>
        </w:tc>
      </w:tr>
      <w:tr w:rsidRPr="00170C3A" w:rsidR="00877C1C" w:rsidTr="0E68B005" w14:paraId="002F86FE" w14:textId="77777777">
        <w:tc>
          <w:tcPr>
            <w:tcW w:w="2972" w:type="dxa"/>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877C1C" w:rsidRDefault="00877C1C" w14:paraId="51A0921A" w14:textId="036B1387">
            <w:pPr>
              <w:rPr>
                <w:b/>
                <w:sz w:val="20"/>
                <w:szCs w:val="20"/>
              </w:rPr>
            </w:pPr>
            <w:r w:rsidRPr="00170C3A">
              <w:rPr>
                <w:b/>
                <w:sz w:val="20"/>
                <w:szCs w:val="20"/>
              </w:rPr>
              <w:t>Title of paper</w:t>
            </w:r>
            <w:r w:rsidRPr="00170C3A" w:rsidR="00421548">
              <w:rPr>
                <w:b/>
                <w:sz w:val="20"/>
                <w:szCs w:val="20"/>
              </w:rPr>
              <w:t>*</w:t>
            </w:r>
          </w:p>
        </w:tc>
        <w:tc>
          <w:tcPr>
            <w:tcW w:w="6521" w:type="dxa"/>
            <w:gridSpan w:val="5"/>
            <w:tcBorders>
              <w:top w:val="single" w:color="auto" w:sz="4" w:space="0"/>
              <w:left w:val="single" w:color="auto" w:sz="4" w:space="0"/>
              <w:bottom w:val="single" w:color="auto" w:sz="4" w:space="0"/>
              <w:right w:val="single" w:color="auto" w:sz="4" w:space="0"/>
            </w:tcBorders>
            <w:tcMar/>
          </w:tcPr>
          <w:p w:rsidRPr="00170C3A" w:rsidR="00877C1C" w:rsidRDefault="00764DFE" w14:paraId="1811DBF2" w14:textId="60ADEB0E">
            <w:pPr>
              <w:rPr>
                <w:sz w:val="20"/>
                <w:szCs w:val="20"/>
              </w:rPr>
            </w:pPr>
            <w:r w:rsidRPr="00170C3A">
              <w:rPr>
                <w:sz w:val="20"/>
                <w:szCs w:val="20"/>
              </w:rPr>
              <w:t>Sub-c</w:t>
            </w:r>
            <w:r w:rsidRPr="00170C3A" w:rsidR="0032518E">
              <w:rPr>
                <w:sz w:val="20"/>
                <w:szCs w:val="20"/>
              </w:rPr>
              <w:t xml:space="preserve">ommittee Escalation and Assurance Report </w:t>
            </w:r>
          </w:p>
        </w:tc>
      </w:tr>
      <w:tr w:rsidRPr="00170C3A" w:rsidR="0032518E" w:rsidTr="0E68B005" w14:paraId="06E78B91" w14:textId="77777777">
        <w:tc>
          <w:tcPr>
            <w:tcW w:w="2972" w:type="dxa"/>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3A5A7AF7" w14:textId="4762B1FB">
            <w:pPr>
              <w:rPr>
                <w:b/>
                <w:sz w:val="20"/>
                <w:szCs w:val="20"/>
              </w:rPr>
            </w:pPr>
            <w:r w:rsidRPr="00170C3A">
              <w:rPr>
                <w:b/>
                <w:sz w:val="20"/>
                <w:szCs w:val="20"/>
              </w:rPr>
              <w:t>Presented by*</w:t>
            </w:r>
          </w:p>
        </w:tc>
        <w:tc>
          <w:tcPr>
            <w:tcW w:w="6521" w:type="dxa"/>
            <w:gridSpan w:val="5"/>
            <w:tcBorders>
              <w:top w:val="single" w:color="auto" w:sz="4" w:space="0"/>
              <w:left w:val="single" w:color="auto" w:sz="4" w:space="0"/>
              <w:bottom w:val="single" w:color="auto" w:sz="4" w:space="0"/>
              <w:right w:val="single" w:color="auto" w:sz="4" w:space="0"/>
            </w:tcBorders>
            <w:tcMar/>
          </w:tcPr>
          <w:p w:rsidRPr="00170C3A" w:rsidR="0032518E" w:rsidP="0032518E" w:rsidRDefault="0032518E" w14:paraId="3C2C3484" w14:textId="7D566AE0">
            <w:pPr>
              <w:rPr>
                <w:sz w:val="20"/>
                <w:szCs w:val="20"/>
              </w:rPr>
            </w:pPr>
            <w:r w:rsidRPr="00170C3A">
              <w:rPr>
                <w:sz w:val="20"/>
                <w:szCs w:val="20"/>
              </w:rPr>
              <w:t>Peter Tinson, Director of Primary and Community C</w:t>
            </w:r>
            <w:r w:rsidRPr="00170C3A" w:rsidR="00764DFE">
              <w:rPr>
                <w:sz w:val="20"/>
                <w:szCs w:val="20"/>
              </w:rPr>
              <w:t>ommissioning</w:t>
            </w:r>
          </w:p>
        </w:tc>
      </w:tr>
      <w:tr w:rsidRPr="00170C3A" w:rsidR="0032518E" w:rsidTr="0E68B005" w14:paraId="217E9054" w14:textId="77777777">
        <w:tc>
          <w:tcPr>
            <w:tcW w:w="2972" w:type="dxa"/>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7BE1E475" w14:textId="77777777">
            <w:pPr>
              <w:rPr>
                <w:b/>
                <w:sz w:val="20"/>
                <w:szCs w:val="20"/>
              </w:rPr>
            </w:pPr>
            <w:r w:rsidRPr="00170C3A">
              <w:rPr>
                <w:b/>
                <w:sz w:val="20"/>
                <w:szCs w:val="20"/>
              </w:rPr>
              <w:t>Author</w:t>
            </w:r>
          </w:p>
        </w:tc>
        <w:tc>
          <w:tcPr>
            <w:tcW w:w="6521" w:type="dxa"/>
            <w:gridSpan w:val="5"/>
            <w:tcBorders>
              <w:top w:val="single" w:color="auto" w:sz="4" w:space="0"/>
              <w:left w:val="single" w:color="auto" w:sz="4" w:space="0"/>
              <w:bottom w:val="single" w:color="auto" w:sz="4" w:space="0"/>
              <w:right w:val="single" w:color="auto" w:sz="4" w:space="0"/>
            </w:tcBorders>
            <w:tcMar/>
          </w:tcPr>
          <w:p w:rsidRPr="00170C3A" w:rsidR="0032518E" w:rsidP="0032518E" w:rsidRDefault="0032518E" w14:paraId="6C956B5C" w14:textId="77777777">
            <w:pPr>
              <w:rPr>
                <w:sz w:val="20"/>
                <w:szCs w:val="20"/>
              </w:rPr>
            </w:pPr>
            <w:r w:rsidRPr="00170C3A">
              <w:rPr>
                <w:sz w:val="20"/>
                <w:szCs w:val="20"/>
              </w:rPr>
              <w:t>Sarah Danson, Senior Delivery Assurance Manager</w:t>
            </w:r>
          </w:p>
          <w:p w:rsidRPr="00170C3A" w:rsidR="0032518E" w:rsidP="0032518E" w:rsidRDefault="0032518E" w14:paraId="240651D8" w14:textId="1B5AE51F">
            <w:pPr>
              <w:rPr>
                <w:sz w:val="20"/>
                <w:szCs w:val="20"/>
              </w:rPr>
            </w:pPr>
            <w:r w:rsidRPr="00170C3A">
              <w:rPr>
                <w:sz w:val="20"/>
                <w:szCs w:val="20"/>
              </w:rPr>
              <w:t xml:space="preserve">David </w:t>
            </w:r>
            <w:r w:rsidRPr="00170C3A" w:rsidR="00130293">
              <w:rPr>
                <w:sz w:val="20"/>
                <w:szCs w:val="20"/>
              </w:rPr>
              <w:t>Armstrong,</w:t>
            </w:r>
            <w:r w:rsidRPr="00170C3A">
              <w:rPr>
                <w:sz w:val="20"/>
                <w:szCs w:val="20"/>
              </w:rPr>
              <w:t xml:space="preserve"> Senior Delivery Assurance Manager</w:t>
            </w:r>
          </w:p>
        </w:tc>
      </w:tr>
      <w:tr w:rsidRPr="00170C3A" w:rsidR="0032518E" w:rsidTr="0E68B005" w14:paraId="4771755E" w14:textId="77777777">
        <w:tc>
          <w:tcPr>
            <w:tcW w:w="2972" w:type="dxa"/>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0F73BD96" w14:textId="77777777">
            <w:pPr>
              <w:rPr>
                <w:b/>
                <w:sz w:val="20"/>
                <w:szCs w:val="20"/>
              </w:rPr>
            </w:pPr>
            <w:r w:rsidRPr="00170C3A">
              <w:rPr>
                <w:b/>
                <w:sz w:val="20"/>
                <w:szCs w:val="20"/>
              </w:rPr>
              <w:t>Agenda Item</w:t>
            </w:r>
          </w:p>
        </w:tc>
        <w:tc>
          <w:tcPr>
            <w:tcW w:w="6521" w:type="dxa"/>
            <w:gridSpan w:val="5"/>
            <w:tcBorders>
              <w:top w:val="single" w:color="auto" w:sz="4" w:space="0"/>
              <w:left w:val="single" w:color="auto" w:sz="4" w:space="0"/>
              <w:bottom w:val="single" w:color="auto" w:sz="4" w:space="0"/>
              <w:right w:val="single" w:color="auto" w:sz="4" w:space="0"/>
            </w:tcBorders>
            <w:tcMar/>
          </w:tcPr>
          <w:p w:rsidRPr="00170C3A" w:rsidR="0032518E" w:rsidP="4FC8B2D5" w:rsidRDefault="495CE292" w14:paraId="663CD983" w14:textId="6964449C">
            <w:pPr/>
            <w:r w:rsidRPr="55A8F927" w:rsidR="1225C42D">
              <w:rPr>
                <w:sz w:val="20"/>
                <w:szCs w:val="20"/>
              </w:rPr>
              <w:t>5</w:t>
            </w:r>
          </w:p>
        </w:tc>
      </w:tr>
      <w:tr w:rsidRPr="00170C3A" w:rsidR="0032518E" w:rsidTr="0E68B005" w14:paraId="0EDA31B7" w14:textId="77777777">
        <w:tc>
          <w:tcPr>
            <w:tcW w:w="2972" w:type="dxa"/>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66B07DE0" w14:textId="77777777">
            <w:pPr>
              <w:rPr>
                <w:b/>
                <w:sz w:val="20"/>
                <w:szCs w:val="20"/>
              </w:rPr>
            </w:pPr>
            <w:r w:rsidRPr="00170C3A">
              <w:rPr>
                <w:b/>
                <w:sz w:val="20"/>
                <w:szCs w:val="20"/>
              </w:rPr>
              <w:t>Confidential</w:t>
            </w:r>
          </w:p>
        </w:tc>
        <w:tc>
          <w:tcPr>
            <w:tcW w:w="6521" w:type="dxa"/>
            <w:gridSpan w:val="5"/>
            <w:tcBorders>
              <w:top w:val="single" w:color="auto" w:sz="4" w:space="0"/>
              <w:left w:val="single" w:color="auto" w:sz="4" w:space="0"/>
              <w:bottom w:val="single" w:color="auto" w:sz="4" w:space="0"/>
              <w:right w:val="single" w:color="auto" w:sz="4" w:space="0"/>
            </w:tcBorders>
            <w:tcMar/>
          </w:tcPr>
          <w:p w:rsidRPr="00170C3A" w:rsidR="0032518E" w:rsidP="4FC8B2D5" w:rsidRDefault="0032518E" w14:paraId="1BD9D557" w14:textId="0956F526">
            <w:pPr>
              <w:rPr>
                <w:sz w:val="20"/>
                <w:szCs w:val="20"/>
              </w:rPr>
            </w:pPr>
            <w:r w:rsidRPr="4FC8B2D5" w:rsidR="0032518E">
              <w:rPr>
                <w:sz w:val="20"/>
                <w:szCs w:val="20"/>
              </w:rPr>
              <w:t xml:space="preserve">No </w:t>
            </w:r>
          </w:p>
        </w:tc>
      </w:tr>
      <w:tr w:rsidRPr="00170C3A" w:rsidR="0032518E" w:rsidTr="0E68B005" w14:paraId="2F594F23" w14:textId="77777777">
        <w:tc>
          <w:tcPr>
            <w:tcW w:w="2972" w:type="dxa"/>
            <w:tcBorders>
              <w:top w:val="single" w:color="auto" w:sz="4" w:space="0"/>
              <w:left w:val="nil"/>
              <w:bottom w:val="single" w:color="auto" w:sz="4" w:space="0"/>
              <w:right w:val="nil"/>
            </w:tcBorders>
            <w:tcMar/>
          </w:tcPr>
          <w:p w:rsidRPr="00170C3A" w:rsidR="0032518E" w:rsidP="0032518E" w:rsidRDefault="0032518E" w14:paraId="63B1FB6A" w14:textId="77777777">
            <w:pPr>
              <w:rPr>
                <w:b/>
                <w:sz w:val="20"/>
                <w:szCs w:val="20"/>
              </w:rPr>
            </w:pPr>
          </w:p>
        </w:tc>
        <w:tc>
          <w:tcPr>
            <w:tcW w:w="6521" w:type="dxa"/>
            <w:gridSpan w:val="5"/>
            <w:tcBorders>
              <w:top w:val="single" w:color="auto" w:sz="4" w:space="0"/>
              <w:left w:val="nil"/>
              <w:bottom w:val="single" w:color="auto" w:sz="4" w:space="0"/>
              <w:right w:val="nil"/>
            </w:tcBorders>
            <w:tcMar/>
          </w:tcPr>
          <w:p w:rsidRPr="00170C3A" w:rsidR="0032518E" w:rsidP="0032518E" w:rsidRDefault="0032518E" w14:paraId="3E070BB7" w14:textId="77777777">
            <w:pPr>
              <w:rPr>
                <w:sz w:val="20"/>
                <w:szCs w:val="20"/>
              </w:rPr>
            </w:pPr>
          </w:p>
        </w:tc>
      </w:tr>
      <w:tr w:rsidRPr="00170C3A" w:rsidR="0032518E" w:rsidTr="0E68B005" w14:paraId="2B4FB3EF" w14:textId="77777777">
        <w:tc>
          <w:tcPr>
            <w:tcW w:w="9493" w:type="dxa"/>
            <w:gridSpan w:val="6"/>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103DBB86" w14:textId="4087BF17">
            <w:pPr>
              <w:rPr>
                <w:b/>
                <w:sz w:val="20"/>
                <w:szCs w:val="20"/>
              </w:rPr>
            </w:pPr>
            <w:r w:rsidRPr="00170C3A">
              <w:rPr>
                <w:b/>
                <w:sz w:val="20"/>
                <w:szCs w:val="20"/>
              </w:rPr>
              <w:t>Purpose of the paper</w:t>
            </w:r>
          </w:p>
        </w:tc>
      </w:tr>
      <w:tr w:rsidRPr="00170C3A" w:rsidR="0032518E" w:rsidTr="0E68B005" w14:paraId="1AA819FC" w14:textId="77777777">
        <w:tc>
          <w:tcPr>
            <w:tcW w:w="9493" w:type="dxa"/>
            <w:gridSpan w:val="6"/>
            <w:tcBorders>
              <w:top w:val="single" w:color="auto" w:sz="4" w:space="0"/>
              <w:left w:val="single" w:color="auto" w:sz="4" w:space="0"/>
              <w:bottom w:val="single" w:color="auto" w:sz="4" w:space="0"/>
              <w:right w:val="single" w:color="auto" w:sz="4" w:space="0"/>
            </w:tcBorders>
            <w:tcMar/>
          </w:tcPr>
          <w:p w:rsidRPr="00170C3A" w:rsidR="0032518E" w:rsidP="0032518E" w:rsidRDefault="00764DFE" w14:paraId="1B11F3E3" w14:textId="3C4D7CA9">
            <w:pPr>
              <w:rPr>
                <w:sz w:val="20"/>
                <w:szCs w:val="20"/>
              </w:rPr>
            </w:pPr>
            <w:r w:rsidRPr="00170C3A">
              <w:rPr>
                <w:sz w:val="20"/>
                <w:szCs w:val="20"/>
              </w:rPr>
              <w:t>The paper is the escalation and assurance report from the formal sub-committee groups.</w:t>
            </w:r>
          </w:p>
          <w:p w:rsidRPr="00170C3A" w:rsidR="00764DFE" w:rsidP="0032518E" w:rsidRDefault="00764DFE" w14:paraId="2BB6B0C4" w14:textId="77777777">
            <w:pPr>
              <w:rPr>
                <w:sz w:val="20"/>
                <w:szCs w:val="20"/>
              </w:rPr>
            </w:pPr>
          </w:p>
        </w:tc>
      </w:tr>
      <w:tr w:rsidRPr="00170C3A" w:rsidR="0032518E" w:rsidTr="0E68B005" w14:paraId="2B15C17D" w14:textId="77777777">
        <w:tc>
          <w:tcPr>
            <w:tcW w:w="9493" w:type="dxa"/>
            <w:gridSpan w:val="6"/>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3DF996AA" w14:textId="77777777">
            <w:pPr>
              <w:rPr>
                <w:b/>
                <w:sz w:val="20"/>
                <w:szCs w:val="20"/>
              </w:rPr>
            </w:pPr>
            <w:r w:rsidRPr="00170C3A">
              <w:rPr>
                <w:b/>
                <w:sz w:val="20"/>
                <w:szCs w:val="20"/>
              </w:rPr>
              <w:t>Executive Summary</w:t>
            </w:r>
          </w:p>
        </w:tc>
      </w:tr>
      <w:tr w:rsidRPr="00170C3A" w:rsidR="0032518E" w:rsidTr="0E68B005" w14:paraId="06B82484" w14:textId="77777777">
        <w:tc>
          <w:tcPr>
            <w:tcW w:w="9493" w:type="dxa"/>
            <w:gridSpan w:val="6"/>
            <w:tcBorders>
              <w:top w:val="single" w:color="auto" w:sz="4" w:space="0"/>
              <w:left w:val="single" w:color="auto" w:sz="4" w:space="0"/>
              <w:bottom w:val="single" w:color="auto" w:sz="4" w:space="0"/>
              <w:right w:val="single" w:color="auto" w:sz="4" w:space="0"/>
            </w:tcBorders>
            <w:tcMar/>
          </w:tcPr>
          <w:p w:rsidRPr="00170C3A" w:rsidR="0032518E" w:rsidP="0032518E" w:rsidRDefault="0032518E" w14:paraId="65A2F4E9" w14:textId="00167D09">
            <w:pPr>
              <w:contextualSpacing/>
              <w:rPr>
                <w:sz w:val="20"/>
                <w:szCs w:val="20"/>
              </w:rPr>
            </w:pPr>
            <w:r w:rsidRPr="00170C3A">
              <w:rPr>
                <w:sz w:val="20"/>
                <w:szCs w:val="20"/>
              </w:rPr>
              <w:t>Th</w:t>
            </w:r>
            <w:r w:rsidRPr="00170C3A" w:rsidR="00764DFE">
              <w:rPr>
                <w:sz w:val="20"/>
                <w:szCs w:val="20"/>
              </w:rPr>
              <w:t>e</w:t>
            </w:r>
            <w:r w:rsidRPr="00170C3A">
              <w:rPr>
                <w:sz w:val="20"/>
                <w:szCs w:val="20"/>
              </w:rPr>
              <w:t xml:space="preserve"> </w:t>
            </w:r>
            <w:r w:rsidRPr="00170C3A" w:rsidR="00764DFE">
              <w:rPr>
                <w:sz w:val="20"/>
                <w:szCs w:val="20"/>
              </w:rPr>
              <w:t>paper</w:t>
            </w:r>
            <w:r w:rsidRPr="00170C3A">
              <w:rPr>
                <w:sz w:val="20"/>
                <w:szCs w:val="20"/>
              </w:rPr>
              <w:t xml:space="preserve"> highlights key matters, issues, and risks discussed at the group meetings detailed below</w:t>
            </w:r>
            <w:r w:rsidRPr="00170C3A" w:rsidR="00764DFE">
              <w:rPr>
                <w:sz w:val="20"/>
                <w:szCs w:val="20"/>
              </w:rPr>
              <w:t xml:space="preserve"> </w:t>
            </w:r>
            <w:r w:rsidRPr="00170C3A">
              <w:rPr>
                <w:sz w:val="20"/>
                <w:szCs w:val="20"/>
              </w:rPr>
              <w:t xml:space="preserve">to advise, assure and alert the Primary Care </w:t>
            </w:r>
            <w:r w:rsidRPr="00170C3A" w:rsidR="003567B6">
              <w:rPr>
                <w:sz w:val="20"/>
                <w:szCs w:val="20"/>
              </w:rPr>
              <w:t>Contracts Sub</w:t>
            </w:r>
            <w:r w:rsidRPr="00170C3A" w:rsidR="00764DFE">
              <w:rPr>
                <w:sz w:val="20"/>
                <w:szCs w:val="20"/>
              </w:rPr>
              <w:t>-c</w:t>
            </w:r>
            <w:r w:rsidRPr="00170C3A">
              <w:rPr>
                <w:sz w:val="20"/>
                <w:szCs w:val="20"/>
              </w:rPr>
              <w:t xml:space="preserve">ommittee. </w:t>
            </w:r>
          </w:p>
          <w:p w:rsidRPr="00170C3A" w:rsidR="0032518E" w:rsidP="0032518E" w:rsidRDefault="0032518E" w14:paraId="379A8E06" w14:textId="77777777">
            <w:pPr>
              <w:contextualSpacing/>
              <w:rPr>
                <w:sz w:val="20"/>
                <w:szCs w:val="20"/>
              </w:rPr>
            </w:pPr>
          </w:p>
          <w:p w:rsidRPr="00170C3A" w:rsidR="0032518E" w:rsidP="00251325" w:rsidRDefault="0032518E" w14:paraId="3F474DED" w14:textId="4ECD23A2">
            <w:pPr>
              <w:widowControl w:val="0"/>
              <w:numPr>
                <w:ilvl w:val="0"/>
                <w:numId w:val="4"/>
              </w:numPr>
              <w:tabs>
                <w:tab w:val="left" w:pos="1547"/>
              </w:tabs>
              <w:autoSpaceDE w:val="0"/>
              <w:autoSpaceDN w:val="0"/>
              <w:spacing w:line="293" w:lineRule="exact"/>
              <w:rPr>
                <w:rFonts w:eastAsia="Arial"/>
                <w:sz w:val="20"/>
                <w:szCs w:val="20"/>
                <w:lang w:val="en-US"/>
              </w:rPr>
            </w:pPr>
            <w:r w:rsidRPr="00170C3A">
              <w:rPr>
                <w:rFonts w:eastAsia="Arial"/>
                <w:sz w:val="20"/>
                <w:szCs w:val="20"/>
                <w:lang w:val="en-US"/>
              </w:rPr>
              <w:t>Primary</w:t>
            </w:r>
            <w:r w:rsidRPr="00170C3A">
              <w:rPr>
                <w:rFonts w:eastAsia="Arial"/>
                <w:spacing w:val="-4"/>
                <w:sz w:val="20"/>
                <w:szCs w:val="20"/>
                <w:lang w:val="en-US"/>
              </w:rPr>
              <w:t xml:space="preserve"> </w:t>
            </w:r>
            <w:r w:rsidRPr="00170C3A">
              <w:rPr>
                <w:rFonts w:eastAsia="Arial"/>
                <w:sz w:val="20"/>
                <w:szCs w:val="20"/>
                <w:lang w:val="en-US"/>
              </w:rPr>
              <w:t>Medical</w:t>
            </w:r>
            <w:r w:rsidRPr="00170C3A">
              <w:rPr>
                <w:rFonts w:eastAsia="Arial"/>
                <w:spacing w:val="-3"/>
                <w:sz w:val="20"/>
                <w:szCs w:val="20"/>
                <w:lang w:val="en-US"/>
              </w:rPr>
              <w:t xml:space="preserve"> </w:t>
            </w:r>
            <w:r w:rsidRPr="00170C3A">
              <w:rPr>
                <w:rFonts w:eastAsia="Arial"/>
                <w:sz w:val="20"/>
                <w:szCs w:val="20"/>
                <w:lang w:val="en-US"/>
              </w:rPr>
              <w:t>Services</w:t>
            </w:r>
            <w:r w:rsidRPr="00170C3A">
              <w:rPr>
                <w:rFonts w:eastAsia="Arial"/>
                <w:spacing w:val="-3"/>
                <w:sz w:val="20"/>
                <w:szCs w:val="20"/>
                <w:lang w:val="en-US"/>
              </w:rPr>
              <w:t xml:space="preserve"> </w:t>
            </w:r>
            <w:r w:rsidRPr="00170C3A">
              <w:rPr>
                <w:rFonts w:eastAsia="Arial"/>
                <w:spacing w:val="-2"/>
                <w:sz w:val="20"/>
                <w:szCs w:val="20"/>
                <w:lang w:val="en-US"/>
              </w:rPr>
              <w:t>Group: Peter Tinson (Director of Primary and Community C</w:t>
            </w:r>
            <w:r w:rsidRPr="00170C3A" w:rsidR="00764DFE">
              <w:rPr>
                <w:rFonts w:eastAsia="Arial"/>
                <w:spacing w:val="-2"/>
                <w:sz w:val="20"/>
                <w:szCs w:val="20"/>
                <w:lang w:val="en-US"/>
              </w:rPr>
              <w:t>ommissioning</w:t>
            </w:r>
            <w:r w:rsidRPr="00170C3A">
              <w:rPr>
                <w:rFonts w:eastAsia="Arial"/>
                <w:spacing w:val="-2"/>
                <w:sz w:val="20"/>
                <w:szCs w:val="20"/>
                <w:lang w:val="en-US"/>
              </w:rPr>
              <w:t>)</w:t>
            </w:r>
          </w:p>
          <w:p w:rsidRPr="00170C3A" w:rsidR="0032518E" w:rsidP="00251325" w:rsidRDefault="0032518E" w14:paraId="2D855D75" w14:textId="77777777">
            <w:pPr>
              <w:widowControl w:val="0"/>
              <w:numPr>
                <w:ilvl w:val="0"/>
                <w:numId w:val="4"/>
              </w:numPr>
              <w:tabs>
                <w:tab w:val="left" w:pos="1547"/>
              </w:tabs>
              <w:autoSpaceDE w:val="0"/>
              <w:autoSpaceDN w:val="0"/>
              <w:spacing w:line="292" w:lineRule="exact"/>
              <w:rPr>
                <w:rFonts w:eastAsia="Arial"/>
                <w:sz w:val="20"/>
                <w:szCs w:val="20"/>
                <w:lang w:val="en-US"/>
              </w:rPr>
            </w:pPr>
            <w:r w:rsidRPr="00170C3A">
              <w:rPr>
                <w:rFonts w:eastAsia="Arial"/>
                <w:sz w:val="20"/>
                <w:szCs w:val="20"/>
                <w:lang w:val="en-US"/>
              </w:rPr>
              <w:t>Primary</w:t>
            </w:r>
            <w:r w:rsidRPr="00170C3A">
              <w:rPr>
                <w:rFonts w:eastAsia="Arial"/>
                <w:spacing w:val="-4"/>
                <w:sz w:val="20"/>
                <w:szCs w:val="20"/>
                <w:lang w:val="en-US"/>
              </w:rPr>
              <w:t xml:space="preserve"> </w:t>
            </w:r>
            <w:r w:rsidRPr="00170C3A">
              <w:rPr>
                <w:rFonts w:eastAsia="Arial"/>
                <w:sz w:val="20"/>
                <w:szCs w:val="20"/>
                <w:lang w:val="en-US"/>
              </w:rPr>
              <w:t>Dental</w:t>
            </w:r>
            <w:r w:rsidRPr="00170C3A">
              <w:rPr>
                <w:rFonts w:eastAsia="Arial"/>
                <w:spacing w:val="-3"/>
                <w:sz w:val="20"/>
                <w:szCs w:val="20"/>
                <w:lang w:val="en-US"/>
              </w:rPr>
              <w:t xml:space="preserve"> </w:t>
            </w:r>
            <w:r w:rsidRPr="00170C3A">
              <w:rPr>
                <w:rFonts w:eastAsia="Arial"/>
                <w:sz w:val="20"/>
                <w:szCs w:val="20"/>
                <w:lang w:val="en-US"/>
              </w:rPr>
              <w:t>Services</w:t>
            </w:r>
            <w:r w:rsidRPr="00170C3A">
              <w:rPr>
                <w:rFonts w:eastAsia="Arial"/>
                <w:spacing w:val="-3"/>
                <w:sz w:val="20"/>
                <w:szCs w:val="20"/>
                <w:lang w:val="en-US"/>
              </w:rPr>
              <w:t xml:space="preserve"> </w:t>
            </w:r>
            <w:r w:rsidRPr="00170C3A">
              <w:rPr>
                <w:rFonts w:eastAsia="Arial"/>
                <w:spacing w:val="-2"/>
                <w:sz w:val="20"/>
                <w:szCs w:val="20"/>
                <w:lang w:val="en-US"/>
              </w:rPr>
              <w:t>Group: Amy Lepiorz (Associate Director Primary Care)</w:t>
            </w:r>
          </w:p>
          <w:p w:rsidRPr="00170C3A" w:rsidR="0032518E" w:rsidP="00251325" w:rsidRDefault="0032518E" w14:paraId="705F1B9B" w14:textId="77777777">
            <w:pPr>
              <w:widowControl w:val="0"/>
              <w:numPr>
                <w:ilvl w:val="0"/>
                <w:numId w:val="4"/>
              </w:numPr>
              <w:tabs>
                <w:tab w:val="left" w:pos="1547"/>
              </w:tabs>
              <w:autoSpaceDE w:val="0"/>
              <w:autoSpaceDN w:val="0"/>
              <w:spacing w:line="292" w:lineRule="exact"/>
              <w:rPr>
                <w:rFonts w:eastAsia="Arial"/>
                <w:sz w:val="20"/>
                <w:szCs w:val="20"/>
                <w:lang w:val="en-US"/>
              </w:rPr>
            </w:pPr>
            <w:r w:rsidRPr="00170C3A">
              <w:rPr>
                <w:rFonts w:eastAsia="Arial"/>
                <w:sz w:val="20"/>
                <w:szCs w:val="20"/>
                <w:lang w:val="en-US"/>
              </w:rPr>
              <w:t>Pharmaceutical</w:t>
            </w:r>
            <w:r w:rsidRPr="00170C3A">
              <w:rPr>
                <w:rFonts w:eastAsia="Arial"/>
                <w:spacing w:val="-5"/>
                <w:sz w:val="20"/>
                <w:szCs w:val="20"/>
                <w:lang w:val="en-US"/>
              </w:rPr>
              <w:t xml:space="preserve"> </w:t>
            </w:r>
            <w:r w:rsidRPr="00170C3A">
              <w:rPr>
                <w:rFonts w:eastAsia="Arial"/>
                <w:sz w:val="20"/>
                <w:szCs w:val="20"/>
                <w:lang w:val="en-US"/>
              </w:rPr>
              <w:t>Services</w:t>
            </w:r>
            <w:r w:rsidRPr="00170C3A">
              <w:rPr>
                <w:rFonts w:eastAsia="Arial"/>
                <w:spacing w:val="-5"/>
                <w:sz w:val="20"/>
                <w:szCs w:val="20"/>
                <w:lang w:val="en-US"/>
              </w:rPr>
              <w:t xml:space="preserve"> </w:t>
            </w:r>
            <w:r w:rsidRPr="00170C3A">
              <w:rPr>
                <w:rFonts w:eastAsia="Arial"/>
                <w:spacing w:val="-2"/>
                <w:sz w:val="20"/>
                <w:szCs w:val="20"/>
                <w:lang w:val="en-US"/>
              </w:rPr>
              <w:t>Group:  Amy Lepiorz (Associate Director Primary Care)</w:t>
            </w:r>
          </w:p>
          <w:p w:rsidRPr="00170C3A" w:rsidR="0032518E" w:rsidP="00251325" w:rsidRDefault="0032518E" w14:paraId="0BB2FBCD" w14:textId="77777777">
            <w:pPr>
              <w:widowControl w:val="0"/>
              <w:numPr>
                <w:ilvl w:val="0"/>
                <w:numId w:val="4"/>
              </w:numPr>
              <w:autoSpaceDE w:val="0"/>
              <w:autoSpaceDN w:val="0"/>
              <w:spacing w:line="270" w:lineRule="atLeast"/>
              <w:rPr>
                <w:rFonts w:eastAsia="Arial"/>
                <w:sz w:val="20"/>
                <w:szCs w:val="20"/>
                <w:lang w:val="en-US"/>
              </w:rPr>
            </w:pPr>
            <w:r w:rsidRPr="00170C3A">
              <w:rPr>
                <w:rFonts w:eastAsia="Arial"/>
                <w:sz w:val="20"/>
                <w:szCs w:val="20"/>
                <w:lang w:val="en-US"/>
              </w:rPr>
              <w:t>Primary</w:t>
            </w:r>
            <w:r w:rsidRPr="00170C3A">
              <w:rPr>
                <w:rFonts w:eastAsia="Arial"/>
                <w:spacing w:val="-7"/>
                <w:sz w:val="20"/>
                <w:szCs w:val="20"/>
                <w:lang w:val="en-US"/>
              </w:rPr>
              <w:t xml:space="preserve"> </w:t>
            </w:r>
            <w:r w:rsidRPr="00170C3A">
              <w:rPr>
                <w:rFonts w:eastAsia="Arial"/>
                <w:sz w:val="20"/>
                <w:szCs w:val="20"/>
                <w:lang w:val="en-US"/>
              </w:rPr>
              <w:t>Optometric</w:t>
            </w:r>
            <w:r w:rsidRPr="00170C3A">
              <w:rPr>
                <w:rFonts w:eastAsia="Arial"/>
                <w:spacing w:val="-4"/>
                <w:sz w:val="20"/>
                <w:szCs w:val="20"/>
                <w:lang w:val="en-US"/>
              </w:rPr>
              <w:t xml:space="preserve"> </w:t>
            </w:r>
            <w:r w:rsidRPr="00170C3A">
              <w:rPr>
                <w:rFonts w:eastAsia="Arial"/>
                <w:sz w:val="20"/>
                <w:szCs w:val="20"/>
                <w:lang w:val="en-US"/>
              </w:rPr>
              <w:t>Services</w:t>
            </w:r>
            <w:r w:rsidRPr="00170C3A">
              <w:rPr>
                <w:rFonts w:eastAsia="Arial"/>
                <w:spacing w:val="-4"/>
                <w:sz w:val="20"/>
                <w:szCs w:val="20"/>
                <w:lang w:val="en-US"/>
              </w:rPr>
              <w:t xml:space="preserve"> Group: Dawn Haworth (Head of Delivery)</w:t>
            </w:r>
          </w:p>
          <w:p w:rsidRPr="00170C3A" w:rsidR="0032518E" w:rsidP="00251325" w:rsidRDefault="0032518E" w14:paraId="06D409BE" w14:textId="52A34097">
            <w:pPr>
              <w:widowControl w:val="0"/>
              <w:numPr>
                <w:ilvl w:val="0"/>
                <w:numId w:val="4"/>
              </w:numPr>
              <w:autoSpaceDE w:val="0"/>
              <w:autoSpaceDN w:val="0"/>
              <w:spacing w:line="270" w:lineRule="atLeast"/>
              <w:contextualSpacing/>
              <w:rPr>
                <w:sz w:val="20"/>
                <w:szCs w:val="20"/>
              </w:rPr>
            </w:pPr>
            <w:r w:rsidRPr="00170C3A">
              <w:rPr>
                <w:rFonts w:eastAsia="Arial"/>
                <w:spacing w:val="-4"/>
                <w:sz w:val="20"/>
                <w:szCs w:val="20"/>
                <w:lang w:val="en-US"/>
              </w:rPr>
              <w:t xml:space="preserve">Primary Care Capital Group: </w:t>
            </w:r>
            <w:r w:rsidRPr="00170C3A" w:rsidR="00A41350">
              <w:rPr>
                <w:rFonts w:eastAsia="Arial"/>
                <w:spacing w:val="-4"/>
                <w:sz w:val="20"/>
                <w:szCs w:val="20"/>
                <w:lang w:val="en-US"/>
              </w:rPr>
              <w:t>Donna Roberts (Associate Director Primary Care)</w:t>
            </w:r>
          </w:p>
          <w:p w:rsidRPr="00170C3A" w:rsidR="00A41350" w:rsidP="00A41350" w:rsidRDefault="00A41350" w14:paraId="5FAD3B40" w14:textId="77777777">
            <w:pPr>
              <w:widowControl w:val="0"/>
              <w:autoSpaceDE w:val="0"/>
              <w:autoSpaceDN w:val="0"/>
              <w:spacing w:line="270" w:lineRule="atLeast"/>
              <w:ind w:left="1547"/>
              <w:contextualSpacing/>
              <w:rPr>
                <w:sz w:val="20"/>
                <w:szCs w:val="20"/>
              </w:rPr>
            </w:pPr>
          </w:p>
          <w:p w:rsidRPr="00170C3A" w:rsidR="0032518E" w:rsidP="1084E06B" w:rsidRDefault="00724916" w14:paraId="0F866E35" w14:textId="03D4BDA8">
            <w:pPr>
              <w:contextualSpacing/>
              <w:rPr>
                <w:sz w:val="20"/>
                <w:szCs w:val="20"/>
                <w:highlight w:val="yellow"/>
              </w:rPr>
            </w:pPr>
            <w:r w:rsidRPr="00170C3A">
              <w:rPr>
                <w:sz w:val="20"/>
                <w:szCs w:val="20"/>
              </w:rPr>
              <w:t>It</w:t>
            </w:r>
            <w:r w:rsidRPr="00170C3A" w:rsidR="0032518E">
              <w:rPr>
                <w:sz w:val="20"/>
                <w:szCs w:val="20"/>
              </w:rPr>
              <w:t xml:space="preserve"> also highlights any issues or items referred or escalated to </w:t>
            </w:r>
            <w:r w:rsidRPr="00170C3A">
              <w:rPr>
                <w:sz w:val="20"/>
                <w:szCs w:val="20"/>
              </w:rPr>
              <w:t>C</w:t>
            </w:r>
            <w:r w:rsidRPr="00170C3A" w:rsidR="0032518E">
              <w:rPr>
                <w:sz w:val="20"/>
                <w:szCs w:val="20"/>
              </w:rPr>
              <w:t xml:space="preserve">ommittees or the Board. </w:t>
            </w:r>
          </w:p>
          <w:p w:rsidRPr="00170C3A" w:rsidR="0032518E" w:rsidP="0032518E" w:rsidRDefault="0032518E" w14:paraId="333E92DD" w14:textId="77777777">
            <w:pPr>
              <w:contextualSpacing/>
              <w:rPr>
                <w:sz w:val="20"/>
                <w:szCs w:val="20"/>
              </w:rPr>
            </w:pPr>
          </w:p>
          <w:p w:rsidRPr="00170C3A" w:rsidR="0032518E" w:rsidP="0032518E" w:rsidRDefault="0032518E" w14:paraId="0294F730" w14:textId="1ACC04A1">
            <w:pPr>
              <w:contextualSpacing/>
              <w:rPr>
                <w:sz w:val="20"/>
                <w:szCs w:val="20"/>
              </w:rPr>
            </w:pPr>
            <w:r w:rsidRPr="00170C3A">
              <w:rPr>
                <w:sz w:val="20"/>
                <w:szCs w:val="20"/>
              </w:rPr>
              <w:t xml:space="preserve">Reports approved by </w:t>
            </w:r>
            <w:r w:rsidRPr="00170C3A" w:rsidR="00724916">
              <w:rPr>
                <w:sz w:val="20"/>
                <w:szCs w:val="20"/>
              </w:rPr>
              <w:t xml:space="preserve">the chair </w:t>
            </w:r>
            <w:r w:rsidRPr="00170C3A">
              <w:rPr>
                <w:sz w:val="20"/>
                <w:szCs w:val="20"/>
              </w:rPr>
              <w:t xml:space="preserve">each </w:t>
            </w:r>
            <w:r w:rsidRPr="00170C3A" w:rsidR="00724916">
              <w:rPr>
                <w:sz w:val="20"/>
                <w:szCs w:val="20"/>
              </w:rPr>
              <w:t xml:space="preserve">group </w:t>
            </w:r>
            <w:r w:rsidRPr="00170C3A">
              <w:rPr>
                <w:sz w:val="20"/>
                <w:szCs w:val="20"/>
              </w:rPr>
              <w:t xml:space="preserve">are presented to </w:t>
            </w:r>
            <w:r w:rsidRPr="00170C3A" w:rsidR="00724916">
              <w:rPr>
                <w:sz w:val="20"/>
                <w:szCs w:val="20"/>
              </w:rPr>
              <w:t>s</w:t>
            </w:r>
            <w:r w:rsidRPr="00170C3A" w:rsidR="3B52E9FE">
              <w:rPr>
                <w:sz w:val="20"/>
                <w:szCs w:val="20"/>
              </w:rPr>
              <w:t>ub-</w:t>
            </w:r>
            <w:r w:rsidRPr="00170C3A" w:rsidR="00724916">
              <w:rPr>
                <w:sz w:val="20"/>
                <w:szCs w:val="20"/>
              </w:rPr>
              <w:t>c</w:t>
            </w:r>
            <w:r w:rsidRPr="00170C3A">
              <w:rPr>
                <w:sz w:val="20"/>
                <w:szCs w:val="20"/>
              </w:rPr>
              <w:t xml:space="preserve">ommittee to provide assurance that the </w:t>
            </w:r>
            <w:r w:rsidRPr="00170C3A" w:rsidR="423BDDFE">
              <w:rPr>
                <w:sz w:val="20"/>
                <w:szCs w:val="20"/>
              </w:rPr>
              <w:t>group</w:t>
            </w:r>
            <w:r w:rsidRPr="00170C3A">
              <w:rPr>
                <w:sz w:val="20"/>
                <w:szCs w:val="20"/>
              </w:rPr>
              <w:t xml:space="preserve">s have met in accordance with their terms of reference and to advise the </w:t>
            </w:r>
            <w:r w:rsidRPr="00170C3A" w:rsidR="00724916">
              <w:rPr>
                <w:sz w:val="20"/>
                <w:szCs w:val="20"/>
              </w:rPr>
              <w:t>s</w:t>
            </w:r>
            <w:r w:rsidRPr="00170C3A" w:rsidR="302C74FB">
              <w:rPr>
                <w:sz w:val="20"/>
                <w:szCs w:val="20"/>
              </w:rPr>
              <w:t>ub-</w:t>
            </w:r>
            <w:r w:rsidRPr="00170C3A" w:rsidR="00724916">
              <w:rPr>
                <w:sz w:val="20"/>
                <w:szCs w:val="20"/>
              </w:rPr>
              <w:t>c</w:t>
            </w:r>
            <w:r w:rsidRPr="00170C3A">
              <w:rPr>
                <w:sz w:val="20"/>
                <w:szCs w:val="20"/>
              </w:rPr>
              <w:t xml:space="preserve">ommittee of </w:t>
            </w:r>
            <w:r w:rsidRPr="00170C3A" w:rsidR="00724916">
              <w:rPr>
                <w:sz w:val="20"/>
                <w:szCs w:val="20"/>
              </w:rPr>
              <w:t xml:space="preserve">the </w:t>
            </w:r>
            <w:r w:rsidRPr="00170C3A">
              <w:rPr>
                <w:sz w:val="20"/>
                <w:szCs w:val="20"/>
              </w:rPr>
              <w:t>business transacted</w:t>
            </w:r>
            <w:r w:rsidRPr="00170C3A" w:rsidR="00724916">
              <w:rPr>
                <w:sz w:val="20"/>
                <w:szCs w:val="20"/>
              </w:rPr>
              <w:t>.</w:t>
            </w:r>
          </w:p>
          <w:p w:rsidRPr="00170C3A" w:rsidR="0032518E" w:rsidP="0032518E" w:rsidRDefault="0032518E" w14:paraId="7CACA80E" w14:textId="77777777">
            <w:pPr>
              <w:rPr>
                <w:b/>
                <w:sz w:val="20"/>
                <w:szCs w:val="20"/>
              </w:rPr>
            </w:pPr>
          </w:p>
        </w:tc>
      </w:tr>
      <w:tr w:rsidRPr="00170C3A" w:rsidR="0032518E" w:rsidTr="0E68B005" w14:paraId="5B09DB04" w14:textId="77777777">
        <w:tc>
          <w:tcPr>
            <w:tcW w:w="9493" w:type="dxa"/>
            <w:gridSpan w:val="6"/>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615D8024" w14:textId="32BA9DF6">
            <w:pPr>
              <w:rPr>
                <w:b/>
                <w:sz w:val="20"/>
                <w:szCs w:val="20"/>
              </w:rPr>
            </w:pPr>
            <w:r w:rsidRPr="00170C3A">
              <w:rPr>
                <w:b/>
                <w:sz w:val="20"/>
                <w:szCs w:val="20"/>
              </w:rPr>
              <w:t>Recommendations</w:t>
            </w:r>
          </w:p>
        </w:tc>
      </w:tr>
      <w:tr w:rsidRPr="00170C3A" w:rsidR="0032518E" w:rsidTr="0E68B005" w14:paraId="13E90F63" w14:textId="77777777">
        <w:tc>
          <w:tcPr>
            <w:tcW w:w="9493" w:type="dxa"/>
            <w:gridSpan w:val="6"/>
            <w:tcBorders>
              <w:top w:val="single" w:color="auto" w:sz="4" w:space="0"/>
              <w:left w:val="single" w:color="auto" w:sz="4" w:space="0"/>
              <w:bottom w:val="single" w:color="auto" w:sz="4" w:space="0"/>
              <w:right w:val="single" w:color="auto" w:sz="4" w:space="0"/>
            </w:tcBorders>
            <w:tcMar/>
          </w:tcPr>
          <w:p w:rsidRPr="00170C3A" w:rsidR="0032518E" w:rsidP="0032518E" w:rsidRDefault="0032518E" w14:paraId="59115B17" w14:textId="77777777">
            <w:pPr>
              <w:rPr>
                <w:sz w:val="20"/>
                <w:szCs w:val="20"/>
              </w:rPr>
            </w:pPr>
          </w:p>
          <w:p w:rsidRPr="00170C3A" w:rsidR="009C4FBD" w:rsidP="009C4FBD" w:rsidRDefault="009C4FBD" w14:paraId="3D894DE3" w14:textId="348737D5">
            <w:pPr>
              <w:rPr>
                <w:sz w:val="20"/>
                <w:szCs w:val="20"/>
              </w:rPr>
            </w:pPr>
            <w:r w:rsidRPr="00170C3A">
              <w:rPr>
                <w:sz w:val="20"/>
                <w:szCs w:val="20"/>
              </w:rPr>
              <w:t>The Primary Care C</w:t>
            </w:r>
            <w:r w:rsidRPr="00170C3A" w:rsidR="0020221E">
              <w:rPr>
                <w:sz w:val="20"/>
                <w:szCs w:val="20"/>
              </w:rPr>
              <w:t>ontracts Sub</w:t>
            </w:r>
            <w:r w:rsidRPr="00170C3A" w:rsidR="00724916">
              <w:rPr>
                <w:sz w:val="20"/>
                <w:szCs w:val="20"/>
              </w:rPr>
              <w:t>-c</w:t>
            </w:r>
            <w:r w:rsidRPr="00170C3A">
              <w:rPr>
                <w:sz w:val="20"/>
                <w:szCs w:val="20"/>
              </w:rPr>
              <w:t>ommittee is requested to:</w:t>
            </w:r>
          </w:p>
          <w:p w:rsidRPr="00170C3A" w:rsidR="009C4FBD" w:rsidP="009C4FBD" w:rsidRDefault="009C4FBD" w14:paraId="577DE47D" w14:textId="77777777">
            <w:pPr>
              <w:rPr>
                <w:sz w:val="20"/>
                <w:szCs w:val="20"/>
              </w:rPr>
            </w:pPr>
          </w:p>
          <w:p w:rsidRPr="00170C3A" w:rsidR="00355CC2" w:rsidP="00251325" w:rsidRDefault="009C4FBD" w14:paraId="2D06D085" w14:textId="0549E806">
            <w:pPr>
              <w:numPr>
                <w:ilvl w:val="0"/>
                <w:numId w:val="3"/>
              </w:numPr>
              <w:contextualSpacing/>
              <w:rPr>
                <w:sz w:val="20"/>
                <w:szCs w:val="20"/>
              </w:rPr>
            </w:pPr>
            <w:r w:rsidRPr="00170C3A">
              <w:rPr>
                <w:b/>
                <w:sz w:val="20"/>
                <w:szCs w:val="20"/>
              </w:rPr>
              <w:t>Receive</w:t>
            </w:r>
            <w:r w:rsidRPr="00170C3A">
              <w:rPr>
                <w:sz w:val="20"/>
                <w:szCs w:val="20"/>
              </w:rPr>
              <w:t xml:space="preserve"> and </w:t>
            </w:r>
            <w:r w:rsidRPr="00170C3A">
              <w:rPr>
                <w:b/>
                <w:sz w:val="20"/>
                <w:szCs w:val="20"/>
              </w:rPr>
              <w:t>note</w:t>
            </w:r>
            <w:r w:rsidRPr="00170C3A">
              <w:rPr>
                <w:sz w:val="20"/>
                <w:szCs w:val="20"/>
              </w:rPr>
              <w:t xml:space="preserve"> the Alert, Assure, Advise (AAA) reports from the five primary care groups</w:t>
            </w:r>
          </w:p>
          <w:p w:rsidRPr="00170C3A" w:rsidR="00355CC2" w:rsidP="0032518E" w:rsidRDefault="00355CC2" w14:paraId="2423FE8C" w14:textId="77777777">
            <w:pPr>
              <w:rPr>
                <w:sz w:val="20"/>
                <w:szCs w:val="20"/>
              </w:rPr>
            </w:pPr>
          </w:p>
        </w:tc>
      </w:tr>
      <w:tr w:rsidRPr="00170C3A" w:rsidR="0032518E" w:rsidTr="0E68B005" w14:paraId="6F9534ED" w14:textId="77777777">
        <w:tc>
          <w:tcPr>
            <w:tcW w:w="9493" w:type="dxa"/>
            <w:gridSpan w:val="6"/>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6F000A3A" w14:textId="5669ED3D">
            <w:pPr>
              <w:rPr>
                <w:b/>
                <w:sz w:val="20"/>
                <w:szCs w:val="20"/>
              </w:rPr>
            </w:pPr>
            <w:r w:rsidRPr="00170C3A">
              <w:rPr>
                <w:b/>
                <w:sz w:val="20"/>
                <w:szCs w:val="20"/>
              </w:rPr>
              <w:t xml:space="preserve">Governance and reporting* </w:t>
            </w:r>
            <w:r w:rsidRPr="00170C3A">
              <w:rPr>
                <w:sz w:val="20"/>
                <w:szCs w:val="20"/>
              </w:rPr>
              <w:t>(list other forums that have discussed this paper and any other engagement that has taken place)</w:t>
            </w:r>
          </w:p>
        </w:tc>
      </w:tr>
      <w:tr w:rsidRPr="00170C3A" w:rsidR="0032518E" w:rsidTr="0E68B005" w14:paraId="61E8C6B3"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4A1C4AA1" w14:textId="77777777">
            <w:pPr>
              <w:rPr>
                <w:b/>
                <w:sz w:val="20"/>
                <w:szCs w:val="20"/>
              </w:rPr>
            </w:pPr>
            <w:r w:rsidRPr="00170C3A">
              <w:rPr>
                <w:b/>
                <w:sz w:val="20"/>
                <w:szCs w:val="20"/>
              </w:rPr>
              <w:t>Meeting</w:t>
            </w:r>
          </w:p>
        </w:tc>
        <w:tc>
          <w:tcPr>
            <w:tcW w:w="3048"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3A67D6EF" w14:textId="77777777">
            <w:pPr>
              <w:rPr>
                <w:b/>
                <w:sz w:val="20"/>
                <w:szCs w:val="20"/>
              </w:rPr>
            </w:pPr>
            <w:r w:rsidRPr="00170C3A">
              <w:rPr>
                <w:b/>
                <w:sz w:val="20"/>
                <w:szCs w:val="20"/>
              </w:rPr>
              <w:t>Date</w:t>
            </w:r>
          </w:p>
        </w:tc>
        <w:tc>
          <w:tcPr>
            <w:tcW w:w="3473"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3CAD5D80" w14:textId="77777777">
            <w:pPr>
              <w:rPr>
                <w:b/>
                <w:sz w:val="20"/>
                <w:szCs w:val="20"/>
              </w:rPr>
            </w:pPr>
            <w:r w:rsidRPr="00170C3A">
              <w:rPr>
                <w:b/>
                <w:sz w:val="20"/>
                <w:szCs w:val="20"/>
              </w:rPr>
              <w:t>Outcomes</w:t>
            </w:r>
          </w:p>
        </w:tc>
      </w:tr>
      <w:tr w:rsidRPr="00170C3A" w:rsidR="00E83A53" w:rsidTr="0E68B005" w14:paraId="0CC9C155" w14:textId="77777777">
        <w:trPr>
          <w:trHeight w:val="699"/>
        </w:trPr>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552731" w14:paraId="3A1B9AA4" w14:textId="78C1A909">
            <w:pPr>
              <w:rPr>
                <w:b/>
                <w:sz w:val="20"/>
                <w:szCs w:val="20"/>
              </w:rPr>
            </w:pPr>
            <w:r w:rsidRPr="00170C3A">
              <w:rPr>
                <w:b/>
                <w:sz w:val="20"/>
                <w:szCs w:val="20"/>
              </w:rPr>
              <w:t xml:space="preserve">Primary Medical Services Group </w:t>
            </w:r>
          </w:p>
        </w:tc>
        <w:tc>
          <w:tcPr>
            <w:tcW w:w="3048"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2801FCD6" w:rsidRDefault="006C7368" w14:paraId="500868B5" w14:textId="273A9542">
            <w:pPr>
              <w:rPr>
                <w:color w:val="FF0000"/>
                <w:sz w:val="20"/>
                <w:szCs w:val="20"/>
              </w:rPr>
            </w:pPr>
            <w:r w:rsidRPr="00170C3A">
              <w:rPr>
                <w:sz w:val="20"/>
                <w:szCs w:val="20"/>
              </w:rPr>
              <w:t>1</w:t>
            </w:r>
            <w:r w:rsidRPr="00170C3A">
              <w:rPr>
                <w:sz w:val="20"/>
                <w:szCs w:val="20"/>
                <w:vertAlign w:val="superscript"/>
              </w:rPr>
              <w:t>st</w:t>
            </w:r>
            <w:r w:rsidRPr="00170C3A">
              <w:rPr>
                <w:sz w:val="20"/>
                <w:szCs w:val="20"/>
              </w:rPr>
              <w:t xml:space="preserve"> April</w:t>
            </w:r>
            <w:r w:rsidRPr="00170C3A" w:rsidR="00E908A0">
              <w:rPr>
                <w:sz w:val="20"/>
                <w:szCs w:val="20"/>
              </w:rPr>
              <w:t xml:space="preserve"> </w:t>
            </w:r>
            <w:r w:rsidRPr="00170C3A" w:rsidR="00FF0AF8">
              <w:rPr>
                <w:sz w:val="20"/>
                <w:szCs w:val="20"/>
              </w:rPr>
              <w:t>2026</w:t>
            </w:r>
          </w:p>
        </w:tc>
        <w:tc>
          <w:tcPr>
            <w:tcW w:w="3473" w:type="dxa"/>
            <w:tcBorders>
              <w:top w:val="single" w:color="auto" w:sz="4" w:space="0"/>
              <w:left w:val="single" w:color="auto" w:sz="4" w:space="0"/>
              <w:bottom w:val="nil"/>
              <w:right w:val="single" w:color="auto" w:sz="4" w:space="0"/>
            </w:tcBorders>
            <w:shd w:val="clear" w:color="auto" w:fill="FFFFFF" w:themeFill="background1"/>
            <w:tcMar/>
          </w:tcPr>
          <w:p w:rsidRPr="00170C3A" w:rsidR="0032518E" w:rsidP="0032518E" w:rsidRDefault="00C51968" w14:paraId="6DA5CD81" w14:textId="2715D7A1">
            <w:pPr>
              <w:rPr>
                <w:b/>
                <w:sz w:val="20"/>
                <w:szCs w:val="20"/>
              </w:rPr>
            </w:pPr>
            <w:r w:rsidRPr="00170C3A">
              <w:rPr>
                <w:sz w:val="20"/>
                <w:szCs w:val="20"/>
                <w:lang w:val="en-US"/>
              </w:rPr>
              <w:t>To provide oversight to the</w:t>
            </w:r>
            <w:r w:rsidRPr="00170C3A" w:rsidR="00D704EC">
              <w:rPr>
                <w:sz w:val="20"/>
                <w:szCs w:val="20"/>
                <w:lang w:val="en-US"/>
              </w:rPr>
              <w:t xml:space="preserve"> </w:t>
            </w:r>
            <w:r w:rsidRPr="00170C3A">
              <w:rPr>
                <w:sz w:val="20"/>
                <w:szCs w:val="20"/>
                <w:lang w:val="en-US"/>
              </w:rPr>
              <w:t xml:space="preserve">Primary Care </w:t>
            </w:r>
            <w:r w:rsidRPr="00170C3A" w:rsidR="00D704EC">
              <w:rPr>
                <w:sz w:val="20"/>
                <w:szCs w:val="20"/>
                <w:lang w:val="en-US"/>
              </w:rPr>
              <w:t xml:space="preserve">Contracts Sub-committee </w:t>
            </w:r>
            <w:r w:rsidRPr="00170C3A">
              <w:rPr>
                <w:sz w:val="20"/>
                <w:szCs w:val="20"/>
                <w:lang w:val="en-US"/>
              </w:rPr>
              <w:t>of</w:t>
            </w:r>
            <w:r w:rsidRPr="00170C3A" w:rsidR="00D704EC">
              <w:rPr>
                <w:sz w:val="20"/>
                <w:szCs w:val="20"/>
                <w:lang w:val="en-US"/>
              </w:rPr>
              <w:t xml:space="preserve"> the</w:t>
            </w:r>
            <w:r w:rsidRPr="00170C3A">
              <w:rPr>
                <w:sz w:val="20"/>
                <w:szCs w:val="20"/>
                <w:lang w:val="en-US"/>
              </w:rPr>
              <w:t xml:space="preserve"> business conducted at the </w:t>
            </w:r>
            <w:r w:rsidRPr="00170C3A" w:rsidR="00D704EC">
              <w:rPr>
                <w:sz w:val="20"/>
                <w:szCs w:val="20"/>
                <w:lang w:val="en-US"/>
              </w:rPr>
              <w:t>g</w:t>
            </w:r>
            <w:r w:rsidRPr="00170C3A">
              <w:rPr>
                <w:sz w:val="20"/>
                <w:szCs w:val="20"/>
                <w:lang w:val="en-US"/>
              </w:rPr>
              <w:t>roups during this period</w:t>
            </w:r>
            <w:r w:rsidRPr="00170C3A" w:rsidR="00D704EC">
              <w:rPr>
                <w:sz w:val="20"/>
                <w:szCs w:val="20"/>
                <w:lang w:val="en-US"/>
              </w:rPr>
              <w:t>.</w:t>
            </w:r>
          </w:p>
        </w:tc>
      </w:tr>
      <w:tr w:rsidRPr="00170C3A" w:rsidR="00634E44" w:rsidTr="0E68B005" w14:paraId="76C8F9CC"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9211C0" w:rsidP="0032518E" w:rsidRDefault="009211C0" w14:paraId="041067B2" w14:textId="5A4DEADF">
            <w:pPr>
              <w:rPr>
                <w:b/>
                <w:sz w:val="20"/>
                <w:szCs w:val="20"/>
              </w:rPr>
            </w:pPr>
            <w:r w:rsidRPr="00170C3A">
              <w:rPr>
                <w:b/>
                <w:sz w:val="20"/>
                <w:szCs w:val="20"/>
              </w:rPr>
              <w:t xml:space="preserve">Primary Dental Services Group </w:t>
            </w:r>
          </w:p>
        </w:tc>
        <w:tc>
          <w:tcPr>
            <w:tcW w:w="3048"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9211C0" w:rsidP="2801FCD6" w:rsidRDefault="00A852C9" w14:paraId="0466B830" w14:textId="3CCD5121">
            <w:pPr>
              <w:rPr>
                <w:sz w:val="20"/>
                <w:szCs w:val="20"/>
              </w:rPr>
            </w:pPr>
            <w:r>
              <w:rPr>
                <w:sz w:val="20"/>
                <w:szCs w:val="20"/>
              </w:rPr>
              <w:t>16</w:t>
            </w:r>
            <w:r w:rsidRPr="00A852C9">
              <w:rPr>
                <w:sz w:val="20"/>
                <w:szCs w:val="20"/>
                <w:vertAlign w:val="superscript"/>
              </w:rPr>
              <w:t>th</w:t>
            </w:r>
            <w:r>
              <w:rPr>
                <w:sz w:val="20"/>
                <w:szCs w:val="20"/>
              </w:rPr>
              <w:t xml:space="preserve"> April 2026</w:t>
            </w:r>
          </w:p>
        </w:tc>
        <w:tc>
          <w:tcPr>
            <w:tcW w:w="3473" w:type="dxa"/>
            <w:tcBorders>
              <w:top w:val="nil"/>
              <w:left w:val="single" w:color="auto" w:sz="4" w:space="0"/>
              <w:bottom w:val="nil"/>
              <w:right w:val="single" w:color="auto" w:sz="4" w:space="0"/>
            </w:tcBorders>
            <w:shd w:val="clear" w:color="auto" w:fill="FFFFFF" w:themeFill="background1"/>
            <w:tcMar/>
          </w:tcPr>
          <w:p w:rsidRPr="00170C3A" w:rsidR="009211C0" w:rsidP="0032518E" w:rsidRDefault="009211C0" w14:paraId="73B4B677" w14:textId="77777777">
            <w:pPr>
              <w:rPr>
                <w:b/>
                <w:sz w:val="20"/>
                <w:szCs w:val="20"/>
                <w:highlight w:val="yellow"/>
              </w:rPr>
            </w:pPr>
          </w:p>
        </w:tc>
      </w:tr>
      <w:tr w:rsidRPr="00170C3A" w:rsidR="00634E44" w:rsidTr="0E68B005" w14:paraId="7ABBBAC3"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9211C0" w:rsidP="0032518E" w:rsidRDefault="009211C0" w14:paraId="1406815D" w14:textId="621A7672">
            <w:pPr>
              <w:rPr>
                <w:b/>
                <w:sz w:val="20"/>
                <w:szCs w:val="20"/>
              </w:rPr>
            </w:pPr>
            <w:r w:rsidRPr="00170C3A">
              <w:rPr>
                <w:b/>
                <w:sz w:val="20"/>
                <w:szCs w:val="20"/>
              </w:rPr>
              <w:t xml:space="preserve">Primary Optometric Services Group </w:t>
            </w:r>
          </w:p>
        </w:tc>
        <w:tc>
          <w:tcPr>
            <w:tcW w:w="3048"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9211C0" w:rsidP="2801FCD6" w:rsidRDefault="00C543D8" w14:paraId="589D8C66" w14:textId="345D63BA">
            <w:pPr>
              <w:rPr>
                <w:color w:val="FF0000"/>
                <w:sz w:val="20"/>
                <w:szCs w:val="20"/>
              </w:rPr>
            </w:pPr>
            <w:r w:rsidRPr="00170C3A">
              <w:rPr>
                <w:sz w:val="20"/>
                <w:szCs w:val="20"/>
              </w:rPr>
              <w:t>8</w:t>
            </w:r>
            <w:r w:rsidRPr="00170C3A">
              <w:rPr>
                <w:sz w:val="20"/>
                <w:szCs w:val="20"/>
                <w:vertAlign w:val="superscript"/>
              </w:rPr>
              <w:t>th</w:t>
            </w:r>
            <w:r w:rsidRPr="00170C3A">
              <w:rPr>
                <w:sz w:val="20"/>
                <w:szCs w:val="20"/>
              </w:rPr>
              <w:t xml:space="preserve"> April 2026</w:t>
            </w:r>
          </w:p>
        </w:tc>
        <w:tc>
          <w:tcPr>
            <w:tcW w:w="3473" w:type="dxa"/>
            <w:tcBorders>
              <w:top w:val="nil"/>
              <w:left w:val="single" w:color="auto" w:sz="4" w:space="0"/>
              <w:bottom w:val="nil"/>
              <w:right w:val="single" w:color="auto" w:sz="4" w:space="0"/>
            </w:tcBorders>
            <w:shd w:val="clear" w:color="auto" w:fill="FFFFFF" w:themeFill="background1"/>
            <w:tcMar/>
          </w:tcPr>
          <w:p w:rsidRPr="00170C3A" w:rsidR="009211C0" w:rsidP="0032518E" w:rsidRDefault="009211C0" w14:paraId="2F200710" w14:textId="77777777">
            <w:pPr>
              <w:rPr>
                <w:b/>
                <w:sz w:val="20"/>
                <w:szCs w:val="20"/>
              </w:rPr>
            </w:pPr>
          </w:p>
        </w:tc>
      </w:tr>
      <w:tr w:rsidRPr="00170C3A" w:rsidR="00634E44" w:rsidTr="0E68B005" w14:paraId="7C979DB4"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9211C0" w:rsidP="0032518E" w:rsidRDefault="009211C0" w14:paraId="78DD7D01" w14:textId="18D15FB6">
            <w:pPr>
              <w:rPr>
                <w:b/>
                <w:sz w:val="20"/>
                <w:szCs w:val="20"/>
              </w:rPr>
            </w:pPr>
            <w:r w:rsidRPr="00170C3A">
              <w:rPr>
                <w:b/>
                <w:sz w:val="20"/>
                <w:szCs w:val="20"/>
              </w:rPr>
              <w:t xml:space="preserve">Pharmaceutical </w:t>
            </w:r>
            <w:r w:rsidRPr="00170C3A" w:rsidR="00EB12DD">
              <w:rPr>
                <w:b/>
                <w:sz w:val="20"/>
                <w:szCs w:val="20"/>
              </w:rPr>
              <w:t xml:space="preserve">Services Group </w:t>
            </w:r>
          </w:p>
        </w:tc>
        <w:tc>
          <w:tcPr>
            <w:tcW w:w="3048"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9211C0" w:rsidP="2801FCD6" w:rsidRDefault="219A261F" w14:paraId="64117CFB" w14:textId="32D425AF">
            <w:r w:rsidRPr="379D4CDC">
              <w:rPr>
                <w:sz w:val="20"/>
                <w:szCs w:val="20"/>
              </w:rPr>
              <w:t>15th April 2026</w:t>
            </w:r>
          </w:p>
        </w:tc>
        <w:tc>
          <w:tcPr>
            <w:tcW w:w="3473" w:type="dxa"/>
            <w:tcBorders>
              <w:top w:val="nil"/>
              <w:left w:val="single" w:color="auto" w:sz="4" w:space="0"/>
              <w:bottom w:val="nil"/>
              <w:right w:val="single" w:color="auto" w:sz="4" w:space="0"/>
            </w:tcBorders>
            <w:shd w:val="clear" w:color="auto" w:fill="FFFFFF" w:themeFill="background1"/>
            <w:tcMar/>
          </w:tcPr>
          <w:p w:rsidRPr="00170C3A" w:rsidR="009211C0" w:rsidP="0032518E" w:rsidRDefault="009211C0" w14:paraId="0DF49F80" w14:textId="77777777">
            <w:pPr>
              <w:rPr>
                <w:b/>
                <w:sz w:val="20"/>
                <w:szCs w:val="20"/>
              </w:rPr>
            </w:pPr>
          </w:p>
        </w:tc>
      </w:tr>
      <w:tr w:rsidRPr="00170C3A" w:rsidR="00634E44" w:rsidTr="0E68B005" w14:paraId="21412BFD"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EB12DD" w:rsidP="0032518E" w:rsidRDefault="00EB12DD" w14:paraId="39AD013E" w14:textId="753332A2">
            <w:pPr>
              <w:rPr>
                <w:b/>
                <w:sz w:val="20"/>
                <w:szCs w:val="20"/>
              </w:rPr>
            </w:pPr>
            <w:r w:rsidRPr="00170C3A">
              <w:rPr>
                <w:b/>
                <w:sz w:val="20"/>
                <w:szCs w:val="20"/>
              </w:rPr>
              <w:t xml:space="preserve">Primary Care Capital Group </w:t>
            </w:r>
          </w:p>
        </w:tc>
        <w:tc>
          <w:tcPr>
            <w:tcW w:w="3048"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cPr>
          <w:p w:rsidRPr="00EB5B21" w:rsidR="00EB12DD" w:rsidP="2801FCD6" w:rsidRDefault="00EB5B21" w14:paraId="3D157BD1" w14:textId="180C5C1B">
            <w:pPr>
              <w:rPr>
                <w:bCs/>
                <w:sz w:val="20"/>
                <w:szCs w:val="20"/>
              </w:rPr>
            </w:pPr>
            <w:r w:rsidRPr="00EB5B21">
              <w:rPr>
                <w:bCs/>
                <w:sz w:val="20"/>
                <w:szCs w:val="20"/>
              </w:rPr>
              <w:t>15th April 2026</w:t>
            </w:r>
          </w:p>
        </w:tc>
        <w:tc>
          <w:tcPr>
            <w:tcW w:w="3473" w:type="dxa"/>
            <w:tcBorders>
              <w:top w:val="nil"/>
              <w:left w:val="single" w:color="auto" w:sz="4" w:space="0"/>
              <w:bottom w:val="single" w:color="auto" w:sz="4" w:space="0"/>
              <w:right w:val="single" w:color="auto" w:sz="4" w:space="0"/>
            </w:tcBorders>
            <w:shd w:val="clear" w:color="auto" w:fill="FFFFFF" w:themeFill="background1"/>
            <w:tcMar/>
          </w:tcPr>
          <w:p w:rsidRPr="00170C3A" w:rsidR="00EB12DD" w:rsidP="0032518E" w:rsidRDefault="00EB12DD" w14:paraId="7C3BE806" w14:textId="77777777">
            <w:pPr>
              <w:rPr>
                <w:b/>
                <w:sz w:val="20"/>
                <w:szCs w:val="20"/>
              </w:rPr>
            </w:pPr>
          </w:p>
        </w:tc>
      </w:tr>
      <w:tr w:rsidRPr="00170C3A" w:rsidR="0032518E" w:rsidTr="0E68B005" w14:paraId="365973AE" w14:textId="77777777">
        <w:tc>
          <w:tcPr>
            <w:tcW w:w="9493" w:type="dxa"/>
            <w:gridSpan w:val="6"/>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330A89E9" w14:textId="77777777">
            <w:pPr>
              <w:rPr>
                <w:b/>
                <w:sz w:val="20"/>
                <w:szCs w:val="20"/>
              </w:rPr>
            </w:pPr>
            <w:r w:rsidRPr="00170C3A">
              <w:rPr>
                <w:b/>
                <w:sz w:val="20"/>
                <w:szCs w:val="20"/>
              </w:rPr>
              <w:t>Conflicts of interest identified</w:t>
            </w:r>
          </w:p>
        </w:tc>
      </w:tr>
      <w:tr w:rsidRPr="00170C3A" w:rsidR="0032518E" w:rsidTr="0E68B005" w14:paraId="421BAD0D" w14:textId="77777777">
        <w:tc>
          <w:tcPr>
            <w:tcW w:w="9493" w:type="dxa"/>
            <w:gridSpan w:val="6"/>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20B7B15B" w14:textId="77777777">
            <w:pPr>
              <w:rPr>
                <w:b/>
                <w:sz w:val="20"/>
                <w:szCs w:val="20"/>
              </w:rPr>
            </w:pPr>
          </w:p>
        </w:tc>
      </w:tr>
      <w:tr w:rsidRPr="00170C3A" w:rsidR="0032518E" w:rsidTr="0E68B005" w14:paraId="0A69A08F" w14:textId="77777777">
        <w:tc>
          <w:tcPr>
            <w:tcW w:w="9493" w:type="dxa"/>
            <w:gridSpan w:val="6"/>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3ACAA005" w14:textId="77777777">
            <w:pPr>
              <w:rPr>
                <w:b/>
                <w:sz w:val="20"/>
                <w:szCs w:val="20"/>
              </w:rPr>
            </w:pPr>
            <w:r w:rsidRPr="00170C3A">
              <w:rPr>
                <w:b/>
                <w:sz w:val="20"/>
                <w:szCs w:val="20"/>
              </w:rPr>
              <w:t xml:space="preserve">Implications </w:t>
            </w:r>
          </w:p>
        </w:tc>
      </w:tr>
      <w:tr w:rsidRPr="00170C3A" w:rsidR="00634E44" w:rsidTr="0E68B005" w14:paraId="5B1F35E8"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11413F08" w14:textId="77777777">
            <w:pPr>
              <w:rPr>
                <w:b/>
                <w:i/>
                <w:sz w:val="20"/>
                <w:szCs w:val="20"/>
              </w:rPr>
            </w:pPr>
            <w:r w:rsidRPr="00170C3A">
              <w:rPr>
                <w:i/>
                <w:sz w:val="20"/>
                <w:szCs w:val="20"/>
              </w:rPr>
              <w:t>If yes, please provide a brief risk description and reference number</w:t>
            </w:r>
          </w:p>
        </w:tc>
        <w:tc>
          <w:tcPr>
            <w:tcW w:w="74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0F1BC869" w14:textId="77777777">
            <w:pPr>
              <w:rPr>
                <w:b/>
                <w:sz w:val="20"/>
                <w:szCs w:val="20"/>
              </w:rPr>
            </w:pPr>
            <w:r w:rsidRPr="00170C3A">
              <w:rPr>
                <w:b/>
                <w:sz w:val="20"/>
                <w:szCs w:val="20"/>
              </w:rPr>
              <w:t>YES</w:t>
            </w: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37E427F5" w14:textId="77777777">
            <w:pPr>
              <w:rPr>
                <w:b/>
                <w:sz w:val="20"/>
                <w:szCs w:val="20"/>
              </w:rPr>
            </w:pPr>
            <w:r w:rsidRPr="00170C3A">
              <w:rPr>
                <w:b/>
                <w:sz w:val="20"/>
                <w:szCs w:val="20"/>
              </w:rPr>
              <w:t>NO</w:t>
            </w:r>
          </w:p>
        </w:tc>
        <w:tc>
          <w:tcPr>
            <w:tcW w:w="70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46DDA43E" w14:textId="77777777">
            <w:pPr>
              <w:rPr>
                <w:b/>
                <w:sz w:val="20"/>
                <w:szCs w:val="20"/>
              </w:rPr>
            </w:pPr>
            <w:r w:rsidRPr="00170C3A">
              <w:rPr>
                <w:b/>
                <w:sz w:val="20"/>
                <w:szCs w:val="20"/>
              </w:rPr>
              <w:t>N/A</w:t>
            </w:r>
          </w:p>
        </w:tc>
        <w:tc>
          <w:tcPr>
            <w:tcW w:w="437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3FF2A7E1" w14:textId="77777777">
            <w:pPr>
              <w:rPr>
                <w:b/>
                <w:sz w:val="20"/>
                <w:szCs w:val="20"/>
              </w:rPr>
            </w:pPr>
            <w:r w:rsidRPr="00170C3A">
              <w:rPr>
                <w:b/>
                <w:sz w:val="20"/>
                <w:szCs w:val="20"/>
              </w:rPr>
              <w:t>Comments</w:t>
            </w:r>
          </w:p>
        </w:tc>
      </w:tr>
      <w:tr w:rsidRPr="00170C3A" w:rsidR="00634E44" w:rsidTr="0E68B005" w14:paraId="11C564F5"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5763F6F2" w14:textId="77777777">
            <w:pPr>
              <w:shd w:val="clear" w:color="auto" w:fill="FFFFFF" w:themeFill="background1"/>
              <w:rPr>
                <w:sz w:val="20"/>
                <w:szCs w:val="20"/>
              </w:rPr>
            </w:pPr>
            <w:r w:rsidRPr="00170C3A">
              <w:rPr>
                <w:sz w:val="20"/>
                <w:szCs w:val="20"/>
              </w:rPr>
              <w:t>Quality impact assessment completed</w:t>
            </w:r>
          </w:p>
        </w:tc>
        <w:tc>
          <w:tcPr>
            <w:tcW w:w="7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310590CF" w14:textId="77777777">
            <w:pPr>
              <w:shd w:val="clear" w:color="auto" w:fill="FFFFFF" w:themeFill="background1"/>
              <w:rPr>
                <w:sz w:val="20"/>
                <w:szCs w:val="20"/>
              </w:rPr>
            </w:pP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3D912872" w14:textId="77777777">
            <w:pPr>
              <w:shd w:val="clear" w:color="auto" w:fill="FFFFFF" w:themeFill="background1"/>
              <w:rPr>
                <w:sz w:val="20"/>
                <w:szCs w:val="20"/>
              </w:rPr>
            </w:pPr>
          </w:p>
        </w:tc>
        <w:tc>
          <w:tcPr>
            <w:tcW w:w="70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58373B" w14:paraId="04C96FB0" w14:textId="1D7A7926">
            <w:pPr>
              <w:shd w:val="clear" w:color="auto" w:fill="FFFFFF" w:themeFill="background1"/>
              <w:rPr>
                <w:sz w:val="20"/>
                <w:szCs w:val="20"/>
              </w:rPr>
            </w:pPr>
            <w:r w:rsidRPr="00170C3A">
              <w:rPr>
                <w:sz w:val="20"/>
                <w:szCs w:val="20"/>
              </w:rPr>
              <w:t>X</w:t>
            </w:r>
          </w:p>
        </w:tc>
        <w:tc>
          <w:tcPr>
            <w:tcW w:w="437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3ECE7759" w14:textId="77777777">
            <w:pPr>
              <w:shd w:val="clear" w:color="auto" w:fill="FFFFFF" w:themeFill="background1"/>
              <w:rPr>
                <w:sz w:val="20"/>
                <w:szCs w:val="20"/>
              </w:rPr>
            </w:pPr>
          </w:p>
        </w:tc>
      </w:tr>
      <w:tr w:rsidRPr="00170C3A" w:rsidR="00634E44" w:rsidTr="0E68B005" w14:paraId="254FF2B9"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5CBEB364" w14:textId="77777777">
            <w:pPr>
              <w:shd w:val="clear" w:color="auto" w:fill="FFFFFF" w:themeFill="background1"/>
              <w:rPr>
                <w:sz w:val="20"/>
                <w:szCs w:val="20"/>
              </w:rPr>
            </w:pPr>
            <w:r w:rsidRPr="00170C3A">
              <w:rPr>
                <w:sz w:val="20"/>
                <w:szCs w:val="20"/>
              </w:rPr>
              <w:t>Equality impact assessment completed</w:t>
            </w:r>
          </w:p>
        </w:tc>
        <w:tc>
          <w:tcPr>
            <w:tcW w:w="7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1AF4D980" w14:textId="77777777">
            <w:pPr>
              <w:shd w:val="clear" w:color="auto" w:fill="FFFFFF" w:themeFill="background1"/>
              <w:rPr>
                <w:sz w:val="20"/>
                <w:szCs w:val="20"/>
              </w:rPr>
            </w:pP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3E48B2A1" w14:textId="77777777">
            <w:pPr>
              <w:shd w:val="clear" w:color="auto" w:fill="FFFFFF" w:themeFill="background1"/>
              <w:rPr>
                <w:sz w:val="20"/>
                <w:szCs w:val="20"/>
              </w:rPr>
            </w:pPr>
          </w:p>
        </w:tc>
        <w:tc>
          <w:tcPr>
            <w:tcW w:w="70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58373B" w14:paraId="05F9ADFF" w14:textId="7E8677B9">
            <w:pPr>
              <w:shd w:val="clear" w:color="auto" w:fill="FFFFFF" w:themeFill="background1"/>
              <w:rPr>
                <w:sz w:val="20"/>
                <w:szCs w:val="20"/>
              </w:rPr>
            </w:pPr>
            <w:r w:rsidRPr="00170C3A">
              <w:rPr>
                <w:sz w:val="20"/>
                <w:szCs w:val="20"/>
              </w:rPr>
              <w:t>X</w:t>
            </w:r>
          </w:p>
        </w:tc>
        <w:tc>
          <w:tcPr>
            <w:tcW w:w="437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5694CB81" w14:textId="77777777">
            <w:pPr>
              <w:shd w:val="clear" w:color="auto" w:fill="FFFFFF" w:themeFill="background1"/>
              <w:rPr>
                <w:sz w:val="20"/>
                <w:szCs w:val="20"/>
              </w:rPr>
            </w:pPr>
          </w:p>
        </w:tc>
      </w:tr>
      <w:tr w:rsidRPr="00170C3A" w:rsidR="00634E44" w:rsidTr="0E68B005" w14:paraId="66B5C93F"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071F7B67" w14:textId="77777777">
            <w:pPr>
              <w:shd w:val="clear" w:color="auto" w:fill="FFFFFF" w:themeFill="background1"/>
              <w:rPr>
                <w:sz w:val="20"/>
                <w:szCs w:val="20"/>
              </w:rPr>
            </w:pPr>
            <w:r w:rsidRPr="00170C3A">
              <w:rPr>
                <w:sz w:val="20"/>
                <w:szCs w:val="20"/>
              </w:rPr>
              <w:t>Privacy impact assessment completed</w:t>
            </w:r>
          </w:p>
        </w:tc>
        <w:tc>
          <w:tcPr>
            <w:tcW w:w="7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5DCDC9E0" w14:textId="77777777">
            <w:pPr>
              <w:shd w:val="clear" w:color="auto" w:fill="FFFFFF" w:themeFill="background1"/>
              <w:rPr>
                <w:sz w:val="20"/>
                <w:szCs w:val="20"/>
              </w:rPr>
            </w:pP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3AC67DB4" w14:textId="77777777">
            <w:pPr>
              <w:shd w:val="clear" w:color="auto" w:fill="FFFFFF" w:themeFill="background1"/>
              <w:rPr>
                <w:sz w:val="20"/>
                <w:szCs w:val="20"/>
              </w:rPr>
            </w:pPr>
          </w:p>
        </w:tc>
        <w:tc>
          <w:tcPr>
            <w:tcW w:w="70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20221E" w14:paraId="6BD1285F" w14:textId="0FEECF5C">
            <w:pPr>
              <w:shd w:val="clear" w:color="auto" w:fill="FFFFFF" w:themeFill="background1"/>
              <w:rPr>
                <w:sz w:val="20"/>
                <w:szCs w:val="20"/>
              </w:rPr>
            </w:pPr>
            <w:r w:rsidRPr="00170C3A">
              <w:rPr>
                <w:sz w:val="20"/>
                <w:szCs w:val="20"/>
              </w:rPr>
              <w:t>X</w:t>
            </w:r>
          </w:p>
        </w:tc>
        <w:tc>
          <w:tcPr>
            <w:tcW w:w="437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5206B760" w14:textId="77777777">
            <w:pPr>
              <w:shd w:val="clear" w:color="auto" w:fill="FFFFFF" w:themeFill="background1"/>
              <w:rPr>
                <w:sz w:val="20"/>
                <w:szCs w:val="20"/>
              </w:rPr>
            </w:pPr>
          </w:p>
        </w:tc>
      </w:tr>
      <w:tr w:rsidRPr="00170C3A" w:rsidR="00634E44" w:rsidTr="0E68B005" w14:paraId="1FE14D43"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66F65AE3" w14:textId="77777777">
            <w:pPr>
              <w:shd w:val="clear" w:color="auto" w:fill="FFFFFF" w:themeFill="background1"/>
              <w:rPr>
                <w:sz w:val="20"/>
                <w:szCs w:val="20"/>
              </w:rPr>
            </w:pPr>
            <w:r w:rsidRPr="00170C3A">
              <w:rPr>
                <w:sz w:val="20"/>
                <w:szCs w:val="20"/>
              </w:rPr>
              <w:t>Financial impact assessment completed</w:t>
            </w:r>
          </w:p>
        </w:tc>
        <w:tc>
          <w:tcPr>
            <w:tcW w:w="7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1409B0FA" w14:textId="77777777">
            <w:pPr>
              <w:shd w:val="clear" w:color="auto" w:fill="FFFFFF" w:themeFill="background1"/>
              <w:rPr>
                <w:sz w:val="20"/>
                <w:szCs w:val="20"/>
              </w:rPr>
            </w:pP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52D7199F" w14:textId="77777777">
            <w:pPr>
              <w:shd w:val="clear" w:color="auto" w:fill="FFFFFF" w:themeFill="background1"/>
              <w:rPr>
                <w:sz w:val="20"/>
                <w:szCs w:val="20"/>
              </w:rPr>
            </w:pPr>
          </w:p>
        </w:tc>
        <w:tc>
          <w:tcPr>
            <w:tcW w:w="70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20221E" w14:paraId="20FEC873" w14:textId="5795C913">
            <w:pPr>
              <w:shd w:val="clear" w:color="auto" w:fill="FFFFFF" w:themeFill="background1"/>
              <w:rPr>
                <w:sz w:val="20"/>
                <w:szCs w:val="20"/>
              </w:rPr>
            </w:pPr>
            <w:r w:rsidRPr="00170C3A">
              <w:rPr>
                <w:sz w:val="20"/>
                <w:szCs w:val="20"/>
              </w:rPr>
              <w:t>X</w:t>
            </w:r>
          </w:p>
        </w:tc>
        <w:tc>
          <w:tcPr>
            <w:tcW w:w="437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695C9587" w14:textId="77777777">
            <w:pPr>
              <w:shd w:val="clear" w:color="auto" w:fill="FFFFFF" w:themeFill="background1"/>
              <w:rPr>
                <w:sz w:val="20"/>
                <w:szCs w:val="20"/>
              </w:rPr>
            </w:pPr>
          </w:p>
        </w:tc>
      </w:tr>
      <w:tr w:rsidRPr="00170C3A" w:rsidR="00634E44" w:rsidTr="0E68B005" w14:paraId="5C4FFB60"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215DC86D" w14:textId="77777777">
            <w:pPr>
              <w:shd w:val="clear" w:color="auto" w:fill="FFFFFF" w:themeFill="background1"/>
              <w:rPr>
                <w:sz w:val="20"/>
                <w:szCs w:val="20"/>
              </w:rPr>
            </w:pPr>
            <w:r w:rsidRPr="00170C3A">
              <w:rPr>
                <w:sz w:val="20"/>
                <w:szCs w:val="20"/>
              </w:rPr>
              <w:t>Associated risks</w:t>
            </w:r>
          </w:p>
        </w:tc>
        <w:tc>
          <w:tcPr>
            <w:tcW w:w="7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20221E" w14:paraId="25DEC335" w14:textId="284FB0C6">
            <w:pPr>
              <w:shd w:val="clear" w:color="auto" w:fill="FFFFFF" w:themeFill="background1"/>
              <w:rPr>
                <w:sz w:val="20"/>
                <w:szCs w:val="20"/>
              </w:rPr>
            </w:pPr>
            <w:r w:rsidRPr="00170C3A">
              <w:rPr>
                <w:sz w:val="20"/>
                <w:szCs w:val="20"/>
              </w:rPr>
              <w:t>X</w:t>
            </w: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6DF39846" w14:textId="77777777">
            <w:pPr>
              <w:shd w:val="clear" w:color="auto" w:fill="FFFFFF" w:themeFill="background1"/>
              <w:rPr>
                <w:sz w:val="20"/>
                <w:szCs w:val="20"/>
              </w:rPr>
            </w:pPr>
          </w:p>
        </w:tc>
        <w:tc>
          <w:tcPr>
            <w:tcW w:w="70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3525B555" w14:textId="77777777">
            <w:pPr>
              <w:shd w:val="clear" w:color="auto" w:fill="FFFFFF" w:themeFill="background1"/>
              <w:rPr>
                <w:sz w:val="20"/>
                <w:szCs w:val="20"/>
              </w:rPr>
            </w:pPr>
          </w:p>
        </w:tc>
        <w:tc>
          <w:tcPr>
            <w:tcW w:w="437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1084E06B" w:rsidRDefault="00DB12E1" w14:paraId="02AA5A1F" w14:textId="405768F1">
            <w:pPr>
              <w:shd w:val="clear" w:color="auto" w:fill="FFFFFF" w:themeFill="background1"/>
              <w:rPr>
                <w:sz w:val="20"/>
                <w:szCs w:val="20"/>
              </w:rPr>
            </w:pPr>
            <w:r w:rsidRPr="00170C3A">
              <w:rPr>
                <w:sz w:val="20"/>
                <w:szCs w:val="20"/>
              </w:rPr>
              <w:t xml:space="preserve">Any risks for </w:t>
            </w:r>
            <w:r w:rsidRPr="00170C3A" w:rsidR="00BC1AE6">
              <w:rPr>
                <w:sz w:val="20"/>
                <w:szCs w:val="20"/>
              </w:rPr>
              <w:t>s</w:t>
            </w:r>
            <w:r w:rsidRPr="00170C3A" w:rsidR="02C205EC">
              <w:rPr>
                <w:sz w:val="20"/>
                <w:szCs w:val="20"/>
              </w:rPr>
              <w:t>ub-</w:t>
            </w:r>
            <w:r w:rsidRPr="00170C3A" w:rsidR="00BC1AE6">
              <w:rPr>
                <w:sz w:val="20"/>
                <w:szCs w:val="20"/>
              </w:rPr>
              <w:t>c</w:t>
            </w:r>
            <w:r w:rsidRPr="00170C3A" w:rsidR="008B6A86">
              <w:rPr>
                <w:sz w:val="20"/>
                <w:szCs w:val="20"/>
              </w:rPr>
              <w:t>ommittee awareness are included in th</w:t>
            </w:r>
            <w:r w:rsidRPr="00170C3A" w:rsidR="00BC1AE6">
              <w:rPr>
                <w:sz w:val="20"/>
                <w:szCs w:val="20"/>
              </w:rPr>
              <w:t>is</w:t>
            </w:r>
            <w:r w:rsidRPr="00170C3A" w:rsidR="008B6A86">
              <w:rPr>
                <w:sz w:val="20"/>
                <w:szCs w:val="20"/>
              </w:rPr>
              <w:t xml:space="preserve"> triple A report </w:t>
            </w:r>
          </w:p>
        </w:tc>
      </w:tr>
      <w:tr w:rsidRPr="00170C3A" w:rsidR="00634E44" w:rsidTr="0E68B005" w14:paraId="4BD30B52" w14:textId="77777777">
        <w:tc>
          <w:tcPr>
            <w:tcW w:w="29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70C3A" w:rsidR="0032518E" w:rsidP="0032518E" w:rsidRDefault="0032518E" w14:paraId="036B80DA" w14:textId="77777777">
            <w:pPr>
              <w:shd w:val="clear" w:color="auto" w:fill="FFFFFF" w:themeFill="background1"/>
              <w:rPr>
                <w:sz w:val="20"/>
                <w:szCs w:val="20"/>
              </w:rPr>
            </w:pPr>
            <w:r w:rsidRPr="00170C3A">
              <w:rPr>
                <w:sz w:val="20"/>
                <w:szCs w:val="20"/>
              </w:rPr>
              <w:t>Are associated risks detailed on the ICS Risk Register?</w:t>
            </w:r>
          </w:p>
        </w:tc>
        <w:tc>
          <w:tcPr>
            <w:tcW w:w="74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20221E" w14:paraId="4E3ACFAF" w14:textId="143D71BA">
            <w:pPr>
              <w:shd w:val="clear" w:color="auto" w:fill="FFFFFF" w:themeFill="background1"/>
              <w:rPr>
                <w:sz w:val="20"/>
                <w:szCs w:val="20"/>
              </w:rPr>
            </w:pPr>
            <w:r w:rsidRPr="00170C3A">
              <w:rPr>
                <w:sz w:val="20"/>
                <w:szCs w:val="20"/>
              </w:rPr>
              <w:t>X</w:t>
            </w:r>
          </w:p>
        </w:tc>
        <w:tc>
          <w:tcPr>
            <w:tcW w:w="70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413E5806" w14:textId="77777777">
            <w:pPr>
              <w:shd w:val="clear" w:color="auto" w:fill="FFFFFF" w:themeFill="background1"/>
              <w:rPr>
                <w:sz w:val="20"/>
                <w:szCs w:val="20"/>
              </w:rPr>
            </w:pPr>
          </w:p>
        </w:tc>
        <w:tc>
          <w:tcPr>
            <w:tcW w:w="70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32518E" w14:paraId="0FC3A3CB" w14:textId="77777777">
            <w:pPr>
              <w:shd w:val="clear" w:color="auto" w:fill="FFFFFF" w:themeFill="background1"/>
              <w:rPr>
                <w:sz w:val="20"/>
                <w:szCs w:val="20"/>
              </w:rPr>
            </w:pPr>
          </w:p>
        </w:tc>
        <w:tc>
          <w:tcPr>
            <w:tcW w:w="437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170C3A" w:rsidR="0032518E" w:rsidP="0032518E" w:rsidRDefault="0020221E" w14:paraId="5F6F4C68" w14:textId="69BDE232">
            <w:pPr>
              <w:shd w:val="clear" w:color="auto" w:fill="FFFFFF" w:themeFill="background1"/>
              <w:rPr>
                <w:sz w:val="20"/>
                <w:szCs w:val="20"/>
              </w:rPr>
            </w:pPr>
            <w:r w:rsidRPr="00170C3A">
              <w:rPr>
                <w:sz w:val="20"/>
                <w:szCs w:val="20"/>
              </w:rPr>
              <w:t xml:space="preserve">Where applicable </w:t>
            </w:r>
          </w:p>
        </w:tc>
      </w:tr>
      <w:tr w:rsidRPr="00170C3A" w:rsidR="0032518E" w:rsidTr="0E68B005" w14:paraId="2D3C6CF9" w14:textId="77777777">
        <w:tc>
          <w:tcPr>
            <w:tcW w:w="2972" w:type="dxa"/>
            <w:tcBorders>
              <w:top w:val="single" w:color="auto" w:sz="4" w:space="0"/>
              <w:left w:val="nil"/>
              <w:bottom w:val="single" w:color="auto" w:sz="4" w:space="0"/>
              <w:right w:val="nil"/>
            </w:tcBorders>
            <w:shd w:val="clear" w:color="auto" w:fill="FFFFFF" w:themeFill="background1"/>
            <w:tcMar/>
          </w:tcPr>
          <w:p w:rsidRPr="00170C3A" w:rsidR="0032518E" w:rsidP="0032518E" w:rsidRDefault="0032518E" w14:paraId="7A6624F3" w14:textId="77777777">
            <w:pPr>
              <w:rPr>
                <w:b/>
                <w:sz w:val="20"/>
                <w:szCs w:val="20"/>
              </w:rPr>
            </w:pPr>
          </w:p>
        </w:tc>
        <w:tc>
          <w:tcPr>
            <w:tcW w:w="6521" w:type="dxa"/>
            <w:gridSpan w:val="5"/>
            <w:tcBorders>
              <w:top w:val="single" w:color="auto" w:sz="4" w:space="0"/>
              <w:left w:val="nil"/>
              <w:bottom w:val="single" w:color="auto" w:sz="4" w:space="0"/>
              <w:right w:val="nil"/>
            </w:tcBorders>
            <w:tcMar/>
          </w:tcPr>
          <w:p w:rsidRPr="00170C3A" w:rsidR="0032518E" w:rsidP="0032518E" w:rsidRDefault="0032518E" w14:paraId="3BA46827" w14:textId="77777777">
            <w:pPr>
              <w:rPr>
                <w:sz w:val="20"/>
                <w:szCs w:val="20"/>
              </w:rPr>
            </w:pPr>
          </w:p>
        </w:tc>
      </w:tr>
      <w:tr w:rsidRPr="00170C3A" w:rsidR="0032518E" w:rsidTr="0E68B005" w14:paraId="6174AA5C" w14:textId="77777777">
        <w:tc>
          <w:tcPr>
            <w:tcW w:w="2972" w:type="dxa"/>
            <w:tcBorders>
              <w:top w:val="single" w:color="auto" w:sz="4" w:space="0"/>
              <w:left w:val="single" w:color="auto" w:sz="4" w:space="0"/>
              <w:bottom w:val="single" w:color="auto" w:sz="4" w:space="0"/>
              <w:right w:val="single" w:color="auto" w:sz="4" w:space="0"/>
            </w:tcBorders>
            <w:shd w:val="clear" w:color="auto" w:fill="C6D9F1" w:themeFill="text2" w:themeFillTint="33"/>
            <w:tcMar/>
            <w:hideMark/>
          </w:tcPr>
          <w:p w:rsidRPr="00170C3A" w:rsidR="0032518E" w:rsidP="0032518E" w:rsidRDefault="0032518E" w14:paraId="022D46E8" w14:textId="77777777">
            <w:pPr>
              <w:rPr>
                <w:b/>
                <w:sz w:val="20"/>
                <w:szCs w:val="20"/>
              </w:rPr>
            </w:pPr>
            <w:r w:rsidRPr="00170C3A">
              <w:rPr>
                <w:b/>
                <w:sz w:val="20"/>
                <w:szCs w:val="20"/>
              </w:rPr>
              <w:t>Report authorised by</w:t>
            </w:r>
          </w:p>
        </w:tc>
        <w:tc>
          <w:tcPr>
            <w:tcW w:w="6521" w:type="dxa"/>
            <w:gridSpan w:val="5"/>
            <w:tcBorders>
              <w:top w:val="single" w:color="auto" w:sz="4" w:space="0"/>
              <w:left w:val="single" w:color="auto" w:sz="4" w:space="0"/>
              <w:bottom w:val="single" w:color="auto" w:sz="4" w:space="0"/>
              <w:right w:val="single" w:color="auto" w:sz="4" w:space="0"/>
            </w:tcBorders>
            <w:tcMar/>
          </w:tcPr>
          <w:p w:rsidRPr="00170C3A" w:rsidR="0032518E" w:rsidP="7DD04102" w:rsidRDefault="7E5F36FF" w14:paraId="1E05D979" w14:textId="3DE2EB37">
            <w:pPr>
              <w:rPr>
                <w:sz w:val="20"/>
                <w:szCs w:val="20"/>
              </w:rPr>
            </w:pPr>
            <w:r w:rsidRPr="00170C3A">
              <w:rPr>
                <w:sz w:val="20"/>
                <w:szCs w:val="20"/>
              </w:rPr>
              <w:t>Craig Harris</w:t>
            </w:r>
            <w:r w:rsidRPr="00170C3A" w:rsidR="6D7D0A76">
              <w:rPr>
                <w:sz w:val="20"/>
                <w:szCs w:val="20"/>
              </w:rPr>
              <w:t>,</w:t>
            </w:r>
            <w:r w:rsidRPr="00170C3A">
              <w:rPr>
                <w:sz w:val="20"/>
                <w:szCs w:val="20"/>
              </w:rPr>
              <w:t xml:space="preserve"> Chief Operating Officer </w:t>
            </w:r>
          </w:p>
        </w:tc>
      </w:tr>
    </w:tbl>
    <w:p w:rsidR="00EB5B21" w:rsidP="6873A0FE" w:rsidRDefault="00EB5B21" w14:paraId="00C48FF6" w14:textId="26E2F96F">
      <w:pPr>
        <w:rPr>
          <w:rFonts w:ascii="Arial" w:hAnsi="Arial" w:eastAsia="Arial" w:cs="Arial"/>
          <w:color w:val="000000" w:themeColor="text1"/>
          <w:sz w:val="20"/>
          <w:szCs w:val="20"/>
        </w:rPr>
      </w:pPr>
    </w:p>
    <w:p w:rsidR="00EB5B21" w:rsidRDefault="00EB5B21" w14:paraId="6C87D750" w14:textId="77777777">
      <w:pPr>
        <w:rPr>
          <w:rFonts w:ascii="Arial" w:hAnsi="Arial" w:eastAsia="Arial" w:cs="Arial"/>
          <w:color w:val="000000" w:themeColor="text1"/>
          <w:sz w:val="20"/>
          <w:szCs w:val="20"/>
        </w:rPr>
      </w:pPr>
      <w:r>
        <w:rPr>
          <w:rFonts w:ascii="Arial" w:hAnsi="Arial" w:eastAsia="Arial" w:cs="Arial"/>
          <w:color w:val="000000" w:themeColor="text1"/>
          <w:sz w:val="20"/>
          <w:szCs w:val="20"/>
        </w:rPr>
        <w:br w:type="page"/>
      </w:r>
    </w:p>
    <w:p w:rsidRPr="00170C3A" w:rsidR="009D617C" w:rsidP="6873A0FE" w:rsidRDefault="009D617C" w14:paraId="4F205829" w14:textId="77777777">
      <w:pPr>
        <w:rPr>
          <w:rFonts w:ascii="Arial" w:hAnsi="Arial" w:eastAsia="Arial" w:cs="Arial"/>
          <w:color w:val="000000" w:themeColor="text1"/>
          <w:sz w:val="20"/>
          <w:szCs w:val="20"/>
        </w:rPr>
      </w:pPr>
    </w:p>
    <w:p w:rsidRPr="00170C3A" w:rsidR="00DE649C" w:rsidP="009D617C" w:rsidRDefault="40471C97" w14:paraId="5C19C5BC" w14:textId="281EF843">
      <w:pPr>
        <w:pStyle w:val="Heading1"/>
        <w:spacing w:before="120" w:line="240" w:lineRule="auto"/>
        <w:ind w:hanging="142"/>
        <w:jc w:val="center"/>
        <w:rPr>
          <w:rFonts w:ascii="Arial" w:hAnsi="Arial" w:eastAsia="Arial" w:cs="Arial"/>
          <w:sz w:val="20"/>
          <w:szCs w:val="20"/>
        </w:rPr>
      </w:pPr>
      <w:r w:rsidRPr="00170C3A">
        <w:rPr>
          <w:rFonts w:ascii="Arial" w:hAnsi="Arial" w:eastAsia="Arial" w:cs="Arial"/>
          <w:sz w:val="20"/>
          <w:szCs w:val="20"/>
        </w:rPr>
        <w:t>ICB Primary Care Contracts Sub</w:t>
      </w:r>
      <w:r w:rsidRPr="00170C3A" w:rsidR="00BC1AE6">
        <w:rPr>
          <w:rFonts w:ascii="Arial" w:hAnsi="Arial" w:eastAsia="Arial" w:cs="Arial"/>
          <w:sz w:val="20"/>
          <w:szCs w:val="20"/>
        </w:rPr>
        <w:t>-c</w:t>
      </w:r>
      <w:r w:rsidRPr="00170C3A">
        <w:rPr>
          <w:rFonts w:ascii="Arial" w:hAnsi="Arial" w:eastAsia="Arial" w:cs="Arial"/>
          <w:sz w:val="20"/>
          <w:szCs w:val="20"/>
        </w:rPr>
        <w:t>ommittee</w:t>
      </w:r>
    </w:p>
    <w:p w:rsidRPr="00170C3A" w:rsidR="17074F03" w:rsidP="1084E06B" w:rsidRDefault="00A31500" w14:paraId="7C613732" w14:textId="213C5D7D">
      <w:pPr>
        <w:jc w:val="center"/>
        <w:rPr>
          <w:rFonts w:ascii="Arial" w:hAnsi="Arial" w:eastAsia="Arial" w:cs="Arial"/>
          <w:b/>
          <w:color w:val="000000" w:themeColor="text1"/>
          <w:sz w:val="20"/>
          <w:szCs w:val="20"/>
        </w:rPr>
      </w:pPr>
      <w:r w:rsidRPr="00170C3A">
        <w:rPr>
          <w:rFonts w:ascii="Arial" w:hAnsi="Arial" w:eastAsia="Arial" w:cs="Arial"/>
          <w:b/>
          <w:color w:val="000000" w:themeColor="text1"/>
          <w:sz w:val="20"/>
          <w:szCs w:val="20"/>
        </w:rPr>
        <w:t>February</w:t>
      </w:r>
      <w:r w:rsidRPr="00170C3A" w:rsidR="009E093E">
        <w:rPr>
          <w:rFonts w:ascii="Arial" w:hAnsi="Arial" w:eastAsia="Arial" w:cs="Arial"/>
          <w:b/>
          <w:color w:val="000000" w:themeColor="text1"/>
          <w:sz w:val="20"/>
          <w:szCs w:val="20"/>
        </w:rPr>
        <w:t xml:space="preserve"> 2026</w:t>
      </w:r>
    </w:p>
    <w:p w:rsidRPr="00170C3A" w:rsidR="00DE649C" w:rsidP="00BC1AE6" w:rsidRDefault="40471C97" w14:paraId="27B5AE25" w14:textId="011CF769">
      <w:pPr>
        <w:spacing w:after="0"/>
        <w:ind w:left="-993" w:right="-897"/>
        <w:jc w:val="center"/>
        <w:rPr>
          <w:rFonts w:ascii="Arial" w:hAnsi="Arial" w:eastAsia="Arial" w:cs="Arial"/>
          <w:color w:val="000000" w:themeColor="text1"/>
          <w:sz w:val="20"/>
          <w:szCs w:val="20"/>
        </w:rPr>
      </w:pPr>
      <w:r w:rsidRPr="00170C3A">
        <w:rPr>
          <w:rFonts w:ascii="Arial" w:hAnsi="Arial" w:cs="Arial"/>
          <w:noProof/>
          <w:sz w:val="20"/>
          <w:szCs w:val="20"/>
        </w:rPr>
        <w:drawing>
          <wp:inline distT="0" distB="0" distL="0" distR="0" wp14:anchorId="709713A0" wp14:editId="03F99B9A">
            <wp:extent cx="5724524" cy="76200"/>
            <wp:effectExtent l="0" t="0" r="0" b="0"/>
            <wp:docPr id="841569286" name="Picture 841569286" descr="Straight Connector 1, Shape">
              <a:extLst xmlns:a="http://schemas.openxmlformats.org/drawingml/2006/main">
                <a:ext uri="{FF2B5EF4-FFF2-40B4-BE49-F238E27FC236}">
                  <a16:creationId xmlns:a16="http://schemas.microsoft.com/office/drawing/2014/main" id="{31DD502B-A855-4692-B617-5BFD1F812C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76200"/>
                    </a:xfrm>
                    <a:prstGeom prst="rect">
                      <a:avLst/>
                    </a:prstGeom>
                  </pic:spPr>
                </pic:pic>
              </a:graphicData>
            </a:graphic>
          </wp:inline>
        </w:drawing>
      </w:r>
    </w:p>
    <w:p w:rsidRPr="00170C3A" w:rsidR="00DE649C" w:rsidP="360C4CB1" w:rsidRDefault="00DE649C" w14:paraId="7F933576" w14:textId="2945C8D8">
      <w:pPr>
        <w:spacing w:after="0"/>
        <w:rPr>
          <w:rFonts w:ascii="Arial" w:hAnsi="Arial" w:eastAsia="Arial" w:cs="Arial"/>
          <w:color w:val="000000" w:themeColor="text1"/>
          <w:sz w:val="20"/>
          <w:szCs w:val="20"/>
        </w:rPr>
      </w:pPr>
    </w:p>
    <w:p w:rsidRPr="00170C3A" w:rsidR="00DE649C" w:rsidP="009D617C" w:rsidRDefault="40471C97" w14:paraId="593360F6" w14:textId="5BBE2B22">
      <w:pPr>
        <w:spacing w:after="0"/>
        <w:jc w:val="center"/>
        <w:rPr>
          <w:rFonts w:ascii="Arial" w:hAnsi="Arial" w:eastAsia="Arial" w:cs="Arial"/>
          <w:color w:val="000000" w:themeColor="text1"/>
          <w:sz w:val="20"/>
          <w:szCs w:val="20"/>
        </w:rPr>
      </w:pPr>
      <w:r w:rsidRPr="00170C3A">
        <w:rPr>
          <w:rFonts w:ascii="Arial" w:hAnsi="Arial" w:eastAsia="Arial" w:cs="Arial"/>
          <w:b/>
          <w:color w:val="000000" w:themeColor="text1"/>
          <w:sz w:val="20"/>
          <w:szCs w:val="20"/>
          <w:lang w:val="en-US"/>
        </w:rPr>
        <w:t>Sub</w:t>
      </w:r>
      <w:r w:rsidRPr="00170C3A" w:rsidR="00BC1AE6">
        <w:rPr>
          <w:rFonts w:ascii="Arial" w:hAnsi="Arial" w:eastAsia="Arial" w:cs="Arial"/>
          <w:b/>
          <w:color w:val="000000" w:themeColor="text1"/>
          <w:sz w:val="20"/>
          <w:szCs w:val="20"/>
          <w:lang w:val="en-US"/>
        </w:rPr>
        <w:t>-c</w:t>
      </w:r>
      <w:r w:rsidRPr="00170C3A">
        <w:rPr>
          <w:rFonts w:ascii="Arial" w:hAnsi="Arial" w:eastAsia="Arial" w:cs="Arial"/>
          <w:b/>
          <w:color w:val="000000" w:themeColor="text1"/>
          <w:sz w:val="20"/>
          <w:szCs w:val="20"/>
          <w:lang w:val="en-US"/>
        </w:rPr>
        <w:t>ommittee Escalation and Assurance Report</w:t>
      </w:r>
    </w:p>
    <w:p w:rsidRPr="00170C3A" w:rsidR="00DE649C" w:rsidP="360C4CB1" w:rsidRDefault="00DE649C" w14:paraId="654FCBB4" w14:textId="392583DF">
      <w:pPr>
        <w:spacing w:after="0" w:line="240" w:lineRule="auto"/>
        <w:rPr>
          <w:rFonts w:ascii="Arial" w:hAnsi="Arial" w:eastAsia="Arial" w:cs="Arial"/>
          <w:color w:val="000000" w:themeColor="text1"/>
          <w:sz w:val="20"/>
          <w:szCs w:val="20"/>
        </w:rPr>
      </w:pPr>
    </w:p>
    <w:p w:rsidRPr="00170C3A" w:rsidR="00DE649C" w:rsidP="360C4CB1" w:rsidRDefault="40471C97" w14:paraId="22D858D8" w14:textId="3A6AC784">
      <w:pPr>
        <w:spacing w:after="0" w:line="240" w:lineRule="auto"/>
        <w:rPr>
          <w:rFonts w:ascii="Arial" w:hAnsi="Arial" w:eastAsia="Arial" w:cs="Arial"/>
          <w:color w:val="000000" w:themeColor="text1"/>
          <w:sz w:val="20"/>
          <w:szCs w:val="20"/>
        </w:rPr>
      </w:pPr>
      <w:r w:rsidRPr="00170C3A">
        <w:rPr>
          <w:rFonts w:ascii="Arial" w:hAnsi="Arial" w:eastAsia="Arial" w:cs="Arial"/>
          <w:b/>
          <w:color w:val="000000" w:themeColor="text1"/>
          <w:sz w:val="20"/>
          <w:szCs w:val="20"/>
          <w:lang w:val="en-US"/>
        </w:rPr>
        <w:t> </w:t>
      </w:r>
    </w:p>
    <w:p w:rsidRPr="00170C3A" w:rsidR="00DE649C" w:rsidP="00251325" w:rsidRDefault="40471C97" w14:paraId="341B6AF6" w14:textId="1F95AFAD">
      <w:pPr>
        <w:pStyle w:val="ListParagraph"/>
        <w:numPr>
          <w:ilvl w:val="0"/>
          <w:numId w:val="6"/>
        </w:numPr>
        <w:ind w:left="567"/>
        <w:rPr>
          <w:rFonts w:eastAsia="Arial" w:cs="Arial"/>
          <w:b/>
          <w:color w:val="000000" w:themeColor="text1"/>
          <w:sz w:val="20"/>
          <w:szCs w:val="20"/>
        </w:rPr>
      </w:pPr>
      <w:r w:rsidRPr="00170C3A">
        <w:rPr>
          <w:rFonts w:eastAsia="Arial" w:cs="Arial"/>
          <w:b/>
          <w:color w:val="000000" w:themeColor="text1"/>
          <w:sz w:val="20"/>
          <w:szCs w:val="20"/>
          <w:lang w:val="en-US"/>
        </w:rPr>
        <w:t xml:space="preserve">Introduction </w:t>
      </w:r>
    </w:p>
    <w:p w:rsidRPr="00170C3A" w:rsidR="00DE649C" w:rsidP="360C4CB1" w:rsidRDefault="40471C97" w14:paraId="1D5A13E5" w14:textId="01C2FED0">
      <w:pPr>
        <w:spacing w:after="0" w:line="240" w:lineRule="auto"/>
        <w:rPr>
          <w:rFonts w:ascii="Arial" w:hAnsi="Arial" w:eastAsia="Arial" w:cs="Arial"/>
          <w:color w:val="000000" w:themeColor="text1"/>
          <w:sz w:val="20"/>
          <w:szCs w:val="20"/>
        </w:rPr>
      </w:pPr>
      <w:r w:rsidRPr="00170C3A">
        <w:rPr>
          <w:rFonts w:ascii="Arial" w:hAnsi="Arial" w:eastAsia="Arial" w:cs="Arial"/>
          <w:b/>
          <w:color w:val="000000" w:themeColor="text1"/>
          <w:sz w:val="20"/>
          <w:szCs w:val="20"/>
          <w:lang w:val="en-US"/>
        </w:rPr>
        <w:t> </w:t>
      </w:r>
    </w:p>
    <w:p w:rsidRPr="00170C3A" w:rsidR="00DE649C" w:rsidP="00251325" w:rsidRDefault="2FAE5617" w14:paraId="04C83678" w14:textId="252DFC94">
      <w:pPr>
        <w:pStyle w:val="ListParagraph"/>
        <w:numPr>
          <w:ilvl w:val="1"/>
          <w:numId w:val="5"/>
        </w:numPr>
        <w:tabs>
          <w:tab w:val="left" w:pos="565"/>
        </w:tabs>
        <w:rPr>
          <w:rFonts w:eastAsia="Arial" w:cs="Arial"/>
          <w:color w:val="000000" w:themeColor="text1"/>
          <w:sz w:val="20"/>
          <w:szCs w:val="20"/>
        </w:rPr>
      </w:pPr>
      <w:r w:rsidRPr="00170C3A">
        <w:rPr>
          <w:rFonts w:eastAsia="Arial" w:cs="Arial"/>
          <w:color w:val="000000" w:themeColor="text1"/>
          <w:sz w:val="20"/>
          <w:szCs w:val="20"/>
          <w:lang w:val="en-US"/>
        </w:rPr>
        <w:t>T</w:t>
      </w:r>
      <w:r w:rsidRPr="00170C3A">
        <w:rPr>
          <w:rFonts w:eastAsia="Arial" w:cs="Arial"/>
          <w:color w:val="000000" w:themeColor="text1"/>
          <w:sz w:val="20"/>
          <w:szCs w:val="20"/>
        </w:rPr>
        <w:t>his report highlights key matters</w:t>
      </w:r>
      <w:r w:rsidRPr="00170C3A" w:rsidR="6F7E7C74">
        <w:rPr>
          <w:rFonts w:eastAsia="Arial" w:cs="Arial"/>
          <w:color w:val="000000" w:themeColor="text1"/>
          <w:sz w:val="20"/>
          <w:szCs w:val="20"/>
        </w:rPr>
        <w:t xml:space="preserve"> and</w:t>
      </w:r>
      <w:r w:rsidRPr="00170C3A">
        <w:rPr>
          <w:rFonts w:eastAsia="Arial" w:cs="Arial"/>
          <w:color w:val="000000" w:themeColor="text1"/>
          <w:sz w:val="20"/>
          <w:szCs w:val="20"/>
        </w:rPr>
        <w:t xml:space="preserve"> issues discussed at the </w:t>
      </w:r>
      <w:r w:rsidRPr="00170C3A" w:rsidR="00BC1AE6">
        <w:rPr>
          <w:rFonts w:eastAsia="Arial" w:cs="Arial"/>
          <w:color w:val="000000" w:themeColor="text1"/>
          <w:sz w:val="20"/>
          <w:szCs w:val="20"/>
        </w:rPr>
        <w:t>group</w:t>
      </w:r>
      <w:r w:rsidRPr="00170C3A">
        <w:rPr>
          <w:rFonts w:eastAsia="Arial" w:cs="Arial"/>
          <w:color w:val="000000" w:themeColor="text1"/>
          <w:sz w:val="20"/>
          <w:szCs w:val="20"/>
        </w:rPr>
        <w:t xml:space="preserve"> meetings since the last report to advise, assure and alert the </w:t>
      </w:r>
      <w:r w:rsidRPr="00170C3A" w:rsidR="00BC1AE6">
        <w:rPr>
          <w:rFonts w:eastAsia="Arial" w:cs="Arial"/>
          <w:color w:val="000000" w:themeColor="text1"/>
          <w:sz w:val="20"/>
          <w:szCs w:val="20"/>
        </w:rPr>
        <w:t>s</w:t>
      </w:r>
      <w:r w:rsidRPr="00170C3A">
        <w:rPr>
          <w:rFonts w:eastAsia="Arial" w:cs="Arial"/>
          <w:color w:val="000000" w:themeColor="text1"/>
          <w:sz w:val="20"/>
          <w:szCs w:val="20"/>
        </w:rPr>
        <w:t>ub</w:t>
      </w:r>
      <w:r w:rsidRPr="00170C3A" w:rsidR="00BC1AE6">
        <w:rPr>
          <w:rFonts w:eastAsia="Arial" w:cs="Arial"/>
          <w:color w:val="000000" w:themeColor="text1"/>
          <w:sz w:val="20"/>
          <w:szCs w:val="20"/>
        </w:rPr>
        <w:t>-c</w:t>
      </w:r>
      <w:r w:rsidRPr="00170C3A">
        <w:rPr>
          <w:rFonts w:eastAsia="Arial" w:cs="Arial"/>
          <w:color w:val="000000" w:themeColor="text1"/>
          <w:sz w:val="20"/>
          <w:szCs w:val="20"/>
        </w:rPr>
        <w:t>ommittee.</w:t>
      </w:r>
    </w:p>
    <w:p w:rsidRPr="00170C3A" w:rsidR="00DE649C" w:rsidP="360C4CB1" w:rsidRDefault="00DE649C" w14:paraId="23ADC9E3" w14:textId="020E8443">
      <w:pPr>
        <w:tabs>
          <w:tab w:val="left" w:pos="565"/>
        </w:tabs>
        <w:spacing w:after="0" w:line="240" w:lineRule="auto"/>
        <w:rPr>
          <w:rFonts w:ascii="Arial" w:hAnsi="Arial" w:eastAsia="Arial" w:cs="Arial"/>
          <w:color w:val="000000" w:themeColor="text1"/>
          <w:sz w:val="20"/>
          <w:szCs w:val="20"/>
        </w:rPr>
      </w:pPr>
    </w:p>
    <w:tbl>
      <w:tblPr>
        <w:tblStyle w:val="TableGrid"/>
        <w:tblW w:w="0" w:type="auto"/>
        <w:tblInd w:w="-30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815"/>
        <w:gridCol w:w="1830"/>
        <w:gridCol w:w="2970"/>
      </w:tblGrid>
      <w:tr w:rsidRPr="00170C3A" w:rsidR="008B6828" w:rsidTr="360C4CB1" w14:paraId="3436A76C" w14:textId="77777777">
        <w:trPr>
          <w:trHeight w:val="300"/>
        </w:trPr>
        <w:tc>
          <w:tcPr>
            <w:tcW w:w="4815" w:type="dxa"/>
            <w:tcMar>
              <w:left w:w="105" w:type="dxa"/>
              <w:right w:w="105" w:type="dxa"/>
            </w:tcMar>
          </w:tcPr>
          <w:p w:rsidRPr="00170C3A" w:rsidR="360C4CB1" w:rsidP="360C4CB1" w:rsidRDefault="360C4CB1" w14:paraId="41695AD5" w14:textId="1BBBEF97">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Committee: Primary Medical Services Group</w:t>
            </w:r>
          </w:p>
        </w:tc>
        <w:tc>
          <w:tcPr>
            <w:tcW w:w="1830" w:type="dxa"/>
            <w:tcMar>
              <w:left w:w="105" w:type="dxa"/>
              <w:right w:w="105" w:type="dxa"/>
            </w:tcMar>
          </w:tcPr>
          <w:p w:rsidRPr="00170C3A" w:rsidR="360C4CB1" w:rsidP="360C4CB1" w:rsidRDefault="360C4CB1" w14:paraId="75C95E8D" w14:textId="41C82F98">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 xml:space="preserve">Date: </w:t>
            </w:r>
            <w:r w:rsidRPr="00170C3A" w:rsidR="00627860">
              <w:rPr>
                <w:rFonts w:ascii="Arial" w:hAnsi="Arial" w:eastAsia="Arial" w:cs="Arial"/>
                <w:color w:val="808080" w:themeColor="background1" w:themeShade="80"/>
                <w:sz w:val="20"/>
                <w:szCs w:val="20"/>
                <w:lang w:val="en-US"/>
              </w:rPr>
              <w:t>1</w:t>
            </w:r>
            <w:r w:rsidRPr="00170C3A" w:rsidR="00627860">
              <w:rPr>
                <w:rFonts w:ascii="Arial" w:hAnsi="Arial" w:eastAsia="Arial" w:cs="Arial"/>
                <w:color w:val="808080" w:themeColor="background1" w:themeShade="80"/>
                <w:sz w:val="20"/>
                <w:szCs w:val="20"/>
                <w:vertAlign w:val="superscript"/>
                <w:lang w:val="en-US"/>
              </w:rPr>
              <w:t>st</w:t>
            </w:r>
            <w:r w:rsidRPr="00170C3A" w:rsidR="00627860">
              <w:rPr>
                <w:rFonts w:ascii="Arial" w:hAnsi="Arial" w:eastAsia="Arial" w:cs="Arial"/>
                <w:color w:val="808080" w:themeColor="background1" w:themeShade="80"/>
                <w:sz w:val="20"/>
                <w:szCs w:val="20"/>
                <w:lang w:val="en-US"/>
              </w:rPr>
              <w:t xml:space="preserve"> April</w:t>
            </w:r>
            <w:r w:rsidRPr="00170C3A" w:rsidR="00BA5D1B">
              <w:rPr>
                <w:rFonts w:ascii="Arial" w:hAnsi="Arial" w:eastAsia="Arial" w:cs="Arial"/>
                <w:color w:val="808080" w:themeColor="background1" w:themeShade="80"/>
                <w:sz w:val="20"/>
                <w:szCs w:val="20"/>
                <w:lang w:val="en-US"/>
              </w:rPr>
              <w:t xml:space="preserve"> </w:t>
            </w:r>
            <w:r w:rsidRPr="00170C3A" w:rsidR="00C24108">
              <w:rPr>
                <w:rFonts w:ascii="Arial" w:hAnsi="Arial" w:eastAsia="Arial" w:cs="Arial"/>
                <w:color w:val="808080" w:themeColor="background1" w:themeShade="80"/>
                <w:sz w:val="20"/>
                <w:szCs w:val="20"/>
                <w:lang w:val="en-US"/>
              </w:rPr>
              <w:t>2026</w:t>
            </w:r>
          </w:p>
        </w:tc>
        <w:tc>
          <w:tcPr>
            <w:tcW w:w="2970" w:type="dxa"/>
            <w:tcMar>
              <w:left w:w="105" w:type="dxa"/>
              <w:right w:w="105" w:type="dxa"/>
            </w:tcMar>
          </w:tcPr>
          <w:p w:rsidRPr="00170C3A" w:rsidR="360C4CB1" w:rsidP="360C4CB1" w:rsidRDefault="360C4CB1" w14:paraId="1D7A0A65" w14:textId="529335CA">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 xml:space="preserve">Chair: </w:t>
            </w:r>
            <w:r w:rsidRPr="00170C3A" w:rsidR="00355A02">
              <w:rPr>
                <w:rFonts w:ascii="Arial" w:hAnsi="Arial" w:eastAsia="Arial" w:cs="Arial"/>
                <w:color w:val="808080" w:themeColor="background1" w:themeShade="80"/>
                <w:sz w:val="20"/>
                <w:szCs w:val="20"/>
                <w:lang w:val="en-US"/>
              </w:rPr>
              <w:t>Peter Tinson</w:t>
            </w:r>
          </w:p>
        </w:tc>
      </w:tr>
    </w:tbl>
    <w:p w:rsidRPr="00170C3A" w:rsidR="00DE649C" w:rsidP="360C4CB1" w:rsidRDefault="00DE649C" w14:paraId="40D9E41E" w14:textId="7142090A">
      <w:pPr>
        <w:spacing w:after="0" w:line="240" w:lineRule="auto"/>
        <w:ind w:left="1440"/>
        <w:contextualSpacing/>
        <w:rPr>
          <w:rFonts w:ascii="Arial" w:hAnsi="Arial" w:eastAsia="Arial" w:cs="Arial"/>
          <w:color w:val="000000" w:themeColor="text1"/>
          <w:sz w:val="20"/>
          <w:szCs w:val="20"/>
        </w:rPr>
      </w:pPr>
    </w:p>
    <w:tbl>
      <w:tblPr>
        <w:tblStyle w:val="TableGrid"/>
        <w:tblW w:w="9597" w:type="dxa"/>
        <w:tblInd w:w="-30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844"/>
        <w:gridCol w:w="4252"/>
        <w:gridCol w:w="2501"/>
      </w:tblGrid>
      <w:tr w:rsidRPr="00170C3A" w:rsidR="00033407" w:rsidTr="7DD04102" w14:paraId="4DA4D59D" w14:textId="77777777">
        <w:trPr>
          <w:trHeight w:val="300"/>
        </w:trPr>
        <w:tc>
          <w:tcPr>
            <w:tcW w:w="9597" w:type="dxa"/>
            <w:gridSpan w:val="3"/>
            <w:shd w:val="clear" w:color="auto" w:fill="0070C0"/>
            <w:tcMar>
              <w:left w:w="105" w:type="dxa"/>
              <w:right w:w="105" w:type="dxa"/>
            </w:tcMar>
            <w:vAlign w:val="center"/>
          </w:tcPr>
          <w:p w:rsidRPr="00170C3A" w:rsidR="360C4CB1" w:rsidP="360C4CB1" w:rsidRDefault="360C4CB1" w14:paraId="10A0F729" w14:textId="2D136C7D">
            <w:pPr>
              <w:contextualSpacing/>
              <w:rPr>
                <w:rFonts w:ascii="Arial" w:hAnsi="Arial" w:eastAsia="Arial" w:cs="Arial"/>
                <w:color w:val="FFFFFF" w:themeColor="background1"/>
                <w:sz w:val="20"/>
                <w:szCs w:val="20"/>
              </w:rPr>
            </w:pPr>
            <w:r w:rsidRPr="00170C3A">
              <w:rPr>
                <w:rFonts w:ascii="Arial" w:hAnsi="Arial" w:eastAsia="Arial" w:cs="Arial"/>
                <w:b/>
                <w:smallCaps/>
                <w:color w:val="FFFFFF" w:themeColor="background1"/>
                <w:sz w:val="20"/>
                <w:szCs w:val="20"/>
              </w:rPr>
              <w:t>K</w:t>
            </w:r>
            <w:r w:rsidRPr="00170C3A">
              <w:rPr>
                <w:rFonts w:ascii="Arial" w:hAnsi="Arial" w:eastAsia="Arial" w:cs="Arial"/>
                <w:b/>
                <w:color w:val="FFFFFF" w:themeColor="background1"/>
                <w:sz w:val="20"/>
                <w:szCs w:val="20"/>
              </w:rPr>
              <w:t>ey Items Discussed</w:t>
            </w:r>
          </w:p>
        </w:tc>
      </w:tr>
      <w:tr w:rsidRPr="00170C3A" w:rsidR="00572E71" w:rsidTr="7DD04102" w14:paraId="65B468B2" w14:textId="77777777">
        <w:trPr>
          <w:trHeight w:val="300"/>
        </w:trPr>
        <w:tc>
          <w:tcPr>
            <w:tcW w:w="2844" w:type="dxa"/>
            <w:shd w:val="clear" w:color="auto" w:fill="FFFFFF" w:themeFill="background1"/>
            <w:tcMar>
              <w:left w:w="105" w:type="dxa"/>
              <w:right w:w="105" w:type="dxa"/>
            </w:tcMar>
          </w:tcPr>
          <w:p w:rsidRPr="00170C3A" w:rsidR="360C4CB1" w:rsidP="000B1012" w:rsidRDefault="360C4CB1" w14:paraId="3F706A89" w14:textId="09345F11">
            <w:pPr>
              <w:contextualSpacing/>
              <w:jc w:val="center"/>
              <w:rPr>
                <w:rFonts w:ascii="Arial" w:hAnsi="Arial" w:eastAsia="Arial" w:cs="Arial"/>
                <w:sz w:val="20"/>
                <w:szCs w:val="20"/>
              </w:rPr>
            </w:pPr>
            <w:r w:rsidRPr="00170C3A">
              <w:rPr>
                <w:rFonts w:ascii="Arial" w:hAnsi="Arial" w:eastAsia="Arial" w:cs="Arial"/>
                <w:b/>
                <w:sz w:val="20"/>
                <w:szCs w:val="20"/>
              </w:rPr>
              <w:t>Issue</w:t>
            </w:r>
          </w:p>
        </w:tc>
        <w:tc>
          <w:tcPr>
            <w:tcW w:w="4252" w:type="dxa"/>
            <w:shd w:val="clear" w:color="auto" w:fill="FFFFFF" w:themeFill="background1"/>
            <w:tcMar>
              <w:left w:w="105" w:type="dxa"/>
              <w:right w:w="105" w:type="dxa"/>
            </w:tcMar>
          </w:tcPr>
          <w:p w:rsidRPr="00170C3A" w:rsidR="360C4CB1" w:rsidP="000B1012" w:rsidRDefault="360C4CB1" w14:paraId="7C37298E" w14:textId="6EE77514">
            <w:pPr>
              <w:contextualSpacing/>
              <w:jc w:val="center"/>
              <w:rPr>
                <w:rFonts w:ascii="Arial" w:hAnsi="Arial" w:eastAsia="Arial" w:cs="Arial"/>
                <w:sz w:val="20"/>
                <w:szCs w:val="20"/>
              </w:rPr>
            </w:pPr>
            <w:r w:rsidRPr="00170C3A">
              <w:rPr>
                <w:rFonts w:ascii="Arial" w:hAnsi="Arial" w:eastAsia="Arial" w:cs="Arial"/>
                <w:b/>
                <w:sz w:val="20"/>
                <w:szCs w:val="20"/>
              </w:rPr>
              <w:t>Committee Update</w:t>
            </w:r>
          </w:p>
        </w:tc>
        <w:tc>
          <w:tcPr>
            <w:tcW w:w="2501" w:type="dxa"/>
            <w:shd w:val="clear" w:color="auto" w:fill="FFFFFF" w:themeFill="background1"/>
            <w:tcMar>
              <w:left w:w="105" w:type="dxa"/>
              <w:right w:w="105" w:type="dxa"/>
            </w:tcMar>
          </w:tcPr>
          <w:p w:rsidRPr="00170C3A" w:rsidR="360C4CB1" w:rsidP="000B1012" w:rsidRDefault="360C4CB1" w14:paraId="77D81487" w14:textId="4F40CD93">
            <w:pPr>
              <w:contextualSpacing/>
              <w:jc w:val="center"/>
              <w:rPr>
                <w:rFonts w:ascii="Arial" w:hAnsi="Arial" w:eastAsia="Arial" w:cs="Arial"/>
                <w:sz w:val="20"/>
                <w:szCs w:val="20"/>
              </w:rPr>
            </w:pPr>
            <w:r w:rsidRPr="00170C3A">
              <w:rPr>
                <w:rFonts w:ascii="Arial" w:hAnsi="Arial" w:eastAsia="Arial" w:cs="Arial"/>
                <w:b/>
                <w:sz w:val="20"/>
                <w:szCs w:val="20"/>
              </w:rPr>
              <w:t>Action</w:t>
            </w:r>
          </w:p>
        </w:tc>
      </w:tr>
      <w:tr w:rsidRPr="00170C3A" w:rsidR="00033407" w:rsidTr="7DD04102" w14:paraId="759B50BB" w14:textId="77777777">
        <w:trPr>
          <w:trHeight w:val="300"/>
        </w:trPr>
        <w:tc>
          <w:tcPr>
            <w:tcW w:w="9597" w:type="dxa"/>
            <w:gridSpan w:val="3"/>
            <w:shd w:val="clear" w:color="auto" w:fill="FF5050"/>
            <w:tcMar>
              <w:left w:w="105" w:type="dxa"/>
              <w:right w:w="105" w:type="dxa"/>
            </w:tcMar>
          </w:tcPr>
          <w:p w:rsidRPr="00170C3A" w:rsidR="360C4CB1" w:rsidP="360C4CB1" w:rsidRDefault="360C4CB1" w14:paraId="43165316" w14:textId="32008A03">
            <w:pPr>
              <w:contextualSpacing/>
              <w:rPr>
                <w:rFonts w:ascii="Arial" w:hAnsi="Arial" w:eastAsia="Arial" w:cs="Arial"/>
                <w:color w:val="FFFFFF" w:themeColor="background1"/>
                <w:sz w:val="20"/>
                <w:szCs w:val="20"/>
              </w:rPr>
            </w:pPr>
            <w:r w:rsidRPr="00170C3A">
              <w:rPr>
                <w:rFonts w:ascii="Arial" w:hAnsi="Arial" w:eastAsia="Arial" w:cs="Arial"/>
                <w:b/>
                <w:color w:val="FFFFFF" w:themeColor="background1"/>
                <w:sz w:val="20"/>
                <w:szCs w:val="20"/>
              </w:rPr>
              <w:t xml:space="preserve">Alert </w:t>
            </w:r>
          </w:p>
        </w:tc>
      </w:tr>
      <w:tr w:rsidRPr="00170C3A" w:rsidR="00634E44" w:rsidTr="7DD04102" w14:paraId="13FAA908" w14:textId="77777777">
        <w:trPr>
          <w:trHeight w:val="300"/>
        </w:trPr>
        <w:tc>
          <w:tcPr>
            <w:tcW w:w="2844" w:type="dxa"/>
            <w:tcMar>
              <w:left w:w="105" w:type="dxa"/>
              <w:right w:w="105" w:type="dxa"/>
            </w:tcMar>
          </w:tcPr>
          <w:p w:rsidRPr="00170C3A" w:rsidR="360C4CB1" w:rsidP="360C4CB1" w:rsidRDefault="360C4CB1" w14:paraId="442ADC51" w14:textId="2BEF1DD3">
            <w:pPr>
              <w:contextualSpacing/>
              <w:rPr>
                <w:rFonts w:ascii="Arial" w:hAnsi="Arial" w:eastAsia="Arial" w:cs="Arial"/>
                <w:sz w:val="20"/>
                <w:szCs w:val="20"/>
              </w:rPr>
            </w:pPr>
          </w:p>
        </w:tc>
        <w:tc>
          <w:tcPr>
            <w:tcW w:w="4252" w:type="dxa"/>
            <w:tcMar>
              <w:left w:w="105" w:type="dxa"/>
              <w:right w:w="105" w:type="dxa"/>
            </w:tcMar>
          </w:tcPr>
          <w:p w:rsidRPr="00170C3A" w:rsidR="360C4CB1" w:rsidP="000B1012" w:rsidRDefault="360C4CB1" w14:paraId="548EE28B" w14:textId="2C2F582F">
            <w:pPr>
              <w:spacing w:line="233" w:lineRule="auto"/>
              <w:contextualSpacing/>
              <w:jc w:val="center"/>
              <w:rPr>
                <w:rFonts w:ascii="Arial" w:hAnsi="Arial" w:eastAsia="Arial" w:cs="Arial"/>
                <w:sz w:val="20"/>
                <w:szCs w:val="20"/>
              </w:rPr>
            </w:pPr>
            <w:r w:rsidRPr="00170C3A">
              <w:rPr>
                <w:rFonts w:ascii="Arial" w:hAnsi="Arial" w:eastAsia="Arial" w:cs="Arial"/>
                <w:b/>
                <w:sz w:val="20"/>
                <w:szCs w:val="20"/>
              </w:rPr>
              <w:t>Nothing to Escalate</w:t>
            </w:r>
          </w:p>
        </w:tc>
        <w:tc>
          <w:tcPr>
            <w:tcW w:w="2501" w:type="dxa"/>
            <w:tcMar>
              <w:left w:w="105" w:type="dxa"/>
              <w:right w:w="105" w:type="dxa"/>
            </w:tcMar>
          </w:tcPr>
          <w:p w:rsidRPr="00170C3A" w:rsidR="360C4CB1" w:rsidP="360C4CB1" w:rsidRDefault="360C4CB1" w14:paraId="6E3344FB" w14:textId="429649D6">
            <w:pPr>
              <w:contextualSpacing/>
              <w:rPr>
                <w:rFonts w:ascii="Arial" w:hAnsi="Arial" w:eastAsia="Arial" w:cs="Arial"/>
                <w:sz w:val="20"/>
                <w:szCs w:val="20"/>
              </w:rPr>
            </w:pPr>
          </w:p>
        </w:tc>
      </w:tr>
      <w:tr w:rsidRPr="00170C3A" w:rsidR="00033407" w:rsidTr="7DD04102" w14:paraId="66E11D01" w14:textId="77777777">
        <w:trPr>
          <w:trHeight w:val="300"/>
        </w:trPr>
        <w:tc>
          <w:tcPr>
            <w:tcW w:w="9597" w:type="dxa"/>
            <w:gridSpan w:val="3"/>
            <w:shd w:val="clear" w:color="auto" w:fill="FFC000"/>
            <w:tcMar>
              <w:left w:w="105" w:type="dxa"/>
              <w:right w:w="105" w:type="dxa"/>
            </w:tcMar>
          </w:tcPr>
          <w:p w:rsidRPr="00170C3A" w:rsidR="360C4CB1" w:rsidP="360C4CB1" w:rsidRDefault="360C4CB1" w14:paraId="06FF2436" w14:textId="5057BD5E">
            <w:pPr>
              <w:contextualSpacing/>
              <w:rPr>
                <w:rFonts w:ascii="Arial" w:hAnsi="Arial" w:eastAsia="Arial" w:cs="Arial"/>
                <w:color w:val="000000" w:themeColor="text1"/>
                <w:sz w:val="20"/>
                <w:szCs w:val="20"/>
              </w:rPr>
            </w:pPr>
            <w:r w:rsidRPr="00170C3A">
              <w:rPr>
                <w:rFonts w:ascii="Arial" w:hAnsi="Arial" w:eastAsia="Arial" w:cs="Arial"/>
                <w:b/>
                <w:color w:val="000000" w:themeColor="text1"/>
                <w:sz w:val="20"/>
                <w:szCs w:val="20"/>
              </w:rPr>
              <w:t xml:space="preserve">Advise </w:t>
            </w:r>
          </w:p>
        </w:tc>
      </w:tr>
      <w:tr w:rsidRPr="00170C3A" w:rsidR="00634E44" w:rsidTr="7DD04102" w14:paraId="7073C70A" w14:textId="77777777">
        <w:trPr>
          <w:trHeight w:val="300"/>
        </w:trPr>
        <w:tc>
          <w:tcPr>
            <w:tcW w:w="2844" w:type="dxa"/>
            <w:tcMar>
              <w:left w:w="105" w:type="dxa"/>
              <w:right w:w="105" w:type="dxa"/>
            </w:tcMar>
          </w:tcPr>
          <w:p w:rsidRPr="00170C3A" w:rsidR="360C4CB1" w:rsidP="360C4CB1" w:rsidRDefault="00A171D8" w14:paraId="02212B74" w14:textId="356EEFDC">
            <w:pPr>
              <w:spacing w:line="233" w:lineRule="auto"/>
              <w:rPr>
                <w:rFonts w:ascii="Arial" w:hAnsi="Arial" w:eastAsia="Arial" w:cs="Arial"/>
                <w:sz w:val="20"/>
                <w:szCs w:val="20"/>
              </w:rPr>
            </w:pPr>
            <w:r w:rsidRPr="00170C3A">
              <w:rPr>
                <w:rFonts w:ascii="Arial" w:hAnsi="Arial" w:eastAsia="Arial" w:cs="Arial"/>
                <w:sz w:val="20"/>
                <w:szCs w:val="20"/>
              </w:rPr>
              <w:t>Capacity and Access Improvement Payment Update – 2025/2026</w:t>
            </w:r>
          </w:p>
        </w:tc>
        <w:tc>
          <w:tcPr>
            <w:tcW w:w="4252" w:type="dxa"/>
            <w:tcMar>
              <w:left w:w="105" w:type="dxa"/>
              <w:right w:w="105" w:type="dxa"/>
            </w:tcMar>
          </w:tcPr>
          <w:p w:rsidRPr="00170C3A" w:rsidR="004D7817" w:rsidP="7DD04102" w:rsidRDefault="004D7817" w14:paraId="78D6A401" w14:textId="77777777">
            <w:pPr>
              <w:rPr>
                <w:rFonts w:ascii="Arial" w:hAnsi="Arial" w:eastAsia="Calibri" w:cs="Arial"/>
                <w:sz w:val="20"/>
                <w:szCs w:val="20"/>
              </w:rPr>
            </w:pPr>
            <w:r w:rsidRPr="00170C3A">
              <w:rPr>
                <w:rFonts w:ascii="Arial" w:hAnsi="Arial" w:eastAsia="Calibri" w:cs="Arial"/>
                <w:sz w:val="20"/>
                <w:szCs w:val="20"/>
              </w:rPr>
              <w:t xml:space="preserve">The group received the penultimate Capacity and Access Improvement Payment (CAIP) update, setting out the current position on PCN declarations and claims. </w:t>
            </w:r>
          </w:p>
          <w:p w:rsidRPr="00170C3A" w:rsidR="004D7817" w:rsidP="7DD04102" w:rsidRDefault="004D7817" w14:paraId="159808E1" w14:textId="77777777">
            <w:pPr>
              <w:rPr>
                <w:rFonts w:ascii="Arial" w:hAnsi="Arial" w:eastAsia="Calibri" w:cs="Arial"/>
                <w:sz w:val="20"/>
                <w:szCs w:val="20"/>
              </w:rPr>
            </w:pPr>
          </w:p>
          <w:p w:rsidRPr="00170C3A" w:rsidR="004D7817" w:rsidP="7DD04102" w:rsidRDefault="004D7817" w14:paraId="0BE5F674" w14:textId="77777777">
            <w:pPr>
              <w:rPr>
                <w:rFonts w:ascii="Arial" w:hAnsi="Arial" w:eastAsia="Calibri" w:cs="Arial"/>
                <w:sz w:val="20"/>
                <w:szCs w:val="20"/>
              </w:rPr>
            </w:pPr>
            <w:r w:rsidRPr="00170C3A">
              <w:rPr>
                <w:rFonts w:ascii="Arial" w:hAnsi="Arial" w:eastAsia="Calibri" w:cs="Arial"/>
                <w:sz w:val="20"/>
                <w:szCs w:val="20"/>
              </w:rPr>
              <w:t xml:space="preserve">Members noted submissions pending review, approved those reviewed and supported by Primary Care Place Teams, and noted that no PCNs were outstanding at the date of the paper. </w:t>
            </w:r>
          </w:p>
          <w:p w:rsidRPr="00170C3A" w:rsidR="004D7817" w:rsidP="7DD04102" w:rsidRDefault="004D7817" w14:paraId="15BDD62B" w14:textId="77777777">
            <w:pPr>
              <w:rPr>
                <w:rFonts w:ascii="Arial" w:hAnsi="Arial" w:eastAsia="Calibri" w:cs="Arial"/>
                <w:sz w:val="20"/>
                <w:szCs w:val="20"/>
              </w:rPr>
            </w:pPr>
          </w:p>
          <w:p w:rsidRPr="00170C3A" w:rsidR="004D7817" w:rsidP="7DD04102" w:rsidRDefault="004D7817" w14:paraId="2A4376A1" w14:textId="77777777">
            <w:pPr>
              <w:rPr>
                <w:rFonts w:ascii="Arial" w:hAnsi="Arial" w:eastAsia="Calibri" w:cs="Arial"/>
                <w:sz w:val="20"/>
                <w:szCs w:val="20"/>
              </w:rPr>
            </w:pPr>
            <w:r w:rsidRPr="00170C3A">
              <w:rPr>
                <w:rFonts w:ascii="Arial" w:hAnsi="Arial" w:eastAsia="Calibri" w:cs="Arial"/>
                <w:sz w:val="20"/>
                <w:szCs w:val="20"/>
              </w:rPr>
              <w:t xml:space="preserve">The approved submissions were confirmed, with further PCN submissions since received from Barrow, Fleetwood, Lancaster and Morecambe. </w:t>
            </w:r>
          </w:p>
          <w:p w:rsidRPr="00170C3A" w:rsidR="004D7817" w:rsidP="7DD04102" w:rsidRDefault="004D7817" w14:paraId="77F12BC4" w14:textId="77777777">
            <w:pPr>
              <w:rPr>
                <w:rFonts w:ascii="Arial" w:hAnsi="Arial" w:eastAsia="Calibri" w:cs="Arial"/>
                <w:sz w:val="20"/>
                <w:szCs w:val="20"/>
              </w:rPr>
            </w:pPr>
          </w:p>
          <w:p w:rsidRPr="00170C3A" w:rsidR="001D2EC7" w:rsidP="7DD04102" w:rsidRDefault="004D7817" w14:paraId="4432AEF6" w14:textId="792ABF13">
            <w:pPr>
              <w:rPr>
                <w:rFonts w:ascii="Arial" w:hAnsi="Arial" w:eastAsia="Calibri" w:cs="Arial"/>
                <w:sz w:val="20"/>
                <w:szCs w:val="20"/>
              </w:rPr>
            </w:pPr>
            <w:r w:rsidRPr="00170C3A">
              <w:rPr>
                <w:rFonts w:ascii="Arial" w:hAnsi="Arial" w:eastAsia="Calibri" w:cs="Arial"/>
                <w:sz w:val="20"/>
                <w:szCs w:val="20"/>
              </w:rPr>
              <w:t>A full outturn position will be reported in the final update next month, and a previously identified issue affecting an East Lancashire submission was confirmed as resolved.</w:t>
            </w:r>
          </w:p>
        </w:tc>
        <w:tc>
          <w:tcPr>
            <w:tcW w:w="2501" w:type="dxa"/>
            <w:tcMar>
              <w:left w:w="105" w:type="dxa"/>
              <w:right w:w="105" w:type="dxa"/>
            </w:tcMar>
          </w:tcPr>
          <w:p w:rsidRPr="00170C3A" w:rsidR="00AF4592" w:rsidP="00AF4592" w:rsidRDefault="00AF4592" w14:paraId="70BFF856" w14:textId="77777777">
            <w:pPr>
              <w:widowControl w:val="0"/>
              <w:rPr>
                <w:rFonts w:ascii="Arial" w:hAnsi="Arial" w:eastAsia="Calibri" w:cs="Arial"/>
                <w:sz w:val="20"/>
                <w:szCs w:val="20"/>
              </w:rPr>
            </w:pPr>
            <w:r w:rsidRPr="00170C3A">
              <w:rPr>
                <w:rFonts w:ascii="Arial" w:hAnsi="Arial" w:eastAsia="Calibri" w:cs="Arial"/>
                <w:sz w:val="20"/>
                <w:szCs w:val="20"/>
              </w:rPr>
              <w:t>Full outturn position paper to be brought to the May meeting</w:t>
            </w:r>
          </w:p>
          <w:p w:rsidRPr="00170C3A" w:rsidR="360C4CB1" w:rsidP="7DD04102" w:rsidRDefault="360C4CB1" w14:paraId="46223209" w14:textId="1EF552CD">
            <w:pPr>
              <w:widowControl w:val="0"/>
              <w:rPr>
                <w:rFonts w:ascii="Arial" w:hAnsi="Arial" w:eastAsia="Calibri" w:cs="Arial"/>
                <w:sz w:val="20"/>
                <w:szCs w:val="20"/>
                <w:highlight w:val="yellow"/>
              </w:rPr>
            </w:pPr>
          </w:p>
        </w:tc>
      </w:tr>
      <w:tr w:rsidRPr="00170C3A" w:rsidR="00634E44" w:rsidTr="7DD04102" w14:paraId="1510E007" w14:textId="77777777">
        <w:trPr>
          <w:trHeight w:val="300"/>
        </w:trPr>
        <w:tc>
          <w:tcPr>
            <w:tcW w:w="2844" w:type="dxa"/>
            <w:tcMar>
              <w:left w:w="105" w:type="dxa"/>
              <w:right w:w="105" w:type="dxa"/>
            </w:tcMar>
          </w:tcPr>
          <w:p w:rsidRPr="00170C3A" w:rsidR="360C4CB1" w:rsidP="00BB5A4A" w:rsidRDefault="00DC1BAE" w14:paraId="59D31E65" w14:textId="5354919E">
            <w:pPr>
              <w:spacing w:line="233" w:lineRule="auto"/>
              <w:jc w:val="center"/>
              <w:rPr>
                <w:rFonts w:ascii="Arial" w:hAnsi="Arial" w:eastAsia="Arial" w:cs="Arial"/>
                <w:sz w:val="20"/>
                <w:szCs w:val="20"/>
              </w:rPr>
            </w:pPr>
            <w:r w:rsidRPr="00170C3A">
              <w:rPr>
                <w:rFonts w:ascii="Arial" w:hAnsi="Arial" w:eastAsia="Arial" w:cs="Arial"/>
                <w:sz w:val="20"/>
                <w:szCs w:val="20"/>
              </w:rPr>
              <w:t>Proactive and Reactive Visit Reporting </w:t>
            </w:r>
          </w:p>
        </w:tc>
        <w:tc>
          <w:tcPr>
            <w:tcW w:w="4252" w:type="dxa"/>
            <w:tcMar>
              <w:left w:w="105" w:type="dxa"/>
              <w:right w:w="105" w:type="dxa"/>
            </w:tcMar>
          </w:tcPr>
          <w:p w:rsidRPr="00170C3A" w:rsidR="00AA7792" w:rsidP="00AA7792" w:rsidRDefault="00AA7792" w14:paraId="6A9FE292" w14:textId="77777777">
            <w:pPr>
              <w:widowControl w:val="0"/>
              <w:rPr>
                <w:rFonts w:ascii="Arial" w:hAnsi="Arial" w:eastAsia="Arial" w:cs="Arial"/>
                <w:sz w:val="20"/>
                <w:szCs w:val="20"/>
              </w:rPr>
            </w:pPr>
            <w:r w:rsidRPr="00170C3A">
              <w:rPr>
                <w:rFonts w:ascii="Arial" w:hAnsi="Arial" w:eastAsia="Arial" w:cs="Arial"/>
                <w:sz w:val="20"/>
                <w:szCs w:val="20"/>
              </w:rPr>
              <w:t>The group received a quarterly Proactive and Reactive Visit Report and approved a revised governance approach, moving to a single quarterly system</w:t>
            </w:r>
            <w:r w:rsidRPr="00170C3A">
              <w:rPr>
                <w:rFonts w:ascii="Cambria Math" w:hAnsi="Cambria Math" w:eastAsia="Arial" w:cs="Cambria Math"/>
                <w:sz w:val="20"/>
                <w:szCs w:val="20"/>
              </w:rPr>
              <w:t>‑</w:t>
            </w:r>
            <w:r w:rsidRPr="00170C3A">
              <w:rPr>
                <w:rFonts w:ascii="Arial" w:hAnsi="Arial" w:eastAsia="Arial" w:cs="Arial"/>
                <w:sz w:val="20"/>
                <w:szCs w:val="20"/>
              </w:rPr>
              <w:t>level report with assurance reporting to the Primary Medical Services Group and the Primary Care Quality Group only.</w:t>
            </w:r>
          </w:p>
          <w:p w:rsidRPr="00170C3A" w:rsidR="001616CF" w:rsidP="00AA7792" w:rsidRDefault="001616CF" w14:paraId="3989BAC5" w14:textId="77777777">
            <w:pPr>
              <w:widowControl w:val="0"/>
              <w:rPr>
                <w:rFonts w:ascii="Arial" w:hAnsi="Arial" w:eastAsia="Arial" w:cs="Arial"/>
                <w:sz w:val="20"/>
                <w:szCs w:val="20"/>
              </w:rPr>
            </w:pPr>
          </w:p>
          <w:p w:rsidRPr="00170C3A" w:rsidR="00AA7792" w:rsidP="00AA7792" w:rsidRDefault="00AA7792" w14:paraId="12C3DA5A" w14:textId="77777777">
            <w:pPr>
              <w:widowControl w:val="0"/>
              <w:rPr>
                <w:rFonts w:ascii="Arial" w:hAnsi="Arial" w:eastAsia="Arial" w:cs="Arial"/>
                <w:sz w:val="20"/>
                <w:szCs w:val="20"/>
              </w:rPr>
            </w:pPr>
            <w:r w:rsidRPr="00170C3A">
              <w:rPr>
                <w:rFonts w:ascii="Arial" w:hAnsi="Arial" w:eastAsia="Arial" w:cs="Arial"/>
                <w:sz w:val="20"/>
                <w:szCs w:val="20"/>
              </w:rPr>
              <w:t>The report summarised proactive visit activity and common themes, including CQC readiness, QOF achievement, contractual and estates issues, asylum seeker and refugee schemes, and Pharmacy First, alongside support provided by Place</w:t>
            </w:r>
            <w:r w:rsidRPr="00170C3A">
              <w:rPr>
                <w:rFonts w:ascii="Cambria Math" w:hAnsi="Cambria Math" w:eastAsia="Arial" w:cs="Cambria Math"/>
                <w:sz w:val="20"/>
                <w:szCs w:val="20"/>
              </w:rPr>
              <w:t>‑</w:t>
            </w:r>
            <w:r w:rsidRPr="00170C3A">
              <w:rPr>
                <w:rFonts w:ascii="Arial" w:hAnsi="Arial" w:eastAsia="Arial" w:cs="Arial"/>
                <w:sz w:val="20"/>
                <w:szCs w:val="20"/>
              </w:rPr>
              <w:t>Facing Teams and wider colleagues. Pennine Place confirmed full engagement, with review meetings completed and action plans agreed for all practices.</w:t>
            </w:r>
          </w:p>
          <w:p w:rsidRPr="00170C3A" w:rsidR="001616CF" w:rsidP="00AA7792" w:rsidRDefault="001616CF" w14:paraId="641E7F51" w14:textId="77777777">
            <w:pPr>
              <w:widowControl w:val="0"/>
              <w:rPr>
                <w:rFonts w:ascii="Arial" w:hAnsi="Arial" w:eastAsia="Arial" w:cs="Arial"/>
                <w:sz w:val="20"/>
                <w:szCs w:val="20"/>
              </w:rPr>
            </w:pPr>
          </w:p>
          <w:p w:rsidRPr="00170C3A" w:rsidR="001616CF" w:rsidP="00AA7792" w:rsidRDefault="00AA7792" w14:paraId="0984A158" w14:textId="77777777">
            <w:pPr>
              <w:widowControl w:val="0"/>
              <w:rPr>
                <w:rFonts w:ascii="Arial" w:hAnsi="Arial" w:eastAsia="Arial" w:cs="Arial"/>
                <w:sz w:val="20"/>
                <w:szCs w:val="20"/>
              </w:rPr>
            </w:pPr>
            <w:r w:rsidRPr="00170C3A">
              <w:rPr>
                <w:rFonts w:ascii="Arial" w:hAnsi="Arial" w:eastAsia="Arial" w:cs="Arial"/>
                <w:sz w:val="20"/>
                <w:szCs w:val="20"/>
              </w:rPr>
              <w:t>Reactive activity was noted by place: two visits completed and closed in both North and Central Lancashire, and two live cases in East Lancashire, with further cases awaiting capacity. It was noted that reactive visits are resource</w:t>
            </w:r>
            <w:r w:rsidRPr="00170C3A">
              <w:rPr>
                <w:rFonts w:ascii="Cambria Math" w:hAnsi="Cambria Math" w:eastAsia="Arial" w:cs="Cambria Math"/>
                <w:sz w:val="20"/>
                <w:szCs w:val="20"/>
              </w:rPr>
              <w:t>‑</w:t>
            </w:r>
            <w:r w:rsidRPr="00170C3A">
              <w:rPr>
                <w:rFonts w:ascii="Arial" w:hAnsi="Arial" w:eastAsia="Arial" w:cs="Arial"/>
                <w:sz w:val="20"/>
                <w:szCs w:val="20"/>
              </w:rPr>
              <w:t>intensive and often CQC</w:t>
            </w:r>
            <w:r w:rsidRPr="00170C3A">
              <w:rPr>
                <w:rFonts w:ascii="Cambria Math" w:hAnsi="Cambria Math" w:eastAsia="Arial" w:cs="Cambria Math"/>
                <w:sz w:val="20"/>
                <w:szCs w:val="20"/>
              </w:rPr>
              <w:t>‑</w:t>
            </w:r>
            <w:r w:rsidRPr="00170C3A">
              <w:rPr>
                <w:rFonts w:ascii="Arial" w:hAnsi="Arial" w:eastAsia="Arial" w:cs="Arial"/>
                <w:sz w:val="20"/>
                <w:szCs w:val="20"/>
              </w:rPr>
              <w:t>driven, with learning captured through reflection sessions, a senior workshop, and a live lessons</w:t>
            </w:r>
            <w:r w:rsidRPr="00170C3A">
              <w:rPr>
                <w:rFonts w:ascii="Cambria Math" w:hAnsi="Cambria Math" w:eastAsia="Arial" w:cs="Cambria Math"/>
                <w:sz w:val="20"/>
                <w:szCs w:val="20"/>
              </w:rPr>
              <w:t>‑</w:t>
            </w:r>
            <w:r w:rsidRPr="00170C3A">
              <w:rPr>
                <w:rFonts w:ascii="Arial" w:hAnsi="Arial" w:eastAsia="Arial" w:cs="Arial"/>
                <w:sz w:val="20"/>
                <w:szCs w:val="20"/>
              </w:rPr>
              <w:t xml:space="preserve">learned tracker. </w:t>
            </w:r>
          </w:p>
          <w:p w:rsidRPr="00170C3A" w:rsidR="001616CF" w:rsidP="00AA7792" w:rsidRDefault="001616CF" w14:paraId="4EF48A0D" w14:textId="77777777">
            <w:pPr>
              <w:widowControl w:val="0"/>
              <w:rPr>
                <w:rFonts w:ascii="Arial" w:hAnsi="Arial" w:eastAsia="Arial" w:cs="Arial"/>
                <w:sz w:val="20"/>
                <w:szCs w:val="20"/>
              </w:rPr>
            </w:pPr>
          </w:p>
          <w:p w:rsidRPr="00170C3A" w:rsidR="00AA7792" w:rsidP="00AA7792" w:rsidRDefault="00AA7792" w14:paraId="7E9C63F7" w14:textId="402E6564">
            <w:pPr>
              <w:widowControl w:val="0"/>
              <w:rPr>
                <w:rFonts w:ascii="Arial" w:hAnsi="Arial" w:eastAsia="Arial" w:cs="Arial"/>
                <w:sz w:val="20"/>
                <w:szCs w:val="20"/>
              </w:rPr>
            </w:pPr>
            <w:r w:rsidRPr="00170C3A">
              <w:rPr>
                <w:rFonts w:ascii="Arial" w:hAnsi="Arial" w:eastAsia="Arial" w:cs="Arial"/>
                <w:sz w:val="20"/>
                <w:szCs w:val="20"/>
              </w:rPr>
              <w:t>Work is ongoing to strengthen templates for remedial and breach notice processes.</w:t>
            </w:r>
          </w:p>
          <w:p w:rsidRPr="00170C3A" w:rsidR="001616CF" w:rsidP="00AA7792" w:rsidRDefault="00AA7792" w14:paraId="2147E97E" w14:textId="77777777">
            <w:pPr>
              <w:widowControl w:val="0"/>
              <w:rPr>
                <w:rFonts w:ascii="Arial" w:hAnsi="Arial" w:eastAsia="Arial" w:cs="Arial"/>
                <w:sz w:val="20"/>
                <w:szCs w:val="20"/>
              </w:rPr>
            </w:pPr>
            <w:r w:rsidRPr="00170C3A">
              <w:rPr>
                <w:rFonts w:ascii="Arial" w:hAnsi="Arial" w:eastAsia="Arial" w:cs="Arial"/>
                <w:sz w:val="20"/>
                <w:szCs w:val="20"/>
              </w:rPr>
              <w:t>Capacity risks, particularly relating to Care and Capacity Primary Leads, were highlighted and linked to the ICB risk register.</w:t>
            </w:r>
          </w:p>
          <w:p w:rsidRPr="00170C3A" w:rsidR="001616CF" w:rsidP="00AA7792" w:rsidRDefault="001616CF" w14:paraId="334B5007" w14:textId="77777777">
            <w:pPr>
              <w:widowControl w:val="0"/>
              <w:rPr>
                <w:rFonts w:ascii="Arial" w:hAnsi="Arial" w:eastAsia="Arial" w:cs="Arial"/>
                <w:sz w:val="20"/>
                <w:szCs w:val="20"/>
              </w:rPr>
            </w:pPr>
          </w:p>
          <w:p w:rsidRPr="00170C3A" w:rsidR="360C4CB1" w:rsidP="00AA7792" w:rsidRDefault="00AA7792" w14:paraId="1047F4FE" w14:textId="38C33169">
            <w:pPr>
              <w:widowControl w:val="0"/>
              <w:rPr>
                <w:rFonts w:ascii="Arial" w:hAnsi="Arial" w:eastAsia="Arial" w:cs="Arial"/>
                <w:sz w:val="20"/>
                <w:szCs w:val="20"/>
              </w:rPr>
            </w:pPr>
            <w:r w:rsidRPr="00170C3A">
              <w:rPr>
                <w:rFonts w:ascii="Arial" w:hAnsi="Arial" w:eastAsia="Arial" w:cs="Arial"/>
                <w:sz w:val="20"/>
                <w:szCs w:val="20"/>
              </w:rPr>
              <w:t>For 2026/27, place</w:t>
            </w:r>
            <w:r w:rsidRPr="00170C3A">
              <w:rPr>
                <w:rFonts w:ascii="Cambria Math" w:hAnsi="Cambria Math" w:eastAsia="Arial" w:cs="Cambria Math"/>
                <w:sz w:val="20"/>
                <w:szCs w:val="20"/>
              </w:rPr>
              <w:t>‑</w:t>
            </w:r>
            <w:r w:rsidRPr="00170C3A">
              <w:rPr>
                <w:rFonts w:ascii="Arial" w:hAnsi="Arial" w:eastAsia="Arial" w:cs="Arial"/>
                <w:sz w:val="20"/>
                <w:szCs w:val="20"/>
              </w:rPr>
              <w:t>facing teams are developing proposals for proactive visits, with up to 22 practices per place. Practice lists will be considered by the April Oversight Group and brought to PMSG in May, with visits expected to commence from June or July.</w:t>
            </w:r>
          </w:p>
        </w:tc>
        <w:tc>
          <w:tcPr>
            <w:tcW w:w="2501" w:type="dxa"/>
            <w:tcMar>
              <w:left w:w="105" w:type="dxa"/>
              <w:right w:w="105" w:type="dxa"/>
            </w:tcMar>
          </w:tcPr>
          <w:p w:rsidRPr="00170C3A" w:rsidR="00910C1F" w:rsidP="00910C1F" w:rsidRDefault="00910C1F" w14:paraId="4AA9BAA8" w14:textId="77777777">
            <w:pPr>
              <w:widowControl w:val="0"/>
              <w:rPr>
                <w:rFonts w:ascii="Arial" w:hAnsi="Arial" w:eastAsia="Calibri" w:cs="Arial"/>
                <w:sz w:val="20"/>
                <w:szCs w:val="20"/>
              </w:rPr>
            </w:pPr>
            <w:r w:rsidRPr="00170C3A">
              <w:rPr>
                <w:rFonts w:ascii="Arial" w:hAnsi="Arial" w:eastAsia="Calibri" w:cs="Arial"/>
                <w:sz w:val="20"/>
                <w:szCs w:val="20"/>
              </w:rPr>
              <w:t>Include proposed practices for 2026/27 proactive visits (based on triangulated data) at the April Oversight Group, with recommendations to PMSG in May.</w:t>
            </w:r>
          </w:p>
          <w:p w:rsidRPr="00170C3A" w:rsidR="00A147E7" w:rsidP="003C4561" w:rsidRDefault="00A147E7" w14:paraId="6D25D8CF" w14:textId="10E28157">
            <w:pPr>
              <w:rPr>
                <w:rFonts w:ascii="Arial" w:hAnsi="Arial" w:eastAsia="Arial" w:cs="Arial"/>
                <w:sz w:val="20"/>
                <w:szCs w:val="20"/>
              </w:rPr>
            </w:pPr>
          </w:p>
        </w:tc>
      </w:tr>
      <w:tr w:rsidRPr="00170C3A" w:rsidR="00634E44" w:rsidTr="7DD04102" w14:paraId="2EEC4684" w14:textId="77777777">
        <w:trPr>
          <w:trHeight w:val="300"/>
        </w:trPr>
        <w:tc>
          <w:tcPr>
            <w:tcW w:w="2844" w:type="dxa"/>
            <w:tcMar>
              <w:left w:w="105" w:type="dxa"/>
              <w:right w:w="105" w:type="dxa"/>
            </w:tcMar>
          </w:tcPr>
          <w:p w:rsidRPr="00170C3A" w:rsidR="360C4CB1" w:rsidP="360C4CB1" w:rsidRDefault="00AB3DEB" w14:paraId="2844E974" w14:textId="4A4DB18A">
            <w:pPr>
              <w:spacing w:line="233" w:lineRule="auto"/>
              <w:rPr>
                <w:rFonts w:ascii="Arial" w:hAnsi="Arial" w:eastAsia="Arial" w:cs="Arial"/>
                <w:sz w:val="20"/>
                <w:szCs w:val="20"/>
              </w:rPr>
            </w:pPr>
            <w:r w:rsidRPr="00170C3A">
              <w:rPr>
                <w:rFonts w:ascii="Arial" w:hAnsi="Arial" w:eastAsia="Arial" w:cs="Arial"/>
                <w:sz w:val="20"/>
                <w:szCs w:val="20"/>
              </w:rPr>
              <w:t>Haverthwaite Surgery – Premises Relocation Update Briefing Paper</w:t>
            </w:r>
          </w:p>
        </w:tc>
        <w:tc>
          <w:tcPr>
            <w:tcW w:w="4252" w:type="dxa"/>
            <w:tcMar>
              <w:left w:w="105" w:type="dxa"/>
              <w:right w:w="105" w:type="dxa"/>
            </w:tcMar>
          </w:tcPr>
          <w:p w:rsidRPr="00170C3A" w:rsidR="005F2CA8" w:rsidP="005F2CA8" w:rsidRDefault="005F2CA8" w14:paraId="28428034" w14:textId="77777777">
            <w:pPr>
              <w:pStyle w:val="Default"/>
              <w:rPr>
                <w:rFonts w:ascii="Arial" w:hAnsi="Arial" w:eastAsia="Calibri" w:cs="Arial"/>
                <w:sz w:val="20"/>
                <w:szCs w:val="20"/>
              </w:rPr>
            </w:pPr>
            <w:r w:rsidRPr="005F2CA8">
              <w:rPr>
                <w:rFonts w:ascii="Arial" w:hAnsi="Arial" w:eastAsia="Calibri" w:cs="Arial"/>
                <w:sz w:val="20"/>
                <w:szCs w:val="20"/>
              </w:rPr>
              <w:t xml:space="preserve">The group received an update on the relocation of Haverthwaite Surgery, approved in 2023 following a notice to vacate and an interim move to temporary accommodation. </w:t>
            </w:r>
          </w:p>
          <w:p w:rsidRPr="00170C3A" w:rsidR="005F2CA8" w:rsidP="005F2CA8" w:rsidRDefault="005F2CA8" w14:paraId="33F3E26C" w14:textId="77777777">
            <w:pPr>
              <w:pStyle w:val="Default"/>
              <w:rPr>
                <w:rFonts w:ascii="Arial" w:hAnsi="Arial" w:eastAsia="Calibri" w:cs="Arial"/>
                <w:sz w:val="20"/>
                <w:szCs w:val="20"/>
              </w:rPr>
            </w:pPr>
          </w:p>
          <w:p w:rsidRPr="00170C3A" w:rsidR="005F2CA8" w:rsidP="005F2CA8" w:rsidRDefault="005F2CA8" w14:paraId="3B4DF5CE" w14:textId="77777777">
            <w:pPr>
              <w:pStyle w:val="Default"/>
              <w:rPr>
                <w:rFonts w:ascii="Arial" w:hAnsi="Arial" w:eastAsia="Calibri" w:cs="Arial"/>
                <w:sz w:val="20"/>
                <w:szCs w:val="20"/>
              </w:rPr>
            </w:pPr>
            <w:r w:rsidRPr="005F2CA8">
              <w:rPr>
                <w:rFonts w:ascii="Arial" w:hAnsi="Arial" w:eastAsia="Calibri" w:cs="Arial"/>
                <w:sz w:val="20"/>
                <w:szCs w:val="20"/>
              </w:rPr>
              <w:t xml:space="preserve">Plans for a privately funded development were no longer viable due to developer withdrawal and unsuccessful attempts to secure alternatives. </w:t>
            </w:r>
          </w:p>
          <w:p w:rsidRPr="00170C3A" w:rsidR="005F2CA8" w:rsidP="005F2CA8" w:rsidRDefault="005F2CA8" w14:paraId="61A8456C" w14:textId="77777777">
            <w:pPr>
              <w:pStyle w:val="Default"/>
              <w:rPr>
                <w:rFonts w:ascii="Arial" w:hAnsi="Arial" w:eastAsia="Calibri" w:cs="Arial"/>
                <w:sz w:val="20"/>
                <w:szCs w:val="20"/>
              </w:rPr>
            </w:pPr>
          </w:p>
          <w:p w:rsidRPr="00170C3A" w:rsidR="005F2CA8" w:rsidP="005F2CA8" w:rsidRDefault="005F2CA8" w14:paraId="289C2A15" w14:textId="77777777">
            <w:pPr>
              <w:pStyle w:val="Default"/>
              <w:rPr>
                <w:rFonts w:ascii="Arial" w:hAnsi="Arial" w:eastAsia="Calibri" w:cs="Arial"/>
                <w:sz w:val="20"/>
                <w:szCs w:val="20"/>
              </w:rPr>
            </w:pPr>
            <w:r w:rsidRPr="005F2CA8">
              <w:rPr>
                <w:rFonts w:ascii="Arial" w:hAnsi="Arial" w:eastAsia="Calibri" w:cs="Arial"/>
                <w:sz w:val="20"/>
                <w:szCs w:val="20"/>
              </w:rPr>
              <w:t xml:space="preserve">It was therefore proposed to progress the scheme using NHS capital funding through the Primary Care Strategic Estates Capital Programme, with support from NHS Property Services or UHMB. </w:t>
            </w:r>
          </w:p>
          <w:p w:rsidRPr="00170C3A" w:rsidR="00947687" w:rsidP="001606F0" w:rsidRDefault="005F2CA8" w14:paraId="26B3970C" w14:textId="7ADB8AF9">
            <w:pPr>
              <w:pStyle w:val="Default"/>
              <w:rPr>
                <w:rFonts w:ascii="Arial" w:hAnsi="Arial" w:eastAsia="Calibri" w:cs="Arial"/>
                <w:sz w:val="20"/>
                <w:szCs w:val="20"/>
              </w:rPr>
            </w:pPr>
            <w:r w:rsidRPr="005F2CA8">
              <w:rPr>
                <w:rFonts w:ascii="Arial" w:hAnsi="Arial" w:eastAsia="Calibri" w:cs="Arial"/>
                <w:sz w:val="20"/>
                <w:szCs w:val="20"/>
              </w:rPr>
              <w:t>Members noted the increased long</w:t>
            </w:r>
            <w:r w:rsidRPr="005F2CA8">
              <w:rPr>
                <w:rFonts w:ascii="Arial" w:hAnsi="Arial" w:eastAsia="Calibri" w:cs="Arial"/>
                <w:sz w:val="20"/>
                <w:szCs w:val="20"/>
              </w:rPr>
              <w:noBreakHyphen/>
            </w:r>
            <w:r w:rsidRPr="005F2CA8">
              <w:rPr>
                <w:rFonts w:ascii="Arial" w:hAnsi="Arial" w:eastAsia="Calibri" w:cs="Arial"/>
                <w:sz w:val="20"/>
                <w:szCs w:val="20"/>
              </w:rPr>
              <w:t>term security, service sustainability benefits, and reduced revenue costs of this approach, and highlighted the need for alignment with the wider primary care capital plan.</w:t>
            </w:r>
          </w:p>
        </w:tc>
        <w:tc>
          <w:tcPr>
            <w:tcW w:w="2501" w:type="dxa"/>
            <w:tcMar>
              <w:left w:w="105" w:type="dxa"/>
              <w:right w:w="105" w:type="dxa"/>
            </w:tcMar>
          </w:tcPr>
          <w:p w:rsidRPr="00170C3A" w:rsidR="360C4CB1" w:rsidP="008767EA" w:rsidRDefault="00A50597" w14:paraId="3E0401C7" w14:textId="1BC342BC">
            <w:pPr>
              <w:rPr>
                <w:rFonts w:ascii="Arial" w:hAnsi="Arial" w:eastAsia="Arial" w:cs="Arial"/>
                <w:sz w:val="20"/>
                <w:szCs w:val="20"/>
              </w:rPr>
            </w:pPr>
            <w:r w:rsidRPr="00170C3A">
              <w:rPr>
                <w:rFonts w:ascii="Arial" w:hAnsi="Arial" w:eastAsia="Arial" w:cs="Arial"/>
                <w:sz w:val="20"/>
                <w:szCs w:val="20"/>
              </w:rPr>
              <w:t>Recommend paper to Primary Care Contracting Sub-Committee</w:t>
            </w:r>
          </w:p>
        </w:tc>
      </w:tr>
      <w:tr w:rsidRPr="00170C3A" w:rsidR="00DC1BAE" w:rsidTr="7DD04102" w14:paraId="65689A16" w14:textId="77777777">
        <w:trPr>
          <w:trHeight w:val="300"/>
        </w:trPr>
        <w:tc>
          <w:tcPr>
            <w:tcW w:w="2844" w:type="dxa"/>
            <w:tcMar>
              <w:left w:w="105" w:type="dxa"/>
              <w:right w:w="105" w:type="dxa"/>
            </w:tcMar>
          </w:tcPr>
          <w:p w:rsidRPr="00170C3A" w:rsidR="00DC1BAE" w:rsidP="360C4CB1" w:rsidRDefault="00AB3DEB" w14:paraId="1AF8B9AD" w14:textId="007606FC">
            <w:pPr>
              <w:spacing w:line="233" w:lineRule="auto"/>
              <w:rPr>
                <w:rFonts w:ascii="Arial" w:hAnsi="Arial" w:eastAsia="Arial" w:cs="Arial"/>
                <w:sz w:val="20"/>
                <w:szCs w:val="20"/>
              </w:rPr>
            </w:pPr>
            <w:r w:rsidRPr="00170C3A">
              <w:rPr>
                <w:rFonts w:ascii="Arial" w:hAnsi="Arial" w:eastAsia="Arial" w:cs="Arial"/>
                <w:sz w:val="20"/>
                <w:szCs w:val="20"/>
              </w:rPr>
              <w:t>Urgent Contract Award – East Lancashire Alliance (ELA) for Local Enhanced Services Delivery (2026/27)  </w:t>
            </w:r>
          </w:p>
        </w:tc>
        <w:tc>
          <w:tcPr>
            <w:tcW w:w="4252" w:type="dxa"/>
            <w:tcMar>
              <w:left w:w="105" w:type="dxa"/>
              <w:right w:w="105" w:type="dxa"/>
            </w:tcMar>
          </w:tcPr>
          <w:p w:rsidRPr="00170C3A" w:rsidR="002D65EF" w:rsidP="002D65EF" w:rsidRDefault="002D65EF" w14:paraId="368C4EF4" w14:textId="77777777">
            <w:pPr>
              <w:pStyle w:val="Default"/>
              <w:rPr>
                <w:rFonts w:ascii="Arial" w:hAnsi="Arial" w:eastAsia="Calibri" w:cs="Arial"/>
                <w:sz w:val="20"/>
                <w:szCs w:val="20"/>
              </w:rPr>
            </w:pPr>
            <w:r w:rsidRPr="002D65EF">
              <w:rPr>
                <w:rFonts w:ascii="Arial" w:hAnsi="Arial" w:eastAsia="Calibri" w:cs="Arial"/>
                <w:sz w:val="20"/>
                <w:szCs w:val="20"/>
              </w:rPr>
              <w:t xml:space="preserve">The group considered an urgent contract award to East Lancashire Alliance (ELA) to maintain continuity of Local Enhanced Services in East Lancashire, particularly anticoagulation, where provider numbers reduced from four to one from 1 April, creating an immediate access and patient safety risk. </w:t>
            </w:r>
          </w:p>
          <w:p w:rsidRPr="00170C3A" w:rsidR="002D65EF" w:rsidP="002D65EF" w:rsidRDefault="002D65EF" w14:paraId="6B1B5C8C" w14:textId="77777777">
            <w:pPr>
              <w:pStyle w:val="Default"/>
              <w:rPr>
                <w:rFonts w:ascii="Arial" w:hAnsi="Arial" w:eastAsia="Calibri" w:cs="Arial"/>
                <w:sz w:val="20"/>
                <w:szCs w:val="20"/>
              </w:rPr>
            </w:pPr>
          </w:p>
          <w:p w:rsidRPr="00170C3A" w:rsidR="002D65EF" w:rsidP="002D65EF" w:rsidRDefault="002D65EF" w14:paraId="6DA6C9DF" w14:textId="77777777">
            <w:pPr>
              <w:pStyle w:val="Default"/>
              <w:rPr>
                <w:rFonts w:ascii="Arial" w:hAnsi="Arial" w:eastAsia="Calibri" w:cs="Arial"/>
                <w:sz w:val="20"/>
                <w:szCs w:val="20"/>
              </w:rPr>
            </w:pPr>
            <w:r w:rsidRPr="002D65EF">
              <w:rPr>
                <w:rFonts w:ascii="Arial" w:hAnsi="Arial" w:eastAsia="Calibri" w:cs="Arial"/>
                <w:sz w:val="20"/>
                <w:szCs w:val="20"/>
              </w:rPr>
              <w:t>An urgent award for anticoagulation had already been escalated for executive sign</w:t>
            </w:r>
            <w:r w:rsidRPr="002D65EF">
              <w:rPr>
                <w:rFonts w:ascii="Arial" w:hAnsi="Arial" w:eastAsia="Calibri" w:cs="Arial"/>
                <w:sz w:val="20"/>
                <w:szCs w:val="20"/>
              </w:rPr>
              <w:noBreakHyphen/>
            </w:r>
            <w:r w:rsidRPr="002D65EF">
              <w:rPr>
                <w:rFonts w:ascii="Arial" w:hAnsi="Arial" w:eastAsia="Calibri" w:cs="Arial"/>
                <w:sz w:val="20"/>
                <w:szCs w:val="20"/>
              </w:rPr>
              <w:t xml:space="preserve">off. The group also supported proposals for ELA to cover additional LES gaps for 2026/27, including diabetes, wound care and ring pessary services, noting that interim arrangements were unsustainable and that ELA could mobilise quickly. </w:t>
            </w:r>
          </w:p>
          <w:p w:rsidRPr="00170C3A" w:rsidR="002D65EF" w:rsidP="002D65EF" w:rsidRDefault="002D65EF" w14:paraId="0F2CEB51" w14:textId="77777777">
            <w:pPr>
              <w:pStyle w:val="Default"/>
              <w:rPr>
                <w:rFonts w:ascii="Arial" w:hAnsi="Arial" w:eastAsia="Calibri" w:cs="Arial"/>
                <w:sz w:val="20"/>
                <w:szCs w:val="20"/>
              </w:rPr>
            </w:pPr>
          </w:p>
          <w:p w:rsidRPr="00170C3A" w:rsidR="00DC1BAE" w:rsidP="001606F0" w:rsidRDefault="002D65EF" w14:paraId="52F7F372" w14:textId="7E6ECD29">
            <w:pPr>
              <w:pStyle w:val="Default"/>
              <w:rPr>
                <w:rFonts w:ascii="Arial" w:hAnsi="Arial" w:eastAsia="Calibri" w:cs="Arial"/>
                <w:sz w:val="20"/>
                <w:szCs w:val="20"/>
              </w:rPr>
            </w:pPr>
            <w:r w:rsidRPr="002D65EF">
              <w:rPr>
                <w:rFonts w:ascii="Arial" w:hAnsi="Arial" w:eastAsia="Calibri" w:cs="Arial"/>
                <w:sz w:val="20"/>
                <w:szCs w:val="20"/>
              </w:rPr>
              <w:t>Support was given for a 12</w:t>
            </w:r>
            <w:r w:rsidRPr="002D65EF">
              <w:rPr>
                <w:rFonts w:ascii="Arial" w:hAnsi="Arial" w:eastAsia="Calibri" w:cs="Arial"/>
                <w:sz w:val="20"/>
                <w:szCs w:val="20"/>
              </w:rPr>
              <w:noBreakHyphen/>
            </w:r>
            <w:r w:rsidRPr="002D65EF">
              <w:rPr>
                <w:rFonts w:ascii="Arial" w:hAnsi="Arial" w:eastAsia="Calibri" w:cs="Arial"/>
                <w:sz w:val="20"/>
                <w:szCs w:val="20"/>
              </w:rPr>
              <w:t>month arrangement, subject to confirmation of delegated authority, with delivery by practices remaining the preferred option where possible.</w:t>
            </w:r>
          </w:p>
        </w:tc>
        <w:tc>
          <w:tcPr>
            <w:tcW w:w="2501" w:type="dxa"/>
            <w:tcMar>
              <w:left w:w="105" w:type="dxa"/>
              <w:right w:w="105" w:type="dxa"/>
            </w:tcMar>
          </w:tcPr>
          <w:p w:rsidRPr="00170C3A" w:rsidR="00DC1BAE" w:rsidP="008767EA" w:rsidRDefault="00DC1BAE" w14:paraId="0D432ED7" w14:textId="77777777">
            <w:pPr>
              <w:rPr>
                <w:rFonts w:ascii="Arial" w:hAnsi="Arial" w:eastAsia="Arial" w:cs="Arial"/>
                <w:sz w:val="20"/>
                <w:szCs w:val="20"/>
              </w:rPr>
            </w:pPr>
          </w:p>
        </w:tc>
      </w:tr>
      <w:tr w:rsidRPr="00170C3A" w:rsidR="00AB3DEB" w:rsidTr="7DD04102" w14:paraId="7020D5F0" w14:textId="77777777">
        <w:trPr>
          <w:trHeight w:val="300"/>
        </w:trPr>
        <w:tc>
          <w:tcPr>
            <w:tcW w:w="2844" w:type="dxa"/>
            <w:tcMar>
              <w:left w:w="105" w:type="dxa"/>
              <w:right w:w="105" w:type="dxa"/>
            </w:tcMar>
          </w:tcPr>
          <w:p w:rsidRPr="00170C3A" w:rsidR="00AB3DEB" w:rsidP="360C4CB1" w:rsidRDefault="00AB3DEB" w14:paraId="39DC6C45" w14:textId="2ABF7078">
            <w:pPr>
              <w:spacing w:line="233" w:lineRule="auto"/>
              <w:rPr>
                <w:rFonts w:ascii="Arial" w:hAnsi="Arial" w:eastAsia="Arial" w:cs="Arial"/>
                <w:sz w:val="20"/>
                <w:szCs w:val="20"/>
              </w:rPr>
            </w:pPr>
            <w:r w:rsidRPr="00170C3A">
              <w:rPr>
                <w:rFonts w:ascii="Arial" w:hAnsi="Arial" w:eastAsia="Arial" w:cs="Arial"/>
                <w:sz w:val="20"/>
                <w:szCs w:val="20"/>
              </w:rPr>
              <w:t>2026-2027 GP Contract Changes </w:t>
            </w:r>
          </w:p>
        </w:tc>
        <w:tc>
          <w:tcPr>
            <w:tcW w:w="4252" w:type="dxa"/>
            <w:tcMar>
              <w:left w:w="105" w:type="dxa"/>
              <w:right w:w="105" w:type="dxa"/>
            </w:tcMar>
          </w:tcPr>
          <w:p w:rsidRPr="00170C3A" w:rsidR="00D704B7" w:rsidP="001606F0" w:rsidRDefault="00D704B7" w14:paraId="38115285" w14:textId="77777777">
            <w:pPr>
              <w:pStyle w:val="Default"/>
              <w:rPr>
                <w:rFonts w:ascii="Arial" w:hAnsi="Arial" w:eastAsia="Calibri" w:cs="Arial"/>
                <w:sz w:val="20"/>
                <w:szCs w:val="20"/>
              </w:rPr>
            </w:pPr>
            <w:r w:rsidRPr="00170C3A">
              <w:rPr>
                <w:rFonts w:ascii="Arial" w:hAnsi="Arial" w:eastAsia="Calibri" w:cs="Arial"/>
                <w:sz w:val="20"/>
                <w:szCs w:val="20"/>
              </w:rPr>
              <w:t>The group received a for</w:t>
            </w:r>
            <w:r w:rsidRPr="00170C3A">
              <w:rPr>
                <w:rFonts w:ascii="Cambria Math" w:hAnsi="Cambria Math" w:eastAsia="Calibri" w:cs="Cambria Math"/>
                <w:sz w:val="20"/>
                <w:szCs w:val="20"/>
              </w:rPr>
              <w:t>‑</w:t>
            </w:r>
            <w:r w:rsidRPr="00170C3A">
              <w:rPr>
                <w:rFonts w:ascii="Arial" w:hAnsi="Arial" w:eastAsia="Calibri" w:cs="Arial"/>
                <w:sz w:val="20"/>
                <w:szCs w:val="20"/>
              </w:rPr>
              <w:t xml:space="preserve">information update on the 2026/27 GP Contract changes, outlining key national proposals and the expected implementation timeline. </w:t>
            </w:r>
          </w:p>
          <w:p w:rsidRPr="00170C3A" w:rsidR="00D704B7" w:rsidP="001606F0" w:rsidRDefault="00D704B7" w14:paraId="50E5D92B" w14:textId="77777777">
            <w:pPr>
              <w:pStyle w:val="Default"/>
              <w:rPr>
                <w:rFonts w:ascii="Arial" w:hAnsi="Arial" w:eastAsia="Calibri" w:cs="Arial"/>
                <w:sz w:val="20"/>
                <w:szCs w:val="20"/>
              </w:rPr>
            </w:pPr>
          </w:p>
          <w:p w:rsidRPr="00170C3A" w:rsidR="00D704B7" w:rsidP="001606F0" w:rsidRDefault="00D704B7" w14:paraId="6BACD800" w14:textId="77777777">
            <w:pPr>
              <w:pStyle w:val="Default"/>
              <w:rPr>
                <w:rFonts w:ascii="Arial" w:hAnsi="Arial" w:eastAsia="Calibri" w:cs="Arial"/>
                <w:sz w:val="20"/>
                <w:szCs w:val="20"/>
              </w:rPr>
            </w:pPr>
            <w:r w:rsidRPr="00170C3A">
              <w:rPr>
                <w:rFonts w:ascii="Arial" w:hAnsi="Arial" w:eastAsia="Calibri" w:cs="Arial"/>
                <w:sz w:val="20"/>
                <w:szCs w:val="20"/>
              </w:rPr>
              <w:t xml:space="preserve">Members noted that the position remains uncertain due to the ongoing national dispute between the GPC and government, with collective action currently paused pending further negotiations. </w:t>
            </w:r>
          </w:p>
          <w:p w:rsidRPr="00170C3A" w:rsidR="00D704B7" w:rsidP="001606F0" w:rsidRDefault="00D704B7" w14:paraId="2A65BB5D" w14:textId="77777777">
            <w:pPr>
              <w:pStyle w:val="Default"/>
              <w:rPr>
                <w:rFonts w:ascii="Arial" w:hAnsi="Arial" w:eastAsia="Calibri" w:cs="Arial"/>
                <w:sz w:val="20"/>
                <w:szCs w:val="20"/>
              </w:rPr>
            </w:pPr>
          </w:p>
          <w:p w:rsidRPr="00170C3A" w:rsidR="00D704B7" w:rsidP="001606F0" w:rsidRDefault="00D704B7" w14:paraId="563D53F6" w14:textId="77777777">
            <w:pPr>
              <w:pStyle w:val="Default"/>
              <w:rPr>
                <w:rFonts w:ascii="Arial" w:hAnsi="Arial" w:eastAsia="Calibri" w:cs="Arial"/>
                <w:sz w:val="20"/>
                <w:szCs w:val="20"/>
              </w:rPr>
            </w:pPr>
            <w:r w:rsidRPr="00170C3A">
              <w:rPr>
                <w:rFonts w:ascii="Arial" w:hAnsi="Arial" w:eastAsia="Calibri" w:cs="Arial"/>
                <w:sz w:val="20"/>
                <w:szCs w:val="20"/>
              </w:rPr>
              <w:t xml:space="preserve">Concerns were raised about the lack of clarity on local interpretation and implementation of disputed elements, and the need for clearer national guidance. </w:t>
            </w:r>
          </w:p>
          <w:p w:rsidRPr="00170C3A" w:rsidR="00D704B7" w:rsidP="001606F0" w:rsidRDefault="00D704B7" w14:paraId="491FAD61" w14:textId="77777777">
            <w:pPr>
              <w:pStyle w:val="Default"/>
              <w:rPr>
                <w:rFonts w:ascii="Arial" w:hAnsi="Arial" w:eastAsia="Calibri" w:cs="Arial"/>
                <w:sz w:val="20"/>
                <w:szCs w:val="20"/>
              </w:rPr>
            </w:pPr>
          </w:p>
          <w:p w:rsidRPr="00170C3A" w:rsidR="00AB3DEB" w:rsidP="001606F0" w:rsidRDefault="00D704B7" w14:paraId="5832565A" w14:textId="09CAEE2B">
            <w:pPr>
              <w:pStyle w:val="Default"/>
              <w:rPr>
                <w:rFonts w:ascii="Arial" w:hAnsi="Arial" w:eastAsia="Calibri" w:cs="Arial"/>
                <w:sz w:val="20"/>
                <w:szCs w:val="20"/>
              </w:rPr>
            </w:pPr>
            <w:r w:rsidRPr="00170C3A">
              <w:rPr>
                <w:rFonts w:ascii="Arial" w:hAnsi="Arial" w:eastAsia="Calibri" w:cs="Arial"/>
                <w:sz w:val="20"/>
                <w:szCs w:val="20"/>
              </w:rPr>
              <w:t>It was agreed that any further updates from NHS England would be shared, and that additional clarity will be required to support consistent local implementation.</w:t>
            </w:r>
          </w:p>
        </w:tc>
        <w:tc>
          <w:tcPr>
            <w:tcW w:w="2501" w:type="dxa"/>
            <w:tcMar>
              <w:left w:w="105" w:type="dxa"/>
              <w:right w:w="105" w:type="dxa"/>
            </w:tcMar>
          </w:tcPr>
          <w:p w:rsidRPr="00170C3A" w:rsidR="00AB3DEB" w:rsidP="008767EA" w:rsidRDefault="00C63EA4" w14:paraId="1E2798E2" w14:textId="4CB4879F">
            <w:pPr>
              <w:rPr>
                <w:rFonts w:ascii="Arial" w:hAnsi="Arial" w:eastAsia="Arial" w:cs="Arial"/>
                <w:sz w:val="20"/>
                <w:szCs w:val="20"/>
              </w:rPr>
            </w:pPr>
            <w:r w:rsidRPr="00170C3A">
              <w:rPr>
                <w:rFonts w:ascii="Arial" w:hAnsi="Arial" w:eastAsia="Arial" w:cs="Arial"/>
                <w:sz w:val="20"/>
                <w:szCs w:val="20"/>
              </w:rPr>
              <w:t>Seek clarification from NHS England regional colleagues on the status and expectations of disputed contract elements, including variation and benchmarking requirements.</w:t>
            </w:r>
          </w:p>
        </w:tc>
      </w:tr>
      <w:tr w:rsidRPr="00170C3A" w:rsidR="00AB3DEB" w:rsidTr="7DD04102" w14:paraId="5D7F1B78" w14:textId="77777777">
        <w:trPr>
          <w:trHeight w:val="300"/>
        </w:trPr>
        <w:tc>
          <w:tcPr>
            <w:tcW w:w="2844" w:type="dxa"/>
            <w:tcMar>
              <w:left w:w="105" w:type="dxa"/>
              <w:right w:w="105" w:type="dxa"/>
            </w:tcMar>
          </w:tcPr>
          <w:p w:rsidRPr="00170C3A" w:rsidR="00AB3DEB" w:rsidP="360C4CB1" w:rsidRDefault="00AB3DEB" w14:paraId="15DDF0F9" w14:textId="12EF9263">
            <w:pPr>
              <w:spacing w:line="233" w:lineRule="auto"/>
              <w:rPr>
                <w:rFonts w:ascii="Arial" w:hAnsi="Arial" w:eastAsia="Arial" w:cs="Arial"/>
                <w:sz w:val="20"/>
                <w:szCs w:val="20"/>
              </w:rPr>
            </w:pPr>
            <w:r w:rsidRPr="00170C3A">
              <w:rPr>
                <w:rFonts w:ascii="Arial" w:hAnsi="Arial" w:eastAsia="Arial" w:cs="Arial"/>
                <w:sz w:val="20"/>
                <w:szCs w:val="20"/>
                <w:lang w:val="en-US"/>
              </w:rPr>
              <w:t>General Practice Annual Electronic Self Declaration (eDec)</w:t>
            </w:r>
            <w:r w:rsidRPr="00170C3A">
              <w:rPr>
                <w:rFonts w:ascii="Arial" w:hAnsi="Arial" w:eastAsia="Arial" w:cs="Arial"/>
                <w:sz w:val="20"/>
                <w:szCs w:val="20"/>
              </w:rPr>
              <w:t>  </w:t>
            </w:r>
          </w:p>
        </w:tc>
        <w:tc>
          <w:tcPr>
            <w:tcW w:w="4252" w:type="dxa"/>
            <w:tcMar>
              <w:left w:w="105" w:type="dxa"/>
              <w:right w:w="105" w:type="dxa"/>
            </w:tcMar>
          </w:tcPr>
          <w:p w:rsidRPr="00170C3A" w:rsidR="00F7760A" w:rsidP="00F7760A" w:rsidRDefault="00F7760A" w14:paraId="2C41B4D9" w14:textId="77777777">
            <w:pPr>
              <w:pStyle w:val="Default"/>
              <w:rPr>
                <w:rFonts w:ascii="Arial" w:hAnsi="Arial" w:eastAsia="Calibri" w:cs="Arial"/>
                <w:sz w:val="20"/>
                <w:szCs w:val="20"/>
              </w:rPr>
            </w:pPr>
            <w:r w:rsidRPr="00F7760A">
              <w:rPr>
                <w:rFonts w:ascii="Arial" w:hAnsi="Arial" w:eastAsia="Calibri" w:cs="Arial"/>
                <w:sz w:val="20"/>
                <w:szCs w:val="20"/>
              </w:rPr>
              <w:t>The group received an update on the Annual Electronic Self</w:t>
            </w:r>
            <w:r w:rsidRPr="00F7760A">
              <w:rPr>
                <w:rFonts w:ascii="Arial" w:hAnsi="Arial" w:eastAsia="Calibri" w:cs="Arial"/>
                <w:sz w:val="20"/>
                <w:szCs w:val="20"/>
              </w:rPr>
              <w:noBreakHyphen/>
            </w:r>
            <w:r w:rsidRPr="00F7760A">
              <w:rPr>
                <w:rFonts w:ascii="Arial" w:hAnsi="Arial" w:eastAsia="Calibri" w:cs="Arial"/>
                <w:sz w:val="20"/>
                <w:szCs w:val="20"/>
              </w:rPr>
              <w:t xml:space="preserve">Declaration (eDec) process, noting the introduction of nationally defined risk ratings and the ICB’s alignment with this framework. </w:t>
            </w:r>
          </w:p>
          <w:p w:rsidRPr="00170C3A" w:rsidR="00F7760A" w:rsidP="00F7760A" w:rsidRDefault="00F7760A" w14:paraId="448E8C77" w14:textId="77777777">
            <w:pPr>
              <w:pStyle w:val="Default"/>
              <w:rPr>
                <w:rFonts w:ascii="Arial" w:hAnsi="Arial" w:eastAsia="Calibri" w:cs="Arial"/>
                <w:sz w:val="20"/>
                <w:szCs w:val="20"/>
              </w:rPr>
            </w:pPr>
          </w:p>
          <w:p w:rsidRPr="00170C3A" w:rsidR="00F7760A" w:rsidP="00F7760A" w:rsidRDefault="00F7760A" w14:paraId="09FDF1A0" w14:textId="77777777">
            <w:pPr>
              <w:pStyle w:val="Default"/>
              <w:rPr>
                <w:rFonts w:ascii="Arial" w:hAnsi="Arial" w:eastAsia="Calibri" w:cs="Arial"/>
                <w:sz w:val="20"/>
                <w:szCs w:val="20"/>
              </w:rPr>
            </w:pPr>
            <w:r w:rsidRPr="00F7760A">
              <w:rPr>
                <w:rFonts w:ascii="Arial" w:hAnsi="Arial" w:eastAsia="Calibri" w:cs="Arial"/>
                <w:sz w:val="20"/>
                <w:szCs w:val="20"/>
              </w:rPr>
              <w:t>Analysis identified practices indicating potential non</w:t>
            </w:r>
            <w:r w:rsidRPr="00F7760A">
              <w:rPr>
                <w:rFonts w:ascii="Arial" w:hAnsi="Arial" w:eastAsia="Calibri" w:cs="Arial"/>
                <w:sz w:val="20"/>
                <w:szCs w:val="20"/>
              </w:rPr>
              <w:noBreakHyphen/>
            </w:r>
            <w:r w:rsidRPr="00F7760A">
              <w:rPr>
                <w:rFonts w:ascii="Arial" w:hAnsi="Arial" w:eastAsia="Calibri" w:cs="Arial"/>
                <w:sz w:val="20"/>
                <w:szCs w:val="20"/>
              </w:rPr>
              <w:t xml:space="preserve">compliance, although members noted this often reflects misinterpretation of ambiguous questions. </w:t>
            </w:r>
          </w:p>
          <w:p w:rsidRPr="00170C3A" w:rsidR="00F7760A" w:rsidP="00F7760A" w:rsidRDefault="00F7760A" w14:paraId="0DA19E88" w14:textId="77777777">
            <w:pPr>
              <w:pStyle w:val="Default"/>
              <w:rPr>
                <w:rFonts w:ascii="Arial" w:hAnsi="Arial" w:eastAsia="Calibri" w:cs="Arial"/>
                <w:sz w:val="20"/>
                <w:szCs w:val="20"/>
              </w:rPr>
            </w:pPr>
          </w:p>
          <w:p w:rsidRPr="00170C3A" w:rsidR="00F7760A" w:rsidP="00F7760A" w:rsidRDefault="00F7760A" w14:paraId="479077F2" w14:textId="77777777">
            <w:pPr>
              <w:pStyle w:val="Default"/>
              <w:rPr>
                <w:rFonts w:ascii="Arial" w:hAnsi="Arial" w:eastAsia="Calibri" w:cs="Arial"/>
                <w:sz w:val="20"/>
                <w:szCs w:val="20"/>
              </w:rPr>
            </w:pPr>
            <w:r w:rsidRPr="00F7760A">
              <w:rPr>
                <w:rFonts w:ascii="Arial" w:hAnsi="Arial" w:eastAsia="Calibri" w:cs="Arial"/>
                <w:sz w:val="20"/>
                <w:szCs w:val="20"/>
              </w:rPr>
              <w:t>It was agreed that responses should be validated with practices by Place</w:t>
            </w:r>
            <w:r w:rsidRPr="00F7760A">
              <w:rPr>
                <w:rFonts w:ascii="Arial" w:hAnsi="Arial" w:eastAsia="Calibri" w:cs="Arial"/>
                <w:sz w:val="20"/>
                <w:szCs w:val="20"/>
              </w:rPr>
              <w:noBreakHyphen/>
            </w:r>
            <w:r w:rsidRPr="00F7760A">
              <w:rPr>
                <w:rFonts w:ascii="Arial" w:hAnsi="Arial" w:eastAsia="Calibri" w:cs="Arial"/>
                <w:sz w:val="20"/>
                <w:szCs w:val="20"/>
              </w:rPr>
              <w:t xml:space="preserve">Based and BASE colleagues before any contractual action is taken, with a further report to be brought back to the Primary Medical Services Group. </w:t>
            </w:r>
          </w:p>
          <w:p w:rsidRPr="00170C3A" w:rsidR="00F7760A" w:rsidP="00F7760A" w:rsidRDefault="00F7760A" w14:paraId="6695016C" w14:textId="77777777">
            <w:pPr>
              <w:pStyle w:val="Default"/>
              <w:rPr>
                <w:rFonts w:ascii="Arial" w:hAnsi="Arial" w:eastAsia="Calibri" w:cs="Arial"/>
                <w:sz w:val="20"/>
                <w:szCs w:val="20"/>
              </w:rPr>
            </w:pPr>
          </w:p>
          <w:p w:rsidRPr="00170C3A" w:rsidR="00AB3DEB" w:rsidP="001606F0" w:rsidRDefault="00F7760A" w14:paraId="7E724AA2" w14:textId="2C9CB435">
            <w:pPr>
              <w:pStyle w:val="Default"/>
              <w:rPr>
                <w:rFonts w:ascii="Arial" w:hAnsi="Arial" w:eastAsia="Calibri" w:cs="Arial"/>
                <w:sz w:val="20"/>
                <w:szCs w:val="20"/>
              </w:rPr>
            </w:pPr>
            <w:r w:rsidRPr="00F7760A">
              <w:rPr>
                <w:rFonts w:ascii="Arial" w:hAnsi="Arial" w:eastAsia="Calibri" w:cs="Arial"/>
                <w:sz w:val="20"/>
                <w:szCs w:val="20"/>
              </w:rPr>
              <w:t>Members noted that confirmed non</w:t>
            </w:r>
            <w:r w:rsidRPr="00F7760A">
              <w:rPr>
                <w:rFonts w:ascii="Arial" w:hAnsi="Arial" w:eastAsia="Calibri" w:cs="Arial"/>
                <w:sz w:val="20"/>
                <w:szCs w:val="20"/>
              </w:rPr>
              <w:noBreakHyphen/>
            </w:r>
            <w:r w:rsidRPr="00F7760A">
              <w:rPr>
                <w:rFonts w:ascii="Arial" w:hAnsi="Arial" w:eastAsia="Calibri" w:cs="Arial"/>
                <w:sz w:val="20"/>
                <w:szCs w:val="20"/>
              </w:rPr>
              <w:t>compliance would require a breach notice and emphasised the need for consistency with audit expectations.</w:t>
            </w:r>
          </w:p>
        </w:tc>
        <w:tc>
          <w:tcPr>
            <w:tcW w:w="2501" w:type="dxa"/>
            <w:tcMar>
              <w:left w:w="105" w:type="dxa"/>
              <w:right w:w="105" w:type="dxa"/>
            </w:tcMar>
          </w:tcPr>
          <w:p w:rsidRPr="00170C3A" w:rsidR="00AB3DEB" w:rsidP="008767EA" w:rsidRDefault="005C571E" w14:paraId="01A62251" w14:textId="5915C4CD">
            <w:pPr>
              <w:rPr>
                <w:rFonts w:ascii="Arial" w:hAnsi="Arial" w:eastAsia="Arial" w:cs="Arial"/>
                <w:sz w:val="20"/>
                <w:szCs w:val="20"/>
              </w:rPr>
            </w:pPr>
            <w:r w:rsidRPr="00170C3A">
              <w:rPr>
                <w:rFonts w:ascii="Arial" w:hAnsi="Arial" w:eastAsia="Arial" w:cs="Arial"/>
                <w:sz w:val="20"/>
                <w:szCs w:val="20"/>
              </w:rPr>
              <w:t>Return updated paper to PMSG for decision on next steps once validation exercise is complete.</w:t>
            </w:r>
          </w:p>
        </w:tc>
      </w:tr>
      <w:tr w:rsidRPr="00170C3A" w:rsidR="00033407" w:rsidTr="7DD04102" w14:paraId="4676E16E" w14:textId="77777777">
        <w:trPr>
          <w:trHeight w:val="300"/>
        </w:trPr>
        <w:tc>
          <w:tcPr>
            <w:tcW w:w="9597" w:type="dxa"/>
            <w:gridSpan w:val="3"/>
            <w:shd w:val="clear" w:color="auto" w:fill="00B050"/>
            <w:tcMar>
              <w:left w:w="105" w:type="dxa"/>
              <w:right w:w="105" w:type="dxa"/>
            </w:tcMar>
          </w:tcPr>
          <w:p w:rsidRPr="00170C3A" w:rsidR="360C4CB1" w:rsidP="360C4CB1" w:rsidRDefault="360C4CB1" w14:paraId="4D1DC255" w14:textId="073FA25C">
            <w:pPr>
              <w:contextualSpacing/>
              <w:rPr>
                <w:rFonts w:ascii="Arial" w:hAnsi="Arial" w:eastAsia="Arial" w:cs="Arial"/>
                <w:sz w:val="20"/>
                <w:szCs w:val="20"/>
              </w:rPr>
            </w:pPr>
            <w:r w:rsidRPr="00170C3A">
              <w:rPr>
                <w:rFonts w:ascii="Arial" w:hAnsi="Arial" w:eastAsia="Arial" w:cs="Arial"/>
                <w:b/>
                <w:sz w:val="20"/>
                <w:szCs w:val="20"/>
              </w:rPr>
              <w:t xml:space="preserve">Assure </w:t>
            </w:r>
          </w:p>
        </w:tc>
      </w:tr>
      <w:tr w:rsidRPr="00170C3A" w:rsidR="00FE749D" w:rsidTr="7DD04102" w14:paraId="59355F3D" w14:textId="77777777">
        <w:trPr>
          <w:trHeight w:val="300"/>
        </w:trPr>
        <w:tc>
          <w:tcPr>
            <w:tcW w:w="2844" w:type="dxa"/>
            <w:tcMar>
              <w:left w:w="105" w:type="dxa"/>
              <w:right w:w="105" w:type="dxa"/>
            </w:tcMar>
          </w:tcPr>
          <w:p w:rsidRPr="00170C3A" w:rsidR="00FE749D" w:rsidP="00FE749D" w:rsidRDefault="004977E6" w14:paraId="75DD85F7" w14:textId="6198821C">
            <w:pPr>
              <w:contextualSpacing/>
              <w:rPr>
                <w:rFonts w:ascii="Arial" w:hAnsi="Arial" w:eastAsia="Arial" w:cs="Arial"/>
                <w:sz w:val="20"/>
                <w:szCs w:val="20"/>
              </w:rPr>
            </w:pPr>
            <w:r w:rsidRPr="00170C3A">
              <w:rPr>
                <w:rFonts w:ascii="Arial" w:hAnsi="Arial" w:eastAsia="Arial" w:cs="Arial"/>
                <w:sz w:val="20"/>
                <w:szCs w:val="20"/>
              </w:rPr>
              <w:t>Resilience Schemes </w:t>
            </w:r>
          </w:p>
        </w:tc>
        <w:tc>
          <w:tcPr>
            <w:tcW w:w="4252" w:type="dxa"/>
            <w:tcMar>
              <w:left w:w="105" w:type="dxa"/>
              <w:right w:w="105" w:type="dxa"/>
            </w:tcMar>
          </w:tcPr>
          <w:p w:rsidRPr="00170C3A" w:rsidR="00170C3A" w:rsidP="00170C3A" w:rsidRDefault="009D1400" w14:paraId="3C3365F9" w14:textId="77777777">
            <w:pPr>
              <w:rPr>
                <w:rFonts w:ascii="Arial" w:hAnsi="Arial" w:cs="Arial"/>
                <w:sz w:val="20"/>
                <w:szCs w:val="20"/>
                <w:lang w:eastAsia="en-GB"/>
              </w:rPr>
            </w:pPr>
            <w:r w:rsidRPr="00170C3A">
              <w:rPr>
                <w:rFonts w:ascii="Arial" w:hAnsi="Arial" w:cs="Arial"/>
                <w:sz w:val="20"/>
                <w:szCs w:val="20"/>
                <w:lang w:eastAsia="en-GB"/>
              </w:rPr>
              <w:t xml:space="preserve">The group received an update on the Primary Care Resilience Schemes, outlining how funding has supported leadership, financial stability, business continuity, clinical confidence, and practices at risk of closure. </w:t>
            </w:r>
          </w:p>
          <w:p w:rsidRPr="00170C3A" w:rsidR="00170C3A" w:rsidP="00170C3A" w:rsidRDefault="00170C3A" w14:paraId="7ED20BC7" w14:textId="77777777">
            <w:pPr>
              <w:rPr>
                <w:rFonts w:ascii="Arial" w:hAnsi="Arial" w:cs="Arial"/>
                <w:sz w:val="20"/>
                <w:szCs w:val="20"/>
                <w:lang w:eastAsia="en-GB"/>
              </w:rPr>
            </w:pPr>
          </w:p>
          <w:p w:rsidRPr="00170C3A" w:rsidR="00170C3A" w:rsidP="00170C3A" w:rsidRDefault="009D1400" w14:paraId="3025B866" w14:textId="77777777">
            <w:pPr>
              <w:rPr>
                <w:rFonts w:ascii="Arial" w:hAnsi="Arial" w:cs="Arial"/>
                <w:sz w:val="20"/>
                <w:szCs w:val="20"/>
                <w:lang w:eastAsia="en-GB"/>
              </w:rPr>
            </w:pPr>
            <w:r w:rsidRPr="00170C3A">
              <w:rPr>
                <w:rFonts w:ascii="Arial" w:hAnsi="Arial" w:cs="Arial"/>
                <w:sz w:val="20"/>
                <w:szCs w:val="20"/>
                <w:lang w:eastAsia="en-GB"/>
              </w:rPr>
              <w:t>Positive progress was reported across leadership development and finance support, with business continuity work completed but requiring adaptation due to capacity constraints. Support for clinical confidence and at</w:t>
            </w:r>
            <w:r w:rsidRPr="00170C3A">
              <w:rPr>
                <w:rFonts w:ascii="Arial" w:hAnsi="Arial" w:cs="Arial"/>
                <w:sz w:val="20"/>
                <w:szCs w:val="20"/>
                <w:lang w:eastAsia="en-GB"/>
              </w:rPr>
              <w:noBreakHyphen/>
            </w:r>
            <w:r w:rsidRPr="00170C3A">
              <w:rPr>
                <w:rFonts w:ascii="Arial" w:hAnsi="Arial" w:cs="Arial"/>
                <w:sz w:val="20"/>
                <w:szCs w:val="20"/>
                <w:lang w:eastAsia="en-GB"/>
              </w:rPr>
              <w:t xml:space="preserve">risk practices was aligned with proactive and reactive visit activity. </w:t>
            </w:r>
          </w:p>
          <w:p w:rsidRPr="00170C3A" w:rsidR="00170C3A" w:rsidP="00170C3A" w:rsidRDefault="00170C3A" w14:paraId="10B50BAF" w14:textId="77777777">
            <w:pPr>
              <w:rPr>
                <w:rFonts w:ascii="Arial" w:hAnsi="Arial" w:cs="Arial"/>
                <w:sz w:val="20"/>
                <w:szCs w:val="20"/>
                <w:lang w:eastAsia="en-GB"/>
              </w:rPr>
            </w:pPr>
          </w:p>
          <w:p w:rsidRPr="00170C3A" w:rsidR="00170C3A" w:rsidP="00170C3A" w:rsidRDefault="009D1400" w14:paraId="3DB94878" w14:textId="77777777">
            <w:pPr>
              <w:rPr>
                <w:rFonts w:ascii="Arial" w:hAnsi="Arial" w:cs="Arial"/>
                <w:sz w:val="20"/>
                <w:szCs w:val="20"/>
                <w:lang w:eastAsia="en-GB"/>
              </w:rPr>
            </w:pPr>
            <w:r w:rsidRPr="00170C3A">
              <w:rPr>
                <w:rFonts w:ascii="Arial" w:hAnsi="Arial" w:cs="Arial"/>
                <w:sz w:val="20"/>
                <w:szCs w:val="20"/>
                <w:lang w:eastAsia="en-GB"/>
              </w:rPr>
              <w:t xml:space="preserve">Funding was confirmed for Years 1 and 2, with a remaining balance retained for future priorities. </w:t>
            </w:r>
          </w:p>
          <w:p w:rsidRPr="00170C3A" w:rsidR="00170C3A" w:rsidP="00170C3A" w:rsidRDefault="00170C3A" w14:paraId="0239F55F" w14:textId="77777777">
            <w:pPr>
              <w:rPr>
                <w:rFonts w:ascii="Arial" w:hAnsi="Arial" w:cs="Arial"/>
                <w:sz w:val="20"/>
                <w:szCs w:val="20"/>
                <w:lang w:eastAsia="en-GB"/>
              </w:rPr>
            </w:pPr>
          </w:p>
          <w:p w:rsidRPr="00170C3A" w:rsidR="00FE749D" w:rsidP="00170C3A" w:rsidRDefault="009D1400" w14:paraId="5619704A" w14:textId="428289BB">
            <w:pPr>
              <w:rPr>
                <w:lang w:eastAsia="en-GB"/>
              </w:rPr>
            </w:pPr>
            <w:r w:rsidRPr="00170C3A">
              <w:rPr>
                <w:rFonts w:ascii="Arial" w:hAnsi="Arial" w:cs="Arial"/>
                <w:sz w:val="20"/>
                <w:szCs w:val="20"/>
                <w:lang w:eastAsia="en-GB"/>
              </w:rPr>
              <w:t>The group noted the update, welcomed the impact of the schemes, and supported continued joint working to refine the business continuity offer.</w:t>
            </w:r>
          </w:p>
        </w:tc>
        <w:tc>
          <w:tcPr>
            <w:tcW w:w="2501" w:type="dxa"/>
            <w:tcMar>
              <w:left w:w="105" w:type="dxa"/>
              <w:right w:w="105" w:type="dxa"/>
            </w:tcMar>
          </w:tcPr>
          <w:p w:rsidRPr="00170C3A" w:rsidR="00FE749D" w:rsidP="00FE749D" w:rsidRDefault="00FE749D" w14:paraId="0E413185" w14:textId="694FEE97">
            <w:pPr>
              <w:contextualSpacing/>
              <w:rPr>
                <w:rFonts w:ascii="Arial" w:hAnsi="Arial" w:eastAsia="Arial" w:cs="Arial"/>
                <w:sz w:val="20"/>
                <w:szCs w:val="20"/>
              </w:rPr>
            </w:pPr>
          </w:p>
        </w:tc>
      </w:tr>
    </w:tbl>
    <w:p w:rsidRPr="00170C3A" w:rsidR="00DE649C" w:rsidP="360C4CB1" w:rsidRDefault="00DE649C" w14:paraId="65F91971" w14:textId="5AC3FDBF">
      <w:pPr>
        <w:spacing w:after="0" w:line="240" w:lineRule="auto"/>
        <w:rPr>
          <w:rFonts w:ascii="Arial" w:hAnsi="Arial" w:eastAsia="Arial" w:cs="Arial"/>
          <w:color w:val="000000" w:themeColor="text1"/>
          <w:sz w:val="20"/>
          <w:szCs w:val="20"/>
        </w:rPr>
      </w:pPr>
    </w:p>
    <w:p w:rsidRPr="00170C3A" w:rsidR="00DE649C" w:rsidP="00251325" w:rsidRDefault="40471C97" w14:paraId="7FFEC21A" w14:textId="0DB5E83B">
      <w:pPr>
        <w:pStyle w:val="ListParagraph"/>
        <w:numPr>
          <w:ilvl w:val="0"/>
          <w:numId w:val="6"/>
        </w:numPr>
        <w:rPr>
          <w:rFonts w:eastAsia="Arial" w:cs="Arial"/>
          <w:color w:val="000000" w:themeColor="text1"/>
          <w:sz w:val="20"/>
          <w:szCs w:val="20"/>
        </w:rPr>
      </w:pPr>
      <w:r w:rsidRPr="00170C3A">
        <w:rPr>
          <w:rFonts w:eastAsia="Arial" w:cs="Arial"/>
          <w:b/>
          <w:color w:val="000000" w:themeColor="text1"/>
          <w:sz w:val="20"/>
          <w:szCs w:val="20"/>
          <w:lang w:val="en-US"/>
        </w:rPr>
        <w:t>Summary of items or issues referred to other committees or the Board over the reporting period.</w:t>
      </w:r>
    </w:p>
    <w:p w:rsidRPr="00170C3A" w:rsidR="00DE649C" w:rsidP="360C4CB1" w:rsidRDefault="00DE649C" w14:paraId="18F90775" w14:textId="35336753">
      <w:pPr>
        <w:spacing w:after="0" w:line="240" w:lineRule="auto"/>
        <w:rPr>
          <w:rFonts w:ascii="Arial" w:hAnsi="Arial" w:eastAsia="Arial" w:cs="Arial"/>
          <w:color w:val="000000" w:themeColor="text1"/>
          <w:sz w:val="20"/>
          <w:szCs w:val="20"/>
        </w:rPr>
      </w:pPr>
    </w:p>
    <w:tbl>
      <w:tblPr>
        <w:tblStyle w:val="TableGrid"/>
        <w:tblW w:w="0" w:type="auto"/>
        <w:tblInd w:w="-30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15"/>
        <w:gridCol w:w="4650"/>
        <w:gridCol w:w="2850"/>
      </w:tblGrid>
      <w:tr w:rsidRPr="00170C3A" w:rsidR="004979B4" w:rsidTr="7DD04102" w14:paraId="25BA042F" w14:textId="77777777">
        <w:trPr>
          <w:trHeight w:val="300"/>
        </w:trPr>
        <w:tc>
          <w:tcPr>
            <w:tcW w:w="2115" w:type="dxa"/>
            <w:shd w:val="clear" w:color="auto" w:fill="B2A1C7" w:themeFill="accent4" w:themeFillTint="99"/>
            <w:tcMar>
              <w:left w:w="105" w:type="dxa"/>
              <w:right w:w="105" w:type="dxa"/>
            </w:tcMar>
          </w:tcPr>
          <w:p w:rsidRPr="00170C3A" w:rsidR="360C4CB1" w:rsidP="360C4CB1" w:rsidRDefault="360C4CB1" w14:paraId="3D752294" w14:textId="43ABA902">
            <w:pPr>
              <w:contextualSpacing/>
              <w:rPr>
                <w:rFonts w:ascii="Arial" w:hAnsi="Arial" w:eastAsia="Arial" w:cs="Arial"/>
                <w:sz w:val="20"/>
                <w:szCs w:val="20"/>
              </w:rPr>
            </w:pPr>
            <w:r w:rsidRPr="00170C3A">
              <w:rPr>
                <w:rFonts w:ascii="Arial" w:hAnsi="Arial" w:eastAsia="Arial" w:cs="Arial"/>
                <w:b/>
                <w:sz w:val="20"/>
                <w:szCs w:val="20"/>
              </w:rPr>
              <w:t>Committee and Date</w:t>
            </w:r>
          </w:p>
        </w:tc>
        <w:tc>
          <w:tcPr>
            <w:tcW w:w="4650" w:type="dxa"/>
            <w:shd w:val="clear" w:color="auto" w:fill="B2A1C7" w:themeFill="accent4" w:themeFillTint="99"/>
            <w:tcMar>
              <w:left w:w="105" w:type="dxa"/>
              <w:right w:w="105" w:type="dxa"/>
            </w:tcMar>
          </w:tcPr>
          <w:p w:rsidRPr="00170C3A" w:rsidR="360C4CB1" w:rsidP="360C4CB1" w:rsidRDefault="360C4CB1" w14:paraId="0BA77647" w14:textId="6A0B6FD4">
            <w:pPr>
              <w:contextualSpacing/>
              <w:rPr>
                <w:rFonts w:ascii="Arial" w:hAnsi="Arial" w:eastAsia="Arial" w:cs="Arial"/>
                <w:sz w:val="20"/>
                <w:szCs w:val="20"/>
              </w:rPr>
            </w:pPr>
            <w:r w:rsidRPr="00170C3A">
              <w:rPr>
                <w:rFonts w:ascii="Arial" w:hAnsi="Arial" w:eastAsia="Arial" w:cs="Arial"/>
                <w:b/>
                <w:sz w:val="20"/>
                <w:szCs w:val="20"/>
              </w:rPr>
              <w:t>Item or Issue</w:t>
            </w:r>
          </w:p>
        </w:tc>
        <w:tc>
          <w:tcPr>
            <w:tcW w:w="2850" w:type="dxa"/>
            <w:shd w:val="clear" w:color="auto" w:fill="B2A1C7" w:themeFill="accent4" w:themeFillTint="99"/>
            <w:tcMar>
              <w:left w:w="105" w:type="dxa"/>
              <w:right w:w="105" w:type="dxa"/>
            </w:tcMar>
          </w:tcPr>
          <w:p w:rsidRPr="00170C3A" w:rsidR="360C4CB1" w:rsidP="360C4CB1" w:rsidRDefault="360C4CB1" w14:paraId="27FFD37C" w14:textId="7DB60021">
            <w:pPr>
              <w:contextualSpacing/>
              <w:rPr>
                <w:rFonts w:ascii="Arial" w:hAnsi="Arial" w:eastAsia="Arial" w:cs="Arial"/>
                <w:sz w:val="20"/>
                <w:szCs w:val="20"/>
              </w:rPr>
            </w:pPr>
            <w:r w:rsidRPr="00170C3A">
              <w:rPr>
                <w:rFonts w:ascii="Arial" w:hAnsi="Arial" w:eastAsia="Arial" w:cs="Arial"/>
                <w:b/>
                <w:sz w:val="20"/>
                <w:szCs w:val="20"/>
              </w:rPr>
              <w:t>Referred to</w:t>
            </w:r>
          </w:p>
        </w:tc>
      </w:tr>
      <w:tr w:rsidRPr="00170C3A" w:rsidR="004979B4" w:rsidTr="7DD04102" w14:paraId="4C5BA2BA" w14:textId="77777777">
        <w:trPr>
          <w:trHeight w:val="300"/>
        </w:trPr>
        <w:tc>
          <w:tcPr>
            <w:tcW w:w="2115" w:type="dxa"/>
            <w:shd w:val="clear" w:color="auto" w:fill="FFFFFF" w:themeFill="background1"/>
            <w:tcMar>
              <w:left w:w="105" w:type="dxa"/>
              <w:right w:w="105" w:type="dxa"/>
            </w:tcMar>
          </w:tcPr>
          <w:p w:rsidRPr="00170C3A" w:rsidR="00B74E6D" w:rsidP="360C4CB1" w:rsidRDefault="00651A04" w14:paraId="231DCF93" w14:textId="1249091F">
            <w:pPr>
              <w:contextualSpacing/>
              <w:rPr>
                <w:rFonts w:ascii="Arial" w:hAnsi="Arial" w:eastAsia="Arial" w:cs="Arial"/>
                <w:sz w:val="20"/>
                <w:szCs w:val="20"/>
              </w:rPr>
            </w:pPr>
            <w:r w:rsidRPr="00170C3A">
              <w:rPr>
                <w:rFonts w:ascii="Arial" w:hAnsi="Arial" w:eastAsia="Arial" w:cs="Arial"/>
                <w:sz w:val="20"/>
                <w:szCs w:val="20"/>
              </w:rPr>
              <w:t>Primary Medical Services Group</w:t>
            </w:r>
          </w:p>
        </w:tc>
        <w:tc>
          <w:tcPr>
            <w:tcW w:w="4650" w:type="dxa"/>
            <w:shd w:val="clear" w:color="auto" w:fill="FFFFFF" w:themeFill="background1"/>
            <w:tcMar>
              <w:left w:w="105" w:type="dxa"/>
              <w:right w:w="105" w:type="dxa"/>
            </w:tcMar>
          </w:tcPr>
          <w:p w:rsidRPr="00170C3A" w:rsidR="360C4CB1" w:rsidP="360C4CB1" w:rsidRDefault="00651A04" w14:paraId="1EB00284" w14:textId="04128FDA">
            <w:pPr>
              <w:rPr>
                <w:rFonts w:ascii="Arial" w:hAnsi="Arial" w:cs="Arial"/>
                <w:sz w:val="20"/>
                <w:szCs w:val="20"/>
              </w:rPr>
            </w:pPr>
            <w:r w:rsidRPr="00170C3A">
              <w:rPr>
                <w:rFonts w:ascii="Arial" w:hAnsi="Arial" w:eastAsia="Arial" w:cs="Arial"/>
                <w:sz w:val="20"/>
                <w:szCs w:val="20"/>
              </w:rPr>
              <w:t>Haverthwaite Surgery – Premises Relocation Update Briefing Paper</w:t>
            </w:r>
          </w:p>
        </w:tc>
        <w:tc>
          <w:tcPr>
            <w:tcW w:w="2850" w:type="dxa"/>
            <w:shd w:val="clear" w:color="auto" w:fill="FFFFFF" w:themeFill="background1"/>
            <w:tcMar>
              <w:left w:w="105" w:type="dxa"/>
              <w:right w:w="105" w:type="dxa"/>
            </w:tcMar>
          </w:tcPr>
          <w:p w:rsidRPr="00170C3A" w:rsidR="360C4CB1" w:rsidP="7DD04102" w:rsidRDefault="00651A04" w14:paraId="00777DDF" w14:textId="77777777">
            <w:pPr>
              <w:contextualSpacing/>
              <w:rPr>
                <w:rFonts w:ascii="Arial" w:hAnsi="Arial" w:eastAsia="Arial" w:cs="Arial"/>
                <w:sz w:val="20"/>
                <w:szCs w:val="20"/>
              </w:rPr>
            </w:pPr>
            <w:r w:rsidRPr="00170C3A">
              <w:rPr>
                <w:rFonts w:ascii="Arial" w:hAnsi="Arial" w:eastAsia="Arial" w:cs="Arial"/>
                <w:sz w:val="20"/>
                <w:szCs w:val="20"/>
              </w:rPr>
              <w:t xml:space="preserve">Primary Care Contracting Committee </w:t>
            </w:r>
          </w:p>
          <w:p w:rsidRPr="00170C3A" w:rsidR="00651A04" w:rsidP="7DD04102" w:rsidRDefault="00651A04" w14:paraId="1913331F" w14:textId="51232E3A">
            <w:pPr>
              <w:contextualSpacing/>
              <w:rPr>
                <w:rFonts w:ascii="Arial" w:hAnsi="Arial" w:eastAsia="Arial" w:cs="Arial"/>
                <w:sz w:val="20"/>
                <w:szCs w:val="20"/>
              </w:rPr>
            </w:pPr>
            <w:r w:rsidRPr="00170C3A">
              <w:rPr>
                <w:rFonts w:ascii="Arial" w:hAnsi="Arial" w:eastAsia="Arial" w:cs="Arial"/>
                <w:sz w:val="20"/>
                <w:szCs w:val="20"/>
              </w:rPr>
              <w:t>May 2026</w:t>
            </w:r>
          </w:p>
        </w:tc>
      </w:tr>
    </w:tbl>
    <w:p w:rsidRPr="00170C3A" w:rsidR="00DE649C" w:rsidP="360C4CB1" w:rsidRDefault="00DE649C" w14:paraId="6E38FAE6" w14:textId="5F9A52FA">
      <w:pPr>
        <w:rPr>
          <w:rFonts w:ascii="Arial" w:hAnsi="Arial" w:eastAsia="Arial" w:cs="Arial"/>
          <w:color w:val="000000" w:themeColor="text1"/>
          <w:sz w:val="20"/>
          <w:szCs w:val="20"/>
        </w:rPr>
      </w:pPr>
    </w:p>
    <w:p w:rsidRPr="00170C3A" w:rsidR="00616BBC" w:rsidP="360C4CB1" w:rsidRDefault="00616BBC" w14:paraId="2B143298" w14:textId="77777777">
      <w:pPr>
        <w:rPr>
          <w:rFonts w:ascii="Arial" w:hAnsi="Arial" w:eastAsia="Arial" w:cs="Arial"/>
          <w:color w:val="000000" w:themeColor="text1"/>
          <w:sz w:val="20"/>
          <w:szCs w:val="20"/>
        </w:rPr>
      </w:pPr>
    </w:p>
    <w:p w:rsidRPr="00170C3A" w:rsidR="00616BBC" w:rsidP="360C4CB1" w:rsidRDefault="00616BBC" w14:paraId="47CBF13A" w14:textId="77777777">
      <w:pPr>
        <w:rPr>
          <w:rFonts w:ascii="Arial" w:hAnsi="Arial" w:eastAsia="Arial" w:cs="Arial"/>
          <w:color w:val="000000" w:themeColor="text1"/>
          <w:sz w:val="20"/>
          <w:szCs w:val="20"/>
        </w:rPr>
      </w:pPr>
    </w:p>
    <w:p w:rsidRPr="00170C3A" w:rsidR="287D9140" w:rsidP="287D9140" w:rsidRDefault="287D9140" w14:paraId="2A57F5A8" w14:textId="4BC1CC7C">
      <w:pPr>
        <w:rPr>
          <w:rFonts w:ascii="Arial" w:hAnsi="Arial" w:eastAsia="Arial" w:cs="Arial"/>
          <w:color w:val="000000" w:themeColor="text1"/>
          <w:sz w:val="20"/>
          <w:szCs w:val="20"/>
        </w:rPr>
      </w:pPr>
    </w:p>
    <w:p w:rsidRPr="00170C3A" w:rsidR="00616BBC" w:rsidP="360C4CB1" w:rsidRDefault="00616BBC" w14:paraId="4D357230" w14:textId="77777777">
      <w:pPr>
        <w:rPr>
          <w:rFonts w:ascii="Arial" w:hAnsi="Arial" w:eastAsia="Arial" w:cs="Arial"/>
          <w:color w:val="000000" w:themeColor="text1"/>
          <w:sz w:val="20"/>
          <w:szCs w:val="20"/>
        </w:rPr>
      </w:pPr>
    </w:p>
    <w:tbl>
      <w:tblPr>
        <w:tblStyle w:val="TableGrid"/>
        <w:tblW w:w="9615" w:type="dxa"/>
        <w:tblInd w:w="-30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815"/>
        <w:gridCol w:w="1830"/>
        <w:gridCol w:w="2970"/>
      </w:tblGrid>
      <w:tr w:rsidRPr="00170C3A" w:rsidR="000C3354" w:rsidTr="000271DE" w14:paraId="1EEA5876" w14:textId="77777777">
        <w:trPr>
          <w:trHeight w:val="300"/>
        </w:trPr>
        <w:tc>
          <w:tcPr>
            <w:tcW w:w="4815"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360C4CB1" w:rsidP="360C4CB1" w:rsidRDefault="360C4CB1" w14:paraId="0D9FB977" w14:textId="6D8F7E1B">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Committee: Primary Care Dental Services Group</w:t>
            </w:r>
          </w:p>
        </w:tc>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360C4CB1" w:rsidP="360C4CB1" w:rsidRDefault="360C4CB1" w14:paraId="4D48899D" w14:textId="6FE20D68">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Date:</w:t>
            </w:r>
            <w:r w:rsidRPr="00170C3A" w:rsidR="00982005">
              <w:rPr>
                <w:rFonts w:ascii="Arial" w:hAnsi="Arial" w:eastAsia="Arial" w:cs="Arial"/>
                <w:color w:val="808080" w:themeColor="background1" w:themeShade="80"/>
                <w:sz w:val="20"/>
                <w:szCs w:val="20"/>
                <w:lang w:val="en-US"/>
              </w:rPr>
              <w:t xml:space="preserve"> </w:t>
            </w:r>
            <w:r w:rsidRPr="00170C3A" w:rsidR="00C95055">
              <w:rPr>
                <w:rFonts w:ascii="Arial" w:hAnsi="Arial" w:eastAsia="Arial" w:cs="Arial"/>
                <w:color w:val="808080" w:themeColor="background1" w:themeShade="80"/>
                <w:sz w:val="20"/>
                <w:szCs w:val="20"/>
                <w:lang w:val="en-US"/>
              </w:rPr>
              <w:t>1</w:t>
            </w:r>
            <w:r w:rsidR="006F0457">
              <w:rPr>
                <w:rFonts w:ascii="Arial" w:hAnsi="Arial" w:eastAsia="Arial" w:cs="Arial"/>
                <w:color w:val="808080" w:themeColor="background1" w:themeShade="80"/>
                <w:sz w:val="20"/>
                <w:szCs w:val="20"/>
                <w:lang w:val="en-US"/>
              </w:rPr>
              <w:t>6</w:t>
            </w:r>
            <w:r w:rsidRPr="00170C3A" w:rsidR="00C95055">
              <w:rPr>
                <w:rFonts w:ascii="Arial" w:hAnsi="Arial" w:eastAsia="Arial" w:cs="Arial"/>
                <w:color w:val="808080" w:themeColor="background1" w:themeShade="80"/>
                <w:sz w:val="20"/>
                <w:szCs w:val="20"/>
                <w:vertAlign w:val="superscript"/>
                <w:lang w:val="en-US"/>
              </w:rPr>
              <w:t>th</w:t>
            </w:r>
            <w:r w:rsidRPr="00170C3A" w:rsidR="00C95055">
              <w:rPr>
                <w:rFonts w:ascii="Arial" w:hAnsi="Arial" w:eastAsia="Arial" w:cs="Arial"/>
                <w:color w:val="808080" w:themeColor="background1" w:themeShade="80"/>
                <w:sz w:val="20"/>
                <w:szCs w:val="20"/>
                <w:lang w:val="en-US"/>
              </w:rPr>
              <w:t xml:space="preserve"> </w:t>
            </w:r>
            <w:r w:rsidR="006F0457">
              <w:rPr>
                <w:rFonts w:ascii="Arial" w:hAnsi="Arial" w:eastAsia="Arial" w:cs="Arial"/>
                <w:color w:val="808080" w:themeColor="background1" w:themeShade="80"/>
                <w:sz w:val="20"/>
                <w:szCs w:val="20"/>
                <w:lang w:val="en-US"/>
              </w:rPr>
              <w:t>April</w:t>
            </w:r>
            <w:r w:rsidRPr="00170C3A" w:rsidR="00C95055">
              <w:rPr>
                <w:rFonts w:ascii="Arial" w:hAnsi="Arial" w:eastAsia="Arial" w:cs="Arial"/>
                <w:color w:val="808080" w:themeColor="background1" w:themeShade="80"/>
                <w:sz w:val="20"/>
                <w:szCs w:val="20"/>
                <w:lang w:val="en-US"/>
              </w:rPr>
              <w:t xml:space="preserve"> 2026</w:t>
            </w:r>
          </w:p>
        </w:tc>
        <w:tc>
          <w:tcPr>
            <w:tcW w:w="2970"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360C4CB1" w:rsidP="360C4CB1" w:rsidRDefault="360C4CB1" w14:paraId="535CCC96" w14:textId="6C047842">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 xml:space="preserve">Chair: </w:t>
            </w:r>
            <w:r w:rsidR="006F0457">
              <w:rPr>
                <w:rFonts w:ascii="Arial" w:hAnsi="Arial" w:eastAsia="Arial" w:cs="Arial"/>
                <w:color w:val="808080" w:themeColor="background1" w:themeShade="80"/>
                <w:sz w:val="20"/>
                <w:szCs w:val="20"/>
                <w:lang w:val="en-US"/>
              </w:rPr>
              <w:t>Amy Lepiorz</w:t>
            </w:r>
          </w:p>
        </w:tc>
      </w:tr>
    </w:tbl>
    <w:p w:rsidRPr="00170C3A" w:rsidR="00DE649C" w:rsidP="360C4CB1" w:rsidRDefault="00DE649C" w14:paraId="22272E94" w14:textId="42865A50">
      <w:pPr>
        <w:spacing w:after="0" w:line="240" w:lineRule="auto"/>
        <w:ind w:left="1440"/>
        <w:contextualSpacing/>
        <w:rPr>
          <w:rFonts w:ascii="Arial" w:hAnsi="Arial" w:eastAsia="Arial" w:cs="Arial"/>
          <w:color w:val="000000" w:themeColor="text1"/>
          <w:sz w:val="20"/>
          <w:szCs w:val="20"/>
        </w:rPr>
      </w:pPr>
    </w:p>
    <w:tbl>
      <w:tblPr>
        <w:tblStyle w:val="TableGrid"/>
        <w:tblW w:w="9597" w:type="dxa"/>
        <w:tblInd w:w="-300" w:type="dxa"/>
        <w:tblBorders>
          <w:top w:val="single" w:color="auto" w:sz="6" w:space="0"/>
          <w:left w:val="single" w:color="auto" w:sz="6" w:space="0"/>
          <w:bottom w:val="single" w:color="auto" w:sz="6" w:space="0"/>
          <w:right w:val="single" w:color="auto" w:sz="6" w:space="0"/>
        </w:tblBorders>
        <w:tblLayout w:type="fixed"/>
        <w:tblLook w:val="0480" w:firstRow="0" w:lastRow="0" w:firstColumn="1" w:lastColumn="0" w:noHBand="0" w:noVBand="1"/>
      </w:tblPr>
      <w:tblGrid>
        <w:gridCol w:w="2702"/>
        <w:gridCol w:w="4394"/>
        <w:gridCol w:w="2501"/>
      </w:tblGrid>
      <w:tr w:rsidRPr="00170C3A" w:rsidR="004979B4" w:rsidTr="7DD04102" w14:paraId="36F4BB92" w14:textId="77777777">
        <w:trPr>
          <w:trHeight w:val="300"/>
        </w:trPr>
        <w:tc>
          <w:tcPr>
            <w:tcW w:w="9597" w:type="dxa"/>
            <w:gridSpan w:val="3"/>
            <w:tcBorders>
              <w:top w:val="single" w:color="auto" w:sz="6" w:space="0"/>
              <w:left w:val="single" w:color="auto" w:sz="6" w:space="0"/>
              <w:bottom w:val="single" w:color="auto" w:sz="6" w:space="0"/>
              <w:right w:val="single" w:color="auto" w:sz="6" w:space="0"/>
            </w:tcBorders>
            <w:shd w:val="clear" w:color="auto" w:fill="0070C0"/>
            <w:tcMar>
              <w:left w:w="105" w:type="dxa"/>
              <w:right w:w="105" w:type="dxa"/>
            </w:tcMar>
            <w:vAlign w:val="center"/>
          </w:tcPr>
          <w:p w:rsidRPr="00170C3A" w:rsidR="360C4CB1" w:rsidP="360C4CB1" w:rsidRDefault="360C4CB1" w14:paraId="40460945" w14:textId="65157E6B">
            <w:pPr>
              <w:spacing w:after="255"/>
              <w:contextualSpacing/>
              <w:rPr>
                <w:rFonts w:ascii="Arial" w:hAnsi="Arial" w:eastAsia="Arial" w:cs="Arial"/>
                <w:color w:val="FFFFFF" w:themeColor="background1"/>
                <w:sz w:val="20"/>
                <w:szCs w:val="20"/>
              </w:rPr>
            </w:pPr>
            <w:r w:rsidRPr="00170C3A">
              <w:rPr>
                <w:rFonts w:ascii="Arial" w:hAnsi="Arial" w:eastAsia="Arial" w:cs="Arial"/>
                <w:b/>
                <w:smallCaps/>
                <w:color w:val="FFFFFF" w:themeColor="background1"/>
                <w:sz w:val="20"/>
                <w:szCs w:val="20"/>
              </w:rPr>
              <w:t>K</w:t>
            </w:r>
            <w:r w:rsidRPr="00170C3A">
              <w:rPr>
                <w:rFonts w:ascii="Arial" w:hAnsi="Arial" w:eastAsia="Arial" w:cs="Arial"/>
                <w:b/>
                <w:color w:val="FFFFFF" w:themeColor="background1"/>
                <w:sz w:val="20"/>
                <w:szCs w:val="20"/>
              </w:rPr>
              <w:t>ey Items Discussed</w:t>
            </w:r>
          </w:p>
        </w:tc>
      </w:tr>
      <w:tr w:rsidRPr="00170C3A" w:rsidR="004979B4" w:rsidTr="7DD04102" w14:paraId="317FCE8A" w14:textId="77777777">
        <w:trPr>
          <w:trHeight w:val="300"/>
        </w:trPr>
        <w:tc>
          <w:tcPr>
            <w:tcW w:w="2702"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360C4CB1" w:rsidP="360C4CB1" w:rsidRDefault="360C4CB1" w14:paraId="441D69CD" w14:textId="1AAA2A43">
            <w:pPr>
              <w:spacing w:after="255"/>
              <w:contextualSpacing/>
              <w:rPr>
                <w:rFonts w:ascii="Arial" w:hAnsi="Arial" w:eastAsia="Arial" w:cs="Arial"/>
                <w:sz w:val="20"/>
                <w:szCs w:val="20"/>
              </w:rPr>
            </w:pPr>
            <w:r w:rsidRPr="00170C3A">
              <w:rPr>
                <w:rFonts w:ascii="Arial" w:hAnsi="Arial" w:eastAsia="Arial" w:cs="Arial"/>
                <w:b/>
                <w:sz w:val="20"/>
                <w:szCs w:val="20"/>
              </w:rPr>
              <w:t>Issue</w:t>
            </w:r>
          </w:p>
        </w:tc>
        <w:tc>
          <w:tcPr>
            <w:tcW w:w="4394"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360C4CB1" w:rsidP="360C4CB1" w:rsidRDefault="360C4CB1" w14:paraId="4A73E5CB" w14:textId="4C54E144">
            <w:pPr>
              <w:spacing w:after="255"/>
              <w:contextualSpacing/>
              <w:rPr>
                <w:rFonts w:ascii="Arial" w:hAnsi="Arial" w:eastAsia="Arial" w:cs="Arial"/>
                <w:sz w:val="20"/>
                <w:szCs w:val="20"/>
              </w:rPr>
            </w:pPr>
            <w:r w:rsidRPr="00170C3A">
              <w:rPr>
                <w:rFonts w:ascii="Arial" w:hAnsi="Arial" w:eastAsia="Arial" w:cs="Arial"/>
                <w:b/>
                <w:sz w:val="20"/>
                <w:szCs w:val="20"/>
              </w:rPr>
              <w:t>Committee Update</w:t>
            </w:r>
          </w:p>
        </w:tc>
        <w:tc>
          <w:tcPr>
            <w:tcW w:w="2501"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360C4CB1" w:rsidP="360C4CB1" w:rsidRDefault="360C4CB1" w14:paraId="7A542AD4" w14:textId="5D495A69">
            <w:pPr>
              <w:spacing w:after="255"/>
              <w:contextualSpacing/>
              <w:rPr>
                <w:rFonts w:ascii="Arial" w:hAnsi="Arial" w:eastAsia="Arial" w:cs="Arial"/>
                <w:sz w:val="20"/>
                <w:szCs w:val="20"/>
              </w:rPr>
            </w:pPr>
            <w:r w:rsidRPr="00170C3A">
              <w:rPr>
                <w:rFonts w:ascii="Arial" w:hAnsi="Arial" w:eastAsia="Arial" w:cs="Arial"/>
                <w:b/>
                <w:sz w:val="20"/>
                <w:szCs w:val="20"/>
              </w:rPr>
              <w:t>Action</w:t>
            </w:r>
          </w:p>
        </w:tc>
      </w:tr>
      <w:tr w:rsidRPr="00170C3A" w:rsidR="000C3354" w:rsidTr="7DD04102" w14:paraId="557DF0A6" w14:textId="77777777">
        <w:trPr>
          <w:trHeight w:val="300"/>
        </w:trPr>
        <w:tc>
          <w:tcPr>
            <w:tcW w:w="9597" w:type="dxa"/>
            <w:gridSpan w:val="3"/>
            <w:tcBorders>
              <w:top w:val="single" w:color="auto" w:sz="6" w:space="0"/>
              <w:left w:val="single" w:color="auto" w:sz="6" w:space="0"/>
              <w:bottom w:val="single" w:color="auto" w:sz="6" w:space="0"/>
              <w:right w:val="single" w:color="auto" w:sz="6" w:space="0"/>
            </w:tcBorders>
            <w:shd w:val="clear" w:color="auto" w:fill="FF5050"/>
            <w:tcMar>
              <w:left w:w="105" w:type="dxa"/>
              <w:right w:w="105" w:type="dxa"/>
            </w:tcMar>
          </w:tcPr>
          <w:p w:rsidRPr="00170C3A" w:rsidR="360C4CB1" w:rsidP="360C4CB1" w:rsidRDefault="360C4CB1" w14:paraId="1A95A818" w14:textId="29A7708D">
            <w:pPr>
              <w:spacing w:after="255"/>
              <w:contextualSpacing/>
              <w:rPr>
                <w:rFonts w:ascii="Arial" w:hAnsi="Arial" w:eastAsia="Arial" w:cs="Arial"/>
                <w:color w:val="FFFFFF" w:themeColor="background1"/>
                <w:sz w:val="20"/>
                <w:szCs w:val="20"/>
              </w:rPr>
            </w:pPr>
            <w:r w:rsidRPr="00170C3A">
              <w:rPr>
                <w:rFonts w:ascii="Arial" w:hAnsi="Arial" w:eastAsia="Arial" w:cs="Arial"/>
                <w:b/>
                <w:color w:val="FFFFFF" w:themeColor="background1"/>
                <w:sz w:val="20"/>
                <w:szCs w:val="20"/>
              </w:rPr>
              <w:t xml:space="preserve">Alert </w:t>
            </w:r>
          </w:p>
        </w:tc>
      </w:tr>
      <w:tr w:rsidRPr="00170C3A" w:rsidR="000C3354" w:rsidTr="7DD04102" w14:paraId="0DC86FD4"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360C4CB1" w:rsidP="360C4CB1" w:rsidRDefault="360C4CB1" w14:paraId="677E2C35" w14:textId="5DD1544B">
            <w:pPr>
              <w:spacing w:after="255"/>
              <w:contextualSpacing/>
              <w:rPr>
                <w:rFonts w:ascii="Arial" w:hAnsi="Arial" w:eastAsia="Arial" w:cs="Arial"/>
                <w:sz w:val="20"/>
                <w:szCs w:val="20"/>
              </w:rPr>
            </w:pP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360C4CB1" w:rsidP="003A44DD" w:rsidRDefault="00A62347" w14:paraId="24BE4859" w14:textId="1393095A">
            <w:pPr>
              <w:spacing w:after="255"/>
              <w:contextualSpacing/>
              <w:jc w:val="center"/>
              <w:rPr>
                <w:rFonts w:ascii="Arial" w:hAnsi="Arial" w:eastAsia="Arial" w:cs="Arial"/>
                <w:b/>
                <w:sz w:val="20"/>
                <w:szCs w:val="20"/>
              </w:rPr>
            </w:pPr>
            <w:r w:rsidRPr="00170C3A">
              <w:rPr>
                <w:rFonts w:ascii="Arial" w:hAnsi="Arial" w:eastAsia="Arial" w:cs="Arial"/>
                <w:b/>
                <w:sz w:val="20"/>
                <w:szCs w:val="20"/>
              </w:rPr>
              <w:t>Nothing to Escalate</w:t>
            </w: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360C4CB1" w:rsidP="360C4CB1" w:rsidRDefault="360C4CB1" w14:paraId="5EA4C008" w14:textId="708771C4">
            <w:pPr>
              <w:spacing w:after="255"/>
              <w:contextualSpacing/>
              <w:rPr>
                <w:rFonts w:ascii="Arial" w:hAnsi="Arial" w:eastAsia="Arial" w:cs="Arial"/>
                <w:sz w:val="20"/>
                <w:szCs w:val="20"/>
              </w:rPr>
            </w:pPr>
          </w:p>
        </w:tc>
      </w:tr>
      <w:tr w:rsidRPr="00170C3A" w:rsidR="000C3354" w:rsidTr="7DD04102" w14:paraId="061A10BE" w14:textId="77777777">
        <w:trPr>
          <w:trHeight w:val="300"/>
        </w:trPr>
        <w:tc>
          <w:tcPr>
            <w:tcW w:w="9597" w:type="dxa"/>
            <w:gridSpan w:val="3"/>
            <w:tcBorders>
              <w:top w:val="single" w:color="auto" w:sz="6" w:space="0"/>
              <w:left w:val="single" w:color="auto" w:sz="6" w:space="0"/>
              <w:bottom w:val="single" w:color="auto" w:sz="6" w:space="0"/>
              <w:right w:val="single" w:color="auto" w:sz="6" w:space="0"/>
            </w:tcBorders>
            <w:shd w:val="clear" w:color="auto" w:fill="FFC000"/>
            <w:tcMar>
              <w:left w:w="105" w:type="dxa"/>
              <w:right w:w="105" w:type="dxa"/>
            </w:tcMar>
          </w:tcPr>
          <w:p w:rsidRPr="00170C3A" w:rsidR="360C4CB1" w:rsidP="360C4CB1" w:rsidRDefault="360C4CB1" w14:paraId="1DB91260" w14:textId="78B9F622">
            <w:pPr>
              <w:spacing w:after="255"/>
              <w:contextualSpacing/>
              <w:rPr>
                <w:rFonts w:ascii="Arial" w:hAnsi="Arial" w:eastAsia="Arial" w:cs="Arial"/>
                <w:color w:val="000000" w:themeColor="text1"/>
                <w:sz w:val="20"/>
                <w:szCs w:val="20"/>
              </w:rPr>
            </w:pPr>
            <w:r w:rsidRPr="00170C3A">
              <w:rPr>
                <w:rFonts w:ascii="Arial" w:hAnsi="Arial" w:eastAsia="Arial" w:cs="Arial"/>
                <w:b/>
                <w:color w:val="000000" w:themeColor="text1"/>
                <w:sz w:val="20"/>
                <w:szCs w:val="20"/>
              </w:rPr>
              <w:t xml:space="preserve">Advise </w:t>
            </w:r>
          </w:p>
        </w:tc>
      </w:tr>
      <w:tr w:rsidRPr="00170C3A" w:rsidR="006D057D" w:rsidTr="7DD04102" w14:paraId="4B11BD7C"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900CF7" w:rsidR="0055345E" w:rsidP="0055345E" w:rsidRDefault="0055345E" w14:paraId="47E69C19" w14:textId="77777777">
            <w:pPr>
              <w:pStyle w:val="Numberlist"/>
              <w:widowControl w:val="0"/>
              <w:numPr>
                <w:ilvl w:val="0"/>
                <w:numId w:val="0"/>
              </w:numPr>
              <w:spacing w:after="0" w:line="240" w:lineRule="auto"/>
              <w:rPr>
                <w:rFonts w:eastAsiaTheme="minorEastAsia"/>
                <w:color w:val="000000" w:themeColor="text1"/>
                <w:kern w:val="24"/>
                <w:sz w:val="20"/>
                <w:szCs w:val="20"/>
              </w:rPr>
            </w:pPr>
            <w:r w:rsidRPr="00900CF7">
              <w:rPr>
                <w:color w:val="000000"/>
                <w:sz w:val="20"/>
                <w:szCs w:val="20"/>
              </w:rPr>
              <w:t>Genix Morecambe- PDS to GDS Conversion</w:t>
            </w:r>
          </w:p>
          <w:p w:rsidRPr="00170C3A" w:rsidR="006D057D" w:rsidP="006D057D" w:rsidRDefault="006D057D" w14:paraId="1CF726AD" w14:textId="408DDC94">
            <w:pPr>
              <w:rPr>
                <w:rFonts w:ascii="Arial" w:hAnsi="Arial" w:eastAsia="Arial" w:cs="Arial"/>
                <w:color w:val="000000" w:themeColor="text1"/>
                <w:sz w:val="20"/>
                <w:szCs w:val="20"/>
              </w:rPr>
            </w:pP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00F35925" w:rsidP="00F35925" w:rsidRDefault="00F35925" w14:paraId="4F5D1771" w14:textId="77777777">
            <w:pPr>
              <w:tabs>
                <w:tab w:val="left" w:pos="565"/>
              </w:tabs>
              <w:rPr>
                <w:rFonts w:ascii="Arial" w:hAnsi="Arial" w:cs="Arial"/>
                <w:sz w:val="20"/>
                <w:szCs w:val="20"/>
              </w:rPr>
            </w:pPr>
            <w:r w:rsidRPr="00443B02">
              <w:rPr>
                <w:rFonts w:ascii="Arial" w:hAnsi="Arial" w:eastAsia="Times New Roman" w:cs="Arial"/>
                <w:sz w:val="20"/>
                <w:szCs w:val="20"/>
                <w:lang w:eastAsia="en-GB"/>
              </w:rPr>
              <w:t xml:space="preserve">A report was presented to advise that </w:t>
            </w:r>
            <w:r w:rsidRPr="00443B02">
              <w:rPr>
                <w:rFonts w:ascii="Arial" w:hAnsi="Arial" w:cs="Arial"/>
                <w:sz w:val="20"/>
                <w:szCs w:val="20"/>
              </w:rPr>
              <w:t xml:space="preserve">Genix Health Care Limited has formally exercised its contractual right to convert its Morecambe practice from a time-limited Personal Dental Services (PDS) Agreement to a General Dental Services (GDS) Contract, effective from 1 September 2026. </w:t>
            </w:r>
          </w:p>
          <w:p w:rsidRPr="00443B02" w:rsidR="00032384" w:rsidP="00F35925" w:rsidRDefault="00032384" w14:paraId="5900BDF0" w14:textId="77777777">
            <w:pPr>
              <w:tabs>
                <w:tab w:val="left" w:pos="565"/>
              </w:tabs>
              <w:rPr>
                <w:rFonts w:ascii="Arial" w:hAnsi="Arial" w:cs="Arial"/>
                <w:sz w:val="20"/>
                <w:szCs w:val="20"/>
              </w:rPr>
            </w:pPr>
          </w:p>
          <w:p w:rsidR="00F35925" w:rsidP="00F35925" w:rsidRDefault="00F35925" w14:paraId="41591E92" w14:textId="77777777">
            <w:pPr>
              <w:tabs>
                <w:tab w:val="left" w:pos="565"/>
              </w:tabs>
              <w:rPr>
                <w:rFonts w:ascii="Arial" w:hAnsi="Arial" w:cs="Arial"/>
                <w:sz w:val="20"/>
                <w:szCs w:val="20"/>
              </w:rPr>
            </w:pPr>
            <w:r w:rsidRPr="00443B02">
              <w:rPr>
                <w:rFonts w:ascii="Arial" w:hAnsi="Arial" w:cs="Arial"/>
                <w:sz w:val="20"/>
                <w:szCs w:val="20"/>
              </w:rPr>
              <w:t>This request has been considered in line with Regulation 21 of the PDS Regulations and the NHS England Policy Book for Primary Dental Services.</w:t>
            </w:r>
          </w:p>
          <w:p w:rsidRPr="00443B02" w:rsidR="00032384" w:rsidP="00F35925" w:rsidRDefault="00032384" w14:paraId="2A6BD609" w14:textId="77777777">
            <w:pPr>
              <w:tabs>
                <w:tab w:val="left" w:pos="565"/>
              </w:tabs>
              <w:rPr>
                <w:rFonts w:ascii="Arial" w:hAnsi="Arial" w:cs="Arial"/>
                <w:sz w:val="20"/>
                <w:szCs w:val="20"/>
              </w:rPr>
            </w:pPr>
          </w:p>
          <w:p w:rsidR="00F35925" w:rsidP="00F35925" w:rsidRDefault="00F35925" w14:paraId="12F69CAF" w14:textId="77777777">
            <w:pPr>
              <w:tabs>
                <w:tab w:val="left" w:pos="565"/>
              </w:tabs>
              <w:rPr>
                <w:rFonts w:ascii="Arial" w:hAnsi="Arial" w:cs="Arial"/>
                <w:sz w:val="20"/>
                <w:szCs w:val="20"/>
              </w:rPr>
            </w:pPr>
            <w:r w:rsidRPr="00443B02">
              <w:rPr>
                <w:rFonts w:ascii="Arial" w:hAnsi="Arial" w:cs="Arial"/>
                <w:sz w:val="20"/>
                <w:szCs w:val="20"/>
              </w:rPr>
              <w:t xml:space="preserve">The ICB Dental Team has completed a comprehensive internal review of both elements of the contract: Routine Mandatory Services and the Enhanced Training Practice (ETP). Performance data demonstrate good delivery of mandatory services, with consistently high UDA achievement and a contract value that represents value for money when benchmarked against local and ICB averages. </w:t>
            </w:r>
          </w:p>
          <w:p w:rsidRPr="00443B02" w:rsidR="000F549F" w:rsidP="00F35925" w:rsidRDefault="000F549F" w14:paraId="73B69243" w14:textId="77777777">
            <w:pPr>
              <w:tabs>
                <w:tab w:val="left" w:pos="565"/>
              </w:tabs>
              <w:rPr>
                <w:rFonts w:ascii="Arial" w:hAnsi="Arial" w:cs="Arial"/>
                <w:sz w:val="20"/>
                <w:szCs w:val="20"/>
              </w:rPr>
            </w:pPr>
          </w:p>
          <w:p w:rsidRPr="00443B02" w:rsidR="006D057D" w:rsidP="00F35925" w:rsidRDefault="00F35925" w14:paraId="5093779D" w14:textId="19E5B0A8">
            <w:pPr>
              <w:widowControl w:val="0"/>
              <w:rPr>
                <w:rFonts w:ascii="Arial" w:hAnsi="Arial" w:eastAsia="Arial" w:cs="Arial"/>
                <w:b/>
                <w:sz w:val="20"/>
                <w:szCs w:val="20"/>
              </w:rPr>
            </w:pPr>
            <w:r w:rsidRPr="00443B02">
              <w:rPr>
                <w:rFonts w:ascii="Arial" w:hAnsi="Arial" w:eastAsia="Times New Roman" w:cs="Arial"/>
                <w:sz w:val="20"/>
                <w:szCs w:val="20"/>
                <w:lang w:eastAsia="en-GB"/>
              </w:rPr>
              <w:t>The group approved the providers request to exercise their right to convert from a PDS to GDS contract.</w:t>
            </w: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443B02" w:rsidR="006D057D" w:rsidP="006D057D" w:rsidRDefault="001B0B8C" w14:paraId="4460A7CA" w14:textId="67B97E1B">
            <w:pPr>
              <w:spacing w:after="255"/>
              <w:rPr>
                <w:rFonts w:ascii="Arial" w:hAnsi="Arial" w:eastAsia="Arial" w:cs="Arial"/>
                <w:sz w:val="20"/>
                <w:szCs w:val="20"/>
              </w:rPr>
            </w:pPr>
            <w:r w:rsidRPr="00443B02">
              <w:rPr>
                <w:rFonts w:ascii="Arial" w:hAnsi="Arial" w:eastAsia="Times New Roman" w:cs="Arial"/>
                <w:sz w:val="20"/>
                <w:szCs w:val="20"/>
                <w:lang w:eastAsia="en-GB"/>
              </w:rPr>
              <w:t>Notify the provider of the ICBs decision to approve the conversion to a GDS contract and issue the appropriate contract documentation</w:t>
            </w:r>
          </w:p>
        </w:tc>
      </w:tr>
      <w:tr w:rsidRPr="00170C3A" w:rsidR="002C0CD8" w:rsidTr="7DD04102" w14:paraId="5968B467"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443B02" w:rsidR="002C0CD8" w:rsidP="002C0CD8" w:rsidRDefault="002C0CD8" w14:paraId="14907C0F" w14:textId="77777777">
            <w:pPr>
              <w:spacing w:after="255"/>
              <w:contextualSpacing/>
              <w:rPr>
                <w:rFonts w:ascii="Arial" w:hAnsi="Arial" w:eastAsia="Times New Roman" w:cs="Arial"/>
                <w:sz w:val="20"/>
                <w:szCs w:val="20"/>
                <w:lang w:eastAsia="en-GB"/>
              </w:rPr>
            </w:pPr>
            <w:r w:rsidRPr="00443B02">
              <w:rPr>
                <w:rFonts w:ascii="Arial" w:hAnsi="Arial" w:eastAsia="Times New Roman" w:cs="Arial"/>
                <w:sz w:val="20"/>
                <w:szCs w:val="20"/>
                <w:lang w:eastAsia="en-GB"/>
              </w:rPr>
              <w:t>Dental Contract Reforms 2026</w:t>
            </w:r>
          </w:p>
          <w:p w:rsidRPr="00170C3A" w:rsidR="002C0CD8" w:rsidP="002C0CD8" w:rsidRDefault="002C0CD8" w14:paraId="67086881" w14:textId="77777777">
            <w:pPr>
              <w:rPr>
                <w:rFonts w:ascii="Arial" w:hAnsi="Arial" w:eastAsia="Arial" w:cs="Arial"/>
                <w:color w:val="000000" w:themeColor="text1"/>
                <w:sz w:val="20"/>
                <w:szCs w:val="20"/>
              </w:rPr>
            </w:pP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002C0CD8" w:rsidP="002C0CD8" w:rsidRDefault="002C0CD8" w14:paraId="05F3FAF5" w14:textId="77777777">
            <w:pPr>
              <w:tabs>
                <w:tab w:val="left" w:pos="565"/>
              </w:tabs>
              <w:rPr>
                <w:rFonts w:ascii="Arial" w:hAnsi="Arial" w:eastAsia="Times New Roman" w:cs="Arial"/>
                <w:sz w:val="20"/>
                <w:szCs w:val="20"/>
                <w:lang w:eastAsia="en-GB"/>
              </w:rPr>
            </w:pPr>
            <w:r w:rsidRPr="00443B02">
              <w:rPr>
                <w:rFonts w:ascii="Arial" w:hAnsi="Arial" w:eastAsia="Times New Roman" w:cs="Arial"/>
                <w:sz w:val="20"/>
                <w:szCs w:val="20"/>
                <w:lang w:eastAsia="en-GB"/>
              </w:rPr>
              <w:t xml:space="preserve">The group acknowledged the high volume of contracting work and time required to manage and implement the NHSE National contract reforms. </w:t>
            </w:r>
          </w:p>
          <w:p w:rsidRPr="00443B02" w:rsidR="0044497A" w:rsidP="002C0CD8" w:rsidRDefault="0044497A" w14:paraId="0FB83C68" w14:textId="77777777">
            <w:pPr>
              <w:tabs>
                <w:tab w:val="left" w:pos="565"/>
              </w:tabs>
              <w:rPr>
                <w:rFonts w:ascii="Arial" w:hAnsi="Arial" w:eastAsia="Times New Roman" w:cs="Arial"/>
                <w:sz w:val="20"/>
                <w:szCs w:val="20"/>
                <w:lang w:eastAsia="en-GB"/>
              </w:rPr>
            </w:pPr>
          </w:p>
          <w:p w:rsidRPr="00443B02" w:rsidR="002C0CD8" w:rsidP="002C0CD8" w:rsidRDefault="002C0CD8" w14:paraId="7BEF429F" w14:textId="77777777">
            <w:pPr>
              <w:tabs>
                <w:tab w:val="left" w:pos="565"/>
              </w:tabs>
              <w:rPr>
                <w:rFonts w:ascii="Arial" w:hAnsi="Arial" w:eastAsia="Times New Roman" w:cs="Arial"/>
                <w:sz w:val="20"/>
                <w:szCs w:val="20"/>
                <w:lang w:eastAsia="en-GB"/>
              </w:rPr>
            </w:pPr>
            <w:r w:rsidRPr="00443B02">
              <w:rPr>
                <w:rFonts w:ascii="Arial" w:hAnsi="Arial" w:eastAsia="Times New Roman" w:cs="Arial"/>
                <w:sz w:val="20"/>
                <w:szCs w:val="20"/>
                <w:lang w:eastAsia="en-GB"/>
              </w:rPr>
              <w:t>95 contract variations relating to National Urgent Care Incentive Scheme.</w:t>
            </w:r>
          </w:p>
          <w:p w:rsidR="0044497A" w:rsidP="002C0CD8" w:rsidRDefault="0044497A" w14:paraId="4665BF50" w14:textId="77777777">
            <w:pPr>
              <w:widowControl w:val="0"/>
              <w:rPr>
                <w:rFonts w:ascii="Arial" w:hAnsi="Arial" w:eastAsia="Times New Roman" w:cs="Arial"/>
                <w:sz w:val="20"/>
                <w:szCs w:val="20"/>
                <w:lang w:eastAsia="en-GB"/>
              </w:rPr>
            </w:pPr>
          </w:p>
          <w:p w:rsidRPr="00443B02" w:rsidR="002C0CD8" w:rsidP="002C0CD8" w:rsidRDefault="002C0CD8" w14:paraId="489E11FA" w14:textId="0310C084">
            <w:pPr>
              <w:widowControl w:val="0"/>
              <w:rPr>
                <w:rFonts w:ascii="Arial" w:hAnsi="Arial" w:eastAsia="Arial" w:cs="Arial"/>
                <w:b/>
                <w:sz w:val="20"/>
                <w:szCs w:val="20"/>
              </w:rPr>
            </w:pPr>
            <w:r w:rsidRPr="00443B02">
              <w:rPr>
                <w:rFonts w:ascii="Arial" w:hAnsi="Arial" w:eastAsia="Times New Roman" w:cs="Arial"/>
                <w:sz w:val="20"/>
                <w:szCs w:val="20"/>
                <w:lang w:eastAsia="en-GB"/>
              </w:rPr>
              <w:t>187 letters and 187 contract variations relating to Dental contract quality and payment reforms: unscheduled care activity requirements for NHS dental contract holders for 2026/27</w:t>
            </w:r>
            <w:r w:rsidR="00A2262D">
              <w:rPr>
                <w:rFonts w:ascii="Arial" w:hAnsi="Arial" w:eastAsia="Times New Roman" w:cs="Arial"/>
                <w:sz w:val="20"/>
                <w:szCs w:val="20"/>
                <w:lang w:eastAsia="en-GB"/>
              </w:rPr>
              <w:t>.</w:t>
            </w: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2C0CD8" w:rsidP="002C0CD8" w:rsidRDefault="002C0CD8" w14:paraId="732479FC" w14:textId="77777777">
            <w:pPr>
              <w:spacing w:after="255"/>
              <w:rPr>
                <w:rFonts w:ascii="Arial" w:hAnsi="Arial" w:eastAsia="Arial" w:cs="Arial"/>
                <w:sz w:val="20"/>
                <w:szCs w:val="20"/>
              </w:rPr>
            </w:pPr>
          </w:p>
        </w:tc>
      </w:tr>
      <w:tr w:rsidRPr="00170C3A" w:rsidR="002C0CD8" w:rsidTr="7DD04102" w14:paraId="40627EEC" w14:textId="77777777">
        <w:trPr>
          <w:trHeight w:val="300"/>
        </w:trPr>
        <w:tc>
          <w:tcPr>
            <w:tcW w:w="9597" w:type="dxa"/>
            <w:gridSpan w:val="3"/>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Pr="00170C3A" w:rsidR="002C0CD8" w:rsidP="002C0CD8" w:rsidRDefault="002C0CD8" w14:paraId="489E315F" w14:textId="52D031B6">
            <w:pPr>
              <w:spacing w:after="255"/>
              <w:contextualSpacing/>
              <w:rPr>
                <w:rFonts w:ascii="Arial" w:hAnsi="Arial" w:eastAsia="Arial" w:cs="Arial"/>
                <w:sz w:val="20"/>
                <w:szCs w:val="20"/>
              </w:rPr>
            </w:pPr>
            <w:r w:rsidRPr="00170C3A">
              <w:rPr>
                <w:rFonts w:ascii="Arial" w:hAnsi="Arial" w:eastAsia="Arial" w:cs="Arial"/>
                <w:b/>
                <w:sz w:val="20"/>
                <w:szCs w:val="20"/>
              </w:rPr>
              <w:t xml:space="preserve">Assure </w:t>
            </w:r>
          </w:p>
        </w:tc>
      </w:tr>
      <w:tr w:rsidRPr="00170C3A" w:rsidR="002C0CD8" w:rsidTr="7DD04102" w14:paraId="51BACF78"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2C0CD8" w:rsidP="002C0CD8" w:rsidRDefault="002C0CD8" w14:paraId="77BA074D" w14:textId="67A01144">
            <w:pPr>
              <w:spacing w:after="255"/>
              <w:contextualSpacing/>
              <w:rPr>
                <w:rFonts w:ascii="Arial" w:hAnsi="Arial" w:eastAsia="Times New Roman" w:cs="Arial"/>
                <w:sz w:val="20"/>
                <w:szCs w:val="20"/>
                <w:lang w:eastAsia="en-GB"/>
              </w:rPr>
            </w:pPr>
            <w:r w:rsidRPr="00170C3A">
              <w:rPr>
                <w:rFonts w:ascii="Arial" w:hAnsi="Arial" w:eastAsia="Times New Roman" w:cs="Arial"/>
                <w:sz w:val="20"/>
                <w:szCs w:val="20"/>
                <w:lang w:eastAsia="en-GB"/>
              </w:rPr>
              <w:t>Contract Changes &amp; Contract Hand backs – March 2026</w:t>
            </w: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2C0CD8" w:rsidP="002C0CD8" w:rsidRDefault="002C0CD8" w14:paraId="02C34F39" w14:textId="77777777">
            <w:pPr>
              <w:spacing w:after="255"/>
              <w:contextualSpacing/>
              <w:rPr>
                <w:rFonts w:ascii="Arial" w:hAnsi="Arial" w:eastAsia="Times New Roman" w:cs="Arial"/>
                <w:sz w:val="20"/>
                <w:szCs w:val="20"/>
                <w:lang w:eastAsia="en-GB"/>
              </w:rPr>
            </w:pPr>
            <w:r w:rsidRPr="00170C3A">
              <w:rPr>
                <w:rFonts w:ascii="Arial" w:hAnsi="Arial" w:eastAsia="Times New Roman" w:cs="Arial"/>
                <w:sz w:val="20"/>
                <w:szCs w:val="20"/>
                <w:lang w:eastAsia="en-GB"/>
              </w:rPr>
              <w:t>Assure the Primary Care Contracts Sub Committee that the Group is assured that all processes and contractual changes made by the Delivery Assurance Team are in line with the regulations and the delegated authority for the Dental Services Group. </w:t>
            </w:r>
          </w:p>
          <w:p w:rsidRPr="00170C3A" w:rsidR="002C0CD8" w:rsidP="002C0CD8" w:rsidRDefault="002C0CD8" w14:paraId="36B6FB8D" w14:textId="77777777">
            <w:pPr>
              <w:rPr>
                <w:rFonts w:ascii="Arial" w:hAnsi="Arial" w:eastAsia="Arial" w:cs="Arial"/>
                <w:b/>
                <w:sz w:val="20"/>
                <w:szCs w:val="20"/>
              </w:rPr>
            </w:pP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2C0CD8" w:rsidP="002C0CD8" w:rsidRDefault="002C0CD8" w14:paraId="24DD1D53" w14:textId="4C7C98A6">
            <w:pPr>
              <w:spacing w:after="255"/>
              <w:rPr>
                <w:rFonts w:ascii="Arial" w:hAnsi="Arial" w:eastAsia="Arial" w:cs="Arial"/>
                <w:sz w:val="20"/>
                <w:szCs w:val="20"/>
              </w:rPr>
            </w:pPr>
          </w:p>
        </w:tc>
      </w:tr>
    </w:tbl>
    <w:p w:rsidRPr="00170C3A" w:rsidR="7DD04102" w:rsidRDefault="7DD04102" w14:paraId="52D18A59" w14:textId="112FF508">
      <w:pPr>
        <w:rPr>
          <w:rFonts w:ascii="Arial" w:hAnsi="Arial" w:cs="Arial"/>
          <w:sz w:val="20"/>
          <w:szCs w:val="20"/>
        </w:rPr>
      </w:pPr>
    </w:p>
    <w:p w:rsidRPr="00170C3A" w:rsidR="00DE649C" w:rsidP="360C4CB1" w:rsidRDefault="00DE649C" w14:paraId="642F68C9" w14:textId="0453857F">
      <w:pPr>
        <w:spacing w:after="0" w:line="240" w:lineRule="auto"/>
        <w:rPr>
          <w:rFonts w:ascii="Arial" w:hAnsi="Arial" w:eastAsia="Arial" w:cs="Arial"/>
          <w:color w:val="000000" w:themeColor="text1"/>
          <w:sz w:val="20"/>
          <w:szCs w:val="20"/>
        </w:rPr>
      </w:pPr>
    </w:p>
    <w:p w:rsidRPr="00170C3A" w:rsidR="00DE649C" w:rsidP="00251325" w:rsidRDefault="40471C97" w14:paraId="4CCF5AD8" w14:textId="0E0E8E52">
      <w:pPr>
        <w:pStyle w:val="ListParagraph"/>
        <w:numPr>
          <w:ilvl w:val="0"/>
          <w:numId w:val="2"/>
        </w:numPr>
        <w:ind w:left="567" w:hanging="567"/>
        <w:rPr>
          <w:rFonts w:eastAsia="Arial" w:cs="Arial"/>
          <w:color w:val="000000" w:themeColor="text1"/>
          <w:sz w:val="20"/>
          <w:szCs w:val="20"/>
        </w:rPr>
      </w:pPr>
      <w:r w:rsidRPr="00170C3A">
        <w:rPr>
          <w:rFonts w:eastAsia="Arial" w:cs="Arial"/>
          <w:b/>
          <w:color w:val="000000" w:themeColor="text1"/>
          <w:sz w:val="20"/>
          <w:szCs w:val="20"/>
          <w:lang w:val="en-US"/>
        </w:rPr>
        <w:t>Summary of items or issues referred to other committees or the Board over the reporting period.</w:t>
      </w:r>
    </w:p>
    <w:p w:rsidRPr="00170C3A" w:rsidR="00DE649C" w:rsidP="360C4CB1" w:rsidRDefault="00DE649C" w14:paraId="4FFF8C2C" w14:textId="557482BE">
      <w:pPr>
        <w:spacing w:after="0" w:line="240" w:lineRule="auto"/>
        <w:rPr>
          <w:rFonts w:ascii="Arial" w:hAnsi="Arial" w:eastAsia="Arial" w:cs="Arial"/>
          <w:color w:val="000000" w:themeColor="text1"/>
          <w:sz w:val="20"/>
          <w:szCs w:val="20"/>
        </w:rPr>
      </w:pPr>
    </w:p>
    <w:tbl>
      <w:tblPr>
        <w:tblStyle w:val="TableGrid"/>
        <w:tblW w:w="0" w:type="auto"/>
        <w:tblInd w:w="-30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00"/>
        <w:gridCol w:w="4365"/>
        <w:gridCol w:w="2850"/>
      </w:tblGrid>
      <w:tr w:rsidRPr="00170C3A" w:rsidR="004979B4" w:rsidTr="360C4CB1" w14:paraId="61F7B90A" w14:textId="77777777">
        <w:trPr>
          <w:trHeight w:val="300"/>
        </w:trPr>
        <w:tc>
          <w:tcPr>
            <w:tcW w:w="2400" w:type="dxa"/>
            <w:tcBorders>
              <w:top w:val="single" w:color="auto" w:sz="6" w:space="0"/>
              <w:left w:val="single" w:color="auto" w:sz="6" w:space="0"/>
              <w:bottom w:val="single" w:color="auto" w:sz="6" w:space="0"/>
              <w:right w:val="single" w:color="auto" w:sz="6" w:space="0"/>
            </w:tcBorders>
            <w:shd w:val="clear" w:color="auto" w:fill="B2A1C7" w:themeFill="accent4" w:themeFillTint="99"/>
            <w:tcMar>
              <w:left w:w="105" w:type="dxa"/>
              <w:right w:w="105" w:type="dxa"/>
            </w:tcMar>
          </w:tcPr>
          <w:p w:rsidRPr="00170C3A" w:rsidR="360C4CB1" w:rsidP="360C4CB1" w:rsidRDefault="360C4CB1" w14:paraId="173F3EE3" w14:textId="61437A50">
            <w:pPr>
              <w:spacing w:after="255"/>
              <w:contextualSpacing/>
              <w:rPr>
                <w:rFonts w:ascii="Arial" w:hAnsi="Arial" w:eastAsia="Arial" w:cs="Arial"/>
                <w:sz w:val="20"/>
                <w:szCs w:val="20"/>
              </w:rPr>
            </w:pPr>
            <w:r w:rsidRPr="00170C3A">
              <w:rPr>
                <w:rFonts w:ascii="Arial" w:hAnsi="Arial" w:eastAsia="Arial" w:cs="Arial"/>
                <w:b/>
                <w:sz w:val="20"/>
                <w:szCs w:val="20"/>
              </w:rPr>
              <w:t>Committee and Date</w:t>
            </w:r>
          </w:p>
        </w:tc>
        <w:tc>
          <w:tcPr>
            <w:tcW w:w="4365" w:type="dxa"/>
            <w:tcBorders>
              <w:top w:val="single" w:color="auto" w:sz="6" w:space="0"/>
              <w:left w:val="single" w:color="auto" w:sz="6" w:space="0"/>
              <w:bottom w:val="single" w:color="auto" w:sz="6" w:space="0"/>
              <w:right w:val="single" w:color="auto" w:sz="6" w:space="0"/>
            </w:tcBorders>
            <w:shd w:val="clear" w:color="auto" w:fill="B2A1C7" w:themeFill="accent4" w:themeFillTint="99"/>
            <w:tcMar>
              <w:left w:w="105" w:type="dxa"/>
              <w:right w:w="105" w:type="dxa"/>
            </w:tcMar>
          </w:tcPr>
          <w:p w:rsidRPr="00170C3A" w:rsidR="360C4CB1" w:rsidP="360C4CB1" w:rsidRDefault="360C4CB1" w14:paraId="30D16C49" w14:textId="49D8BBA7">
            <w:pPr>
              <w:spacing w:after="255"/>
              <w:contextualSpacing/>
              <w:rPr>
                <w:rFonts w:ascii="Arial" w:hAnsi="Arial" w:eastAsia="Arial" w:cs="Arial"/>
                <w:sz w:val="20"/>
                <w:szCs w:val="20"/>
              </w:rPr>
            </w:pPr>
            <w:r w:rsidRPr="00170C3A">
              <w:rPr>
                <w:rFonts w:ascii="Arial" w:hAnsi="Arial" w:eastAsia="Arial" w:cs="Arial"/>
                <w:b/>
                <w:sz w:val="20"/>
                <w:szCs w:val="20"/>
              </w:rPr>
              <w:t>Item or Issue</w:t>
            </w:r>
          </w:p>
        </w:tc>
        <w:tc>
          <w:tcPr>
            <w:tcW w:w="2850" w:type="dxa"/>
            <w:tcBorders>
              <w:top w:val="single" w:color="auto" w:sz="6" w:space="0"/>
              <w:left w:val="single" w:color="auto" w:sz="6" w:space="0"/>
              <w:bottom w:val="single" w:color="auto" w:sz="6" w:space="0"/>
              <w:right w:val="single" w:color="auto" w:sz="6" w:space="0"/>
            </w:tcBorders>
            <w:shd w:val="clear" w:color="auto" w:fill="B2A1C7" w:themeFill="accent4" w:themeFillTint="99"/>
            <w:tcMar>
              <w:left w:w="105" w:type="dxa"/>
              <w:right w:w="105" w:type="dxa"/>
            </w:tcMar>
          </w:tcPr>
          <w:p w:rsidRPr="00170C3A" w:rsidR="360C4CB1" w:rsidP="360C4CB1" w:rsidRDefault="360C4CB1" w14:paraId="7D3C4FDB" w14:textId="15275C59">
            <w:pPr>
              <w:spacing w:after="255"/>
              <w:contextualSpacing/>
              <w:rPr>
                <w:rFonts w:ascii="Arial" w:hAnsi="Arial" w:eastAsia="Arial" w:cs="Arial"/>
                <w:sz w:val="20"/>
                <w:szCs w:val="20"/>
              </w:rPr>
            </w:pPr>
            <w:r w:rsidRPr="00170C3A">
              <w:rPr>
                <w:rFonts w:ascii="Arial" w:hAnsi="Arial" w:eastAsia="Arial" w:cs="Arial"/>
                <w:b/>
                <w:sz w:val="20"/>
                <w:szCs w:val="20"/>
              </w:rPr>
              <w:t>Referred to</w:t>
            </w:r>
          </w:p>
        </w:tc>
      </w:tr>
      <w:tr w:rsidRPr="00170C3A" w:rsidR="004979B4" w:rsidTr="360C4CB1" w14:paraId="3DC27113" w14:textId="77777777">
        <w:trPr>
          <w:trHeight w:val="300"/>
        </w:trPr>
        <w:tc>
          <w:tcPr>
            <w:tcW w:w="2400"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360C4CB1" w:rsidP="360C4CB1" w:rsidRDefault="360C4CB1" w14:paraId="0D2988C7" w14:textId="51BBD51A">
            <w:pPr>
              <w:spacing w:after="255"/>
              <w:contextualSpacing/>
              <w:rPr>
                <w:rFonts w:ascii="Arial" w:hAnsi="Arial" w:eastAsia="Arial" w:cs="Arial"/>
                <w:sz w:val="20"/>
                <w:szCs w:val="20"/>
              </w:rPr>
            </w:pPr>
          </w:p>
        </w:tc>
        <w:tc>
          <w:tcPr>
            <w:tcW w:w="4365"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360C4CB1" w:rsidP="360C4CB1" w:rsidRDefault="360C4CB1" w14:paraId="5033B921" w14:textId="6CB07D45">
            <w:pPr>
              <w:spacing w:after="255"/>
              <w:contextualSpacing/>
              <w:rPr>
                <w:rFonts w:ascii="Arial" w:hAnsi="Arial" w:eastAsia="Arial" w:cs="Arial"/>
                <w:sz w:val="20"/>
                <w:szCs w:val="20"/>
              </w:rPr>
            </w:pPr>
          </w:p>
        </w:tc>
        <w:tc>
          <w:tcPr>
            <w:tcW w:w="2850"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360C4CB1" w:rsidP="360C4CB1" w:rsidRDefault="360C4CB1" w14:paraId="77BEB337" w14:textId="4A519E8A">
            <w:pPr>
              <w:spacing w:after="255"/>
              <w:contextualSpacing/>
              <w:rPr>
                <w:rFonts w:ascii="Arial" w:hAnsi="Arial" w:eastAsia="Arial" w:cs="Arial"/>
                <w:sz w:val="20"/>
                <w:szCs w:val="20"/>
              </w:rPr>
            </w:pPr>
          </w:p>
        </w:tc>
      </w:tr>
    </w:tbl>
    <w:p w:rsidRPr="00170C3A" w:rsidR="00DE649C" w:rsidP="360C4CB1" w:rsidRDefault="00DE649C" w14:paraId="4245962F" w14:textId="2D8BC83A">
      <w:pPr>
        <w:spacing w:after="0" w:line="240" w:lineRule="auto"/>
        <w:rPr>
          <w:rFonts w:ascii="Arial" w:hAnsi="Arial" w:eastAsia="Arial" w:cs="Arial"/>
          <w:color w:val="000000" w:themeColor="text1"/>
          <w:sz w:val="20"/>
          <w:szCs w:val="20"/>
        </w:rPr>
      </w:pPr>
    </w:p>
    <w:p w:rsidRPr="00170C3A" w:rsidR="00DE649C" w:rsidP="360C4CB1" w:rsidRDefault="00DE649C" w14:paraId="6245F92D" w14:textId="2245516E">
      <w:pPr>
        <w:spacing w:after="0" w:line="240" w:lineRule="auto"/>
        <w:rPr>
          <w:rFonts w:ascii="Arial" w:hAnsi="Arial" w:eastAsia="Arial" w:cs="Arial"/>
          <w:color w:val="000000" w:themeColor="text1"/>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22"/>
        <w:gridCol w:w="1853"/>
        <w:gridCol w:w="2640"/>
      </w:tblGrid>
      <w:tr w:rsidRPr="00170C3A" w:rsidR="360C4CB1" w:rsidTr="56B6BC62" w14:paraId="08B86CFE" w14:textId="77777777">
        <w:trPr>
          <w:trHeight w:val="300"/>
        </w:trPr>
        <w:tc>
          <w:tcPr>
            <w:tcW w:w="4522" w:type="dxa"/>
            <w:tcMar>
              <w:left w:w="105" w:type="dxa"/>
              <w:right w:w="105" w:type="dxa"/>
            </w:tcMar>
          </w:tcPr>
          <w:p w:rsidRPr="00170C3A" w:rsidR="360C4CB1" w:rsidP="00EC5BAC" w:rsidRDefault="360C4CB1" w14:paraId="7330D832" w14:textId="7EDDB3EC">
            <w:pPr>
              <w:pStyle w:val="Heading1"/>
              <w:spacing w:before="120"/>
              <w:jc w:val="both"/>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Committee: Pharmaceutical Services Group</w:t>
            </w:r>
          </w:p>
        </w:tc>
        <w:tc>
          <w:tcPr>
            <w:tcW w:w="1853" w:type="dxa"/>
            <w:tcMar>
              <w:left w:w="105" w:type="dxa"/>
              <w:right w:w="105" w:type="dxa"/>
            </w:tcMar>
          </w:tcPr>
          <w:p w:rsidRPr="00170C3A" w:rsidR="360C4CB1" w:rsidP="56B6BC62" w:rsidRDefault="360C4CB1" w14:paraId="71DA4512" w14:textId="1D2996F6">
            <w:pPr>
              <w:pStyle w:val="Heading1"/>
              <w:spacing w:before="120"/>
              <w:rPr>
                <w:rFonts w:ascii="Arial" w:hAnsi="Arial" w:eastAsia="Arial" w:cs="Arial"/>
                <w:color w:val="808080" w:themeColor="background1" w:themeShade="80"/>
                <w:sz w:val="20"/>
                <w:szCs w:val="20"/>
                <w:lang w:val="en-US"/>
              </w:rPr>
            </w:pPr>
            <w:r w:rsidRPr="00170C3A">
              <w:rPr>
                <w:rFonts w:ascii="Arial" w:hAnsi="Arial" w:eastAsia="Arial" w:cs="Arial"/>
                <w:color w:val="808080" w:themeColor="background1" w:themeShade="80"/>
                <w:sz w:val="20"/>
                <w:szCs w:val="20"/>
                <w:lang w:val="en-US"/>
              </w:rPr>
              <w:t>Date</w:t>
            </w:r>
            <w:r w:rsidRPr="00170C3A" w:rsidR="002B2447">
              <w:rPr>
                <w:rFonts w:ascii="Arial" w:hAnsi="Arial" w:eastAsia="Arial" w:cs="Arial"/>
                <w:color w:val="808080" w:themeColor="background1" w:themeShade="80"/>
                <w:sz w:val="20"/>
                <w:szCs w:val="20"/>
                <w:lang w:val="en-US"/>
              </w:rPr>
              <w:t xml:space="preserve"> </w:t>
            </w:r>
            <w:r w:rsidRPr="00170C3A" w:rsidR="001A7B59">
              <w:rPr>
                <w:rFonts w:ascii="Arial" w:hAnsi="Arial" w:eastAsia="Arial" w:cs="Arial"/>
                <w:color w:val="808080" w:themeColor="background1" w:themeShade="80"/>
                <w:sz w:val="20"/>
                <w:szCs w:val="20"/>
                <w:lang w:val="en-US"/>
              </w:rPr>
              <w:t>1</w:t>
            </w:r>
            <w:r w:rsidR="00AD03E2">
              <w:rPr>
                <w:rFonts w:ascii="Arial" w:hAnsi="Arial" w:eastAsia="Arial" w:cs="Arial"/>
                <w:color w:val="808080" w:themeColor="background1" w:themeShade="80"/>
                <w:sz w:val="20"/>
                <w:szCs w:val="20"/>
                <w:lang w:val="en-US"/>
              </w:rPr>
              <w:t xml:space="preserve">5 April </w:t>
            </w:r>
            <w:r w:rsidRPr="00170C3A" w:rsidR="00D25B3E">
              <w:rPr>
                <w:rFonts w:ascii="Arial" w:hAnsi="Arial" w:eastAsia="Arial" w:cs="Arial"/>
                <w:color w:val="808080" w:themeColor="background1" w:themeShade="80"/>
                <w:sz w:val="20"/>
                <w:szCs w:val="20"/>
                <w:lang w:val="en-US"/>
              </w:rPr>
              <w:t>2026</w:t>
            </w:r>
          </w:p>
        </w:tc>
        <w:tc>
          <w:tcPr>
            <w:tcW w:w="2640" w:type="dxa"/>
            <w:tcMar>
              <w:left w:w="105" w:type="dxa"/>
              <w:right w:w="105" w:type="dxa"/>
            </w:tcMar>
          </w:tcPr>
          <w:p w:rsidRPr="00170C3A" w:rsidR="360C4CB1" w:rsidP="360C4CB1" w:rsidRDefault="360C4CB1" w14:paraId="4EC8A082" w14:textId="01839283">
            <w:pPr>
              <w:pStyle w:val="Heading1"/>
              <w:spacing w:before="120"/>
              <w:rPr>
                <w:rFonts w:ascii="Arial" w:hAnsi="Arial" w:eastAsia="Arial" w:cs="Arial"/>
                <w:color w:val="808080" w:themeColor="background1" w:themeShade="80"/>
                <w:sz w:val="20"/>
                <w:szCs w:val="20"/>
                <w:lang w:val="en-US"/>
              </w:rPr>
            </w:pPr>
            <w:r w:rsidRPr="00170C3A">
              <w:rPr>
                <w:rFonts w:ascii="Arial" w:hAnsi="Arial" w:eastAsia="Arial" w:cs="Arial"/>
                <w:color w:val="808080" w:themeColor="background1" w:themeShade="80"/>
                <w:sz w:val="20"/>
                <w:szCs w:val="20"/>
                <w:lang w:val="en-US"/>
              </w:rPr>
              <w:t xml:space="preserve">Chair: </w:t>
            </w:r>
            <w:r w:rsidRPr="00170C3A" w:rsidR="00820DCE">
              <w:rPr>
                <w:rFonts w:ascii="Arial" w:hAnsi="Arial" w:eastAsia="Arial" w:cs="Arial"/>
                <w:color w:val="808080" w:themeColor="background1" w:themeShade="80"/>
                <w:sz w:val="20"/>
                <w:szCs w:val="20"/>
                <w:lang w:val="en-US"/>
              </w:rPr>
              <w:t xml:space="preserve">Amy </w:t>
            </w:r>
            <w:r w:rsidRPr="00170C3A" w:rsidR="189F8DE8">
              <w:rPr>
                <w:rFonts w:ascii="Arial" w:hAnsi="Arial" w:eastAsia="Arial" w:cs="Arial"/>
                <w:color w:val="808080" w:themeColor="background1" w:themeShade="80"/>
                <w:sz w:val="20"/>
                <w:szCs w:val="20"/>
                <w:lang w:val="en-US"/>
              </w:rPr>
              <w:t>Lep</w:t>
            </w:r>
            <w:r w:rsidRPr="00170C3A" w:rsidR="0634EBC5">
              <w:rPr>
                <w:rFonts w:ascii="Arial" w:hAnsi="Arial" w:eastAsia="Arial" w:cs="Arial"/>
                <w:color w:val="808080" w:themeColor="background1" w:themeShade="80"/>
                <w:sz w:val="20"/>
                <w:szCs w:val="20"/>
                <w:lang w:val="en-US"/>
              </w:rPr>
              <w:t>ior</w:t>
            </w:r>
            <w:r w:rsidRPr="00170C3A" w:rsidR="189F8DE8">
              <w:rPr>
                <w:rFonts w:ascii="Arial" w:hAnsi="Arial" w:eastAsia="Arial" w:cs="Arial"/>
                <w:color w:val="808080" w:themeColor="background1" w:themeShade="80"/>
                <w:sz w:val="20"/>
                <w:szCs w:val="20"/>
                <w:lang w:val="en-US"/>
              </w:rPr>
              <w:t>z</w:t>
            </w:r>
          </w:p>
        </w:tc>
      </w:tr>
    </w:tbl>
    <w:p w:rsidRPr="00170C3A" w:rsidR="00DE649C" w:rsidP="360C4CB1" w:rsidRDefault="00DE649C" w14:paraId="6FCA3C5A" w14:textId="285F3A26">
      <w:pPr>
        <w:spacing w:after="0" w:line="240" w:lineRule="auto"/>
        <w:ind w:left="1440"/>
        <w:contextualSpacing/>
        <w:rPr>
          <w:rFonts w:ascii="Arial" w:hAnsi="Arial" w:eastAsia="Arial" w:cs="Arial"/>
          <w:color w:val="000000" w:themeColor="text1"/>
          <w:sz w:val="20"/>
          <w:szCs w:val="20"/>
        </w:rPr>
      </w:pPr>
    </w:p>
    <w:tbl>
      <w:tblPr>
        <w:tblStyle w:val="TableGrid"/>
        <w:tblW w:w="9137"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005"/>
        <w:gridCol w:w="3005"/>
        <w:gridCol w:w="3127"/>
      </w:tblGrid>
      <w:tr w:rsidRPr="00170C3A" w:rsidR="360C4CB1" w:rsidTr="379D4CDC" w14:paraId="48639DBA" w14:textId="77777777">
        <w:trPr>
          <w:trHeight w:val="300"/>
        </w:trPr>
        <w:tc>
          <w:tcPr>
            <w:tcW w:w="9137" w:type="dxa"/>
            <w:gridSpan w:val="3"/>
            <w:shd w:val="clear" w:color="auto" w:fill="0070C0"/>
            <w:tcMar>
              <w:left w:w="105" w:type="dxa"/>
              <w:right w:w="105" w:type="dxa"/>
            </w:tcMar>
            <w:vAlign w:val="center"/>
          </w:tcPr>
          <w:p w:rsidRPr="00170C3A" w:rsidR="360C4CB1" w:rsidP="360C4CB1" w:rsidRDefault="360C4CB1" w14:paraId="14A1E8BF" w14:textId="538F2E93">
            <w:pPr>
              <w:contextualSpacing/>
              <w:rPr>
                <w:rFonts w:ascii="Arial" w:hAnsi="Arial" w:eastAsia="Arial" w:cs="Arial"/>
                <w:color w:val="FFFFFF" w:themeColor="background1"/>
                <w:sz w:val="20"/>
                <w:szCs w:val="20"/>
              </w:rPr>
            </w:pPr>
            <w:r w:rsidRPr="00170C3A">
              <w:rPr>
                <w:rFonts w:ascii="Arial" w:hAnsi="Arial" w:eastAsia="Arial" w:cs="Arial"/>
                <w:b/>
                <w:smallCaps/>
                <w:color w:val="FFFFFF" w:themeColor="background1"/>
                <w:sz w:val="20"/>
                <w:szCs w:val="20"/>
              </w:rPr>
              <w:t>K</w:t>
            </w:r>
            <w:r w:rsidRPr="00170C3A">
              <w:rPr>
                <w:rFonts w:ascii="Arial" w:hAnsi="Arial" w:eastAsia="Arial" w:cs="Arial"/>
                <w:b/>
                <w:color w:val="FFFFFF" w:themeColor="background1"/>
                <w:sz w:val="20"/>
                <w:szCs w:val="20"/>
              </w:rPr>
              <w:t>ey Items Discussed</w:t>
            </w:r>
          </w:p>
        </w:tc>
      </w:tr>
      <w:tr w:rsidRPr="00170C3A" w:rsidR="360C4CB1" w:rsidTr="379D4CDC" w14:paraId="28C5C092" w14:textId="77777777">
        <w:trPr>
          <w:trHeight w:val="300"/>
        </w:trPr>
        <w:tc>
          <w:tcPr>
            <w:tcW w:w="3005" w:type="dxa"/>
            <w:shd w:val="clear" w:color="auto" w:fill="FFFFFF" w:themeFill="background1"/>
            <w:tcMar>
              <w:left w:w="105" w:type="dxa"/>
              <w:right w:w="105" w:type="dxa"/>
            </w:tcMar>
          </w:tcPr>
          <w:p w:rsidRPr="00170C3A" w:rsidR="360C4CB1" w:rsidP="00BE47FF" w:rsidRDefault="360C4CB1" w14:paraId="37FFE1CA" w14:textId="35F4721F">
            <w:pPr>
              <w:contextualSpacing/>
              <w:jc w:val="center"/>
              <w:rPr>
                <w:rFonts w:ascii="Arial" w:hAnsi="Arial" w:eastAsia="Arial" w:cs="Arial"/>
                <w:sz w:val="20"/>
                <w:szCs w:val="20"/>
              </w:rPr>
            </w:pPr>
            <w:r w:rsidRPr="00170C3A">
              <w:rPr>
                <w:rFonts w:ascii="Arial" w:hAnsi="Arial" w:eastAsia="Arial" w:cs="Arial"/>
                <w:b/>
                <w:sz w:val="20"/>
                <w:szCs w:val="20"/>
              </w:rPr>
              <w:t>Issue</w:t>
            </w:r>
          </w:p>
        </w:tc>
        <w:tc>
          <w:tcPr>
            <w:tcW w:w="3005" w:type="dxa"/>
            <w:shd w:val="clear" w:color="auto" w:fill="FFFFFF" w:themeFill="background1"/>
            <w:tcMar>
              <w:left w:w="105" w:type="dxa"/>
              <w:right w:w="105" w:type="dxa"/>
            </w:tcMar>
          </w:tcPr>
          <w:p w:rsidRPr="00170C3A" w:rsidR="360C4CB1" w:rsidP="00BE47FF" w:rsidRDefault="360C4CB1" w14:paraId="053EAC7E" w14:textId="0046AB7E">
            <w:pPr>
              <w:contextualSpacing/>
              <w:jc w:val="center"/>
              <w:rPr>
                <w:rFonts w:ascii="Arial" w:hAnsi="Arial" w:eastAsia="Arial" w:cs="Arial"/>
                <w:sz w:val="20"/>
                <w:szCs w:val="20"/>
              </w:rPr>
            </w:pPr>
            <w:r w:rsidRPr="00170C3A">
              <w:rPr>
                <w:rFonts w:ascii="Arial" w:hAnsi="Arial" w:eastAsia="Arial" w:cs="Arial"/>
                <w:b/>
                <w:sz w:val="20"/>
                <w:szCs w:val="20"/>
              </w:rPr>
              <w:t>Committee Update</w:t>
            </w:r>
          </w:p>
        </w:tc>
        <w:tc>
          <w:tcPr>
            <w:tcW w:w="3127" w:type="dxa"/>
            <w:shd w:val="clear" w:color="auto" w:fill="FFFFFF" w:themeFill="background1"/>
            <w:tcMar>
              <w:left w:w="105" w:type="dxa"/>
              <w:right w:w="105" w:type="dxa"/>
            </w:tcMar>
          </w:tcPr>
          <w:p w:rsidRPr="00170C3A" w:rsidR="360C4CB1" w:rsidP="00BE47FF" w:rsidRDefault="360C4CB1" w14:paraId="7BF78320" w14:textId="474F0C19">
            <w:pPr>
              <w:contextualSpacing/>
              <w:jc w:val="center"/>
              <w:rPr>
                <w:rFonts w:ascii="Arial" w:hAnsi="Arial" w:eastAsia="Arial" w:cs="Arial"/>
                <w:sz w:val="20"/>
                <w:szCs w:val="20"/>
              </w:rPr>
            </w:pPr>
            <w:r w:rsidRPr="00170C3A">
              <w:rPr>
                <w:rFonts w:ascii="Arial" w:hAnsi="Arial" w:eastAsia="Arial" w:cs="Arial"/>
                <w:b/>
                <w:sz w:val="20"/>
                <w:szCs w:val="20"/>
              </w:rPr>
              <w:t>Action</w:t>
            </w:r>
          </w:p>
        </w:tc>
      </w:tr>
      <w:tr w:rsidRPr="00170C3A" w:rsidR="360C4CB1" w:rsidTr="379D4CDC" w14:paraId="48181851" w14:textId="77777777">
        <w:trPr>
          <w:trHeight w:val="300"/>
        </w:trPr>
        <w:tc>
          <w:tcPr>
            <w:tcW w:w="9137" w:type="dxa"/>
            <w:gridSpan w:val="3"/>
            <w:shd w:val="clear" w:color="auto" w:fill="FF5050"/>
            <w:tcMar>
              <w:left w:w="105" w:type="dxa"/>
              <w:right w:w="105" w:type="dxa"/>
            </w:tcMar>
          </w:tcPr>
          <w:p w:rsidRPr="00170C3A" w:rsidR="360C4CB1" w:rsidP="360C4CB1" w:rsidRDefault="360C4CB1" w14:paraId="35D5981C" w14:textId="2552831D">
            <w:pPr>
              <w:contextualSpacing/>
              <w:rPr>
                <w:rFonts w:ascii="Arial" w:hAnsi="Arial" w:eastAsia="Arial" w:cs="Arial"/>
                <w:color w:val="FFFFFF" w:themeColor="background1"/>
                <w:sz w:val="20"/>
                <w:szCs w:val="20"/>
              </w:rPr>
            </w:pPr>
            <w:r w:rsidRPr="00170C3A">
              <w:rPr>
                <w:rFonts w:ascii="Arial" w:hAnsi="Arial" w:eastAsia="Arial" w:cs="Arial"/>
                <w:b/>
                <w:color w:val="FFFFFF" w:themeColor="background1"/>
                <w:sz w:val="20"/>
                <w:szCs w:val="20"/>
              </w:rPr>
              <w:t xml:space="preserve">Alert </w:t>
            </w:r>
          </w:p>
        </w:tc>
      </w:tr>
      <w:tr w:rsidRPr="00170C3A" w:rsidR="360C4CB1" w:rsidTr="379D4CDC" w14:paraId="24A22689" w14:textId="77777777">
        <w:trPr>
          <w:trHeight w:val="300"/>
        </w:trPr>
        <w:tc>
          <w:tcPr>
            <w:tcW w:w="3005" w:type="dxa"/>
            <w:tcMar>
              <w:left w:w="105" w:type="dxa"/>
              <w:right w:w="105" w:type="dxa"/>
            </w:tcMar>
          </w:tcPr>
          <w:p w:rsidRPr="00170C3A" w:rsidR="360C4CB1" w:rsidP="39EC83F0" w:rsidRDefault="360C4CB1" w14:paraId="2163D7EA" w14:textId="47A7C8B3">
            <w:pPr>
              <w:contextualSpacing/>
              <w:rPr>
                <w:rFonts w:ascii="Arial" w:hAnsi="Arial" w:eastAsia="Arial" w:cs="Arial"/>
                <w:b/>
                <w:sz w:val="20"/>
                <w:szCs w:val="20"/>
              </w:rPr>
            </w:pPr>
          </w:p>
        </w:tc>
        <w:tc>
          <w:tcPr>
            <w:tcW w:w="3005" w:type="dxa"/>
            <w:tcMar>
              <w:left w:w="105" w:type="dxa"/>
              <w:right w:w="105" w:type="dxa"/>
            </w:tcMar>
          </w:tcPr>
          <w:p w:rsidRPr="00170C3A" w:rsidR="360C4CB1" w:rsidP="00BE47FF" w:rsidRDefault="00BE47FF" w14:paraId="3F58D4D9" w14:textId="7AA351DC">
            <w:pPr>
              <w:contextualSpacing/>
              <w:jc w:val="center"/>
              <w:rPr>
                <w:rFonts w:ascii="Arial" w:hAnsi="Arial" w:eastAsia="Arial" w:cs="Arial"/>
                <w:sz w:val="20"/>
                <w:szCs w:val="20"/>
              </w:rPr>
            </w:pPr>
            <w:r w:rsidRPr="00170C3A">
              <w:rPr>
                <w:rFonts w:ascii="Arial" w:hAnsi="Arial" w:eastAsia="Arial" w:cs="Arial"/>
                <w:b/>
                <w:bCs/>
                <w:sz w:val="20"/>
                <w:szCs w:val="20"/>
              </w:rPr>
              <w:t>Nothing to Escalate</w:t>
            </w:r>
          </w:p>
        </w:tc>
        <w:tc>
          <w:tcPr>
            <w:tcW w:w="3127" w:type="dxa"/>
            <w:tcMar>
              <w:left w:w="105" w:type="dxa"/>
              <w:right w:w="105" w:type="dxa"/>
            </w:tcMar>
          </w:tcPr>
          <w:p w:rsidRPr="00170C3A" w:rsidR="360C4CB1" w:rsidP="360C4CB1" w:rsidRDefault="360C4CB1" w14:paraId="33CE6113" w14:textId="2B3A9DAE">
            <w:pPr>
              <w:contextualSpacing/>
              <w:rPr>
                <w:rFonts w:ascii="Arial" w:hAnsi="Arial" w:eastAsia="Arial" w:cs="Arial"/>
                <w:sz w:val="20"/>
                <w:szCs w:val="20"/>
              </w:rPr>
            </w:pPr>
          </w:p>
        </w:tc>
      </w:tr>
      <w:tr w:rsidRPr="00170C3A" w:rsidR="360C4CB1" w:rsidTr="379D4CDC" w14:paraId="12E4A283" w14:textId="77777777">
        <w:trPr>
          <w:trHeight w:val="300"/>
        </w:trPr>
        <w:tc>
          <w:tcPr>
            <w:tcW w:w="9137" w:type="dxa"/>
            <w:gridSpan w:val="3"/>
            <w:shd w:val="clear" w:color="auto" w:fill="FFC000"/>
            <w:tcMar>
              <w:left w:w="105" w:type="dxa"/>
              <w:right w:w="105" w:type="dxa"/>
            </w:tcMar>
          </w:tcPr>
          <w:p w:rsidRPr="00170C3A" w:rsidR="360C4CB1" w:rsidP="360C4CB1" w:rsidRDefault="360C4CB1" w14:paraId="73DC9CFF" w14:textId="7275437B">
            <w:pPr>
              <w:contextualSpacing/>
              <w:rPr>
                <w:rFonts w:ascii="Arial" w:hAnsi="Arial" w:eastAsia="Arial" w:cs="Arial"/>
                <w:color w:val="000000" w:themeColor="text1"/>
                <w:sz w:val="20"/>
                <w:szCs w:val="20"/>
              </w:rPr>
            </w:pPr>
            <w:r w:rsidRPr="00170C3A">
              <w:rPr>
                <w:rFonts w:ascii="Arial" w:hAnsi="Arial" w:eastAsia="Arial" w:cs="Arial"/>
                <w:b/>
                <w:color w:val="000000" w:themeColor="text1"/>
                <w:sz w:val="20"/>
                <w:szCs w:val="20"/>
              </w:rPr>
              <w:t xml:space="preserve">Advise </w:t>
            </w:r>
          </w:p>
        </w:tc>
      </w:tr>
      <w:tr w:rsidRPr="00170C3A" w:rsidR="00F51B30" w:rsidTr="379D4CDC" w14:paraId="2FFC3324" w14:textId="77777777">
        <w:trPr>
          <w:trHeight w:val="450"/>
        </w:trPr>
        <w:tc>
          <w:tcPr>
            <w:tcW w:w="3005" w:type="dxa"/>
            <w:tcMar>
              <w:left w:w="105" w:type="dxa"/>
              <w:right w:w="105" w:type="dxa"/>
            </w:tcMar>
          </w:tcPr>
          <w:p w:rsidRPr="001A433C" w:rsidR="00534AC8" w:rsidP="00534AC8" w:rsidRDefault="00534AC8" w14:paraId="5EB086B1" w14:textId="77777777">
            <w:pPr>
              <w:rPr>
                <w:b/>
                <w:bCs/>
              </w:rPr>
            </w:pPr>
            <w:r w:rsidRPr="001A433C">
              <w:rPr>
                <w:b/>
                <w:bCs/>
              </w:rPr>
              <w:t>Ash Trees Pharmacy (FVM37) Advanced Service Activity Payment Request</w:t>
            </w:r>
          </w:p>
          <w:p w:rsidRPr="00170C3A" w:rsidR="00F51B30" w:rsidP="00F51B30" w:rsidRDefault="00F51B30" w14:paraId="056AAF72" w14:textId="3567029A">
            <w:pPr>
              <w:spacing w:after="200" w:line="276" w:lineRule="auto"/>
              <w:rPr>
                <w:rFonts w:ascii="Arial" w:hAnsi="Arial" w:eastAsia="Arial" w:cs="Arial"/>
                <w:b/>
                <w:sz w:val="20"/>
                <w:szCs w:val="20"/>
              </w:rPr>
            </w:pPr>
          </w:p>
        </w:tc>
        <w:tc>
          <w:tcPr>
            <w:tcW w:w="3005" w:type="dxa"/>
            <w:tcMar>
              <w:left w:w="105" w:type="dxa"/>
              <w:right w:w="105" w:type="dxa"/>
            </w:tcMar>
          </w:tcPr>
          <w:p w:rsidRPr="00507355" w:rsidR="0050108A" w:rsidP="0050108A" w:rsidRDefault="0050108A" w14:paraId="4C3BE45E" w14:textId="77777777">
            <w:r w:rsidRPr="00507355">
              <w:t>Ash Trees Pharmacy is a 40 hour pharmacy located in Lancaster. </w:t>
            </w:r>
          </w:p>
          <w:p w:rsidRPr="00507355" w:rsidR="0050108A" w:rsidP="0050108A" w:rsidRDefault="0050108A" w14:paraId="30B4BF6B" w14:textId="77777777">
            <w:r w:rsidRPr="00507355">
              <w:t>In February 2026, the ICB received a request from the pharmacy to approve payments for advanced services relating to December.  </w:t>
            </w:r>
          </w:p>
          <w:p w:rsidRPr="00507355" w:rsidR="0050108A" w:rsidP="0050108A" w:rsidRDefault="0050108A" w14:paraId="21203A79" w14:textId="77777777">
            <w:r w:rsidRPr="00507355">
              <w:t>The request was made after the pharmacy missed the deadline to submit claims using the Manage Your Service (MYS) system due to exceptional circumstances.</w:t>
            </w:r>
          </w:p>
          <w:p w:rsidR="008B2921" w:rsidP="008B2921" w:rsidRDefault="002C5D43" w14:paraId="2DEEA7FE" w14:textId="77777777">
            <w:pPr>
              <w:pStyle w:val="Numberlist"/>
              <w:numPr>
                <w:ilvl w:val="0"/>
                <w:numId w:val="0"/>
              </w:numPr>
              <w:rPr>
                <w:sz w:val="20"/>
                <w:szCs w:val="20"/>
              </w:rPr>
            </w:pPr>
            <w:r w:rsidRPr="00170C3A">
              <w:rPr>
                <w:sz w:val="20"/>
                <w:szCs w:val="20"/>
              </w:rPr>
              <w:t xml:space="preserve"> </w:t>
            </w:r>
          </w:p>
          <w:p w:rsidRPr="00170C3A" w:rsidR="00BE47FF" w:rsidP="379D4CDC" w:rsidRDefault="00BE47FF" w14:paraId="35672C59" w14:textId="023233DD">
            <w:pPr>
              <w:rPr>
                <w:sz w:val="20"/>
                <w:szCs w:val="20"/>
              </w:rPr>
            </w:pPr>
          </w:p>
          <w:p w:rsidRPr="00170C3A" w:rsidR="00BE47FF" w:rsidP="6620F692" w:rsidRDefault="706EAA1B" w14:paraId="4B9A0A1A" w14:textId="1331229B">
            <w:pPr>
              <w:rPr>
                <w:rFonts w:ascii="Arial" w:hAnsi="Arial" w:eastAsia="Arial" w:cs="Arial"/>
                <w:b/>
                <w:bCs/>
                <w:sz w:val="20"/>
                <w:szCs w:val="20"/>
              </w:rPr>
            </w:pPr>
            <w:r w:rsidRPr="00170C3A">
              <w:rPr>
                <w:rFonts w:ascii="Arial" w:hAnsi="Arial" w:eastAsia="Arial" w:cs="Arial"/>
                <w:b/>
                <w:bCs/>
                <w:sz w:val="20"/>
                <w:szCs w:val="20"/>
              </w:rPr>
              <w:t>Approved</w:t>
            </w:r>
            <w:r w:rsidRPr="00170C3A" w:rsidR="72287865">
              <w:rPr>
                <w:rFonts w:ascii="Arial" w:hAnsi="Arial" w:eastAsia="Arial" w:cs="Arial"/>
                <w:b/>
                <w:bCs/>
                <w:sz w:val="20"/>
                <w:szCs w:val="20"/>
              </w:rPr>
              <w:t xml:space="preserve"> to </w:t>
            </w:r>
            <w:r w:rsidR="00F91008">
              <w:rPr>
                <w:rFonts w:ascii="Arial" w:hAnsi="Arial" w:eastAsia="Arial" w:cs="Arial"/>
                <w:b/>
                <w:bCs/>
                <w:sz w:val="20"/>
                <w:szCs w:val="20"/>
              </w:rPr>
              <w:t>make payment</w:t>
            </w:r>
          </w:p>
          <w:p w:rsidRPr="00170C3A" w:rsidR="00F51B30" w:rsidP="451AE6B9" w:rsidRDefault="00F51B30" w14:paraId="14D972BD" w14:textId="4BEF8477">
            <w:pPr>
              <w:rPr>
                <w:rFonts w:ascii="Arial" w:hAnsi="Arial" w:eastAsia="Arial" w:cs="Arial"/>
                <w:b/>
                <w:sz w:val="20"/>
                <w:szCs w:val="20"/>
              </w:rPr>
            </w:pPr>
          </w:p>
        </w:tc>
        <w:tc>
          <w:tcPr>
            <w:tcW w:w="3127" w:type="dxa"/>
            <w:tcMar>
              <w:left w:w="105" w:type="dxa"/>
              <w:right w:w="105" w:type="dxa"/>
            </w:tcMar>
            <w:vAlign w:val="center"/>
          </w:tcPr>
          <w:p w:rsidRPr="00170C3A" w:rsidR="00F51B30" w:rsidP="6620F692" w:rsidRDefault="5B70B3AC" w14:paraId="39E1036C" w14:textId="243E727E">
            <w:pPr>
              <w:rPr>
                <w:rFonts w:ascii="Arial" w:hAnsi="Arial" w:eastAsia="Arial" w:cs="Arial"/>
                <w:sz w:val="20"/>
                <w:szCs w:val="20"/>
              </w:rPr>
            </w:pPr>
            <w:r w:rsidRPr="00170C3A">
              <w:rPr>
                <w:rFonts w:ascii="Arial" w:hAnsi="Arial" w:eastAsia="Arial" w:cs="Arial"/>
                <w:sz w:val="20"/>
                <w:szCs w:val="20"/>
              </w:rPr>
              <w:t>Complete paperwork</w:t>
            </w:r>
            <w:r w:rsidRPr="00170C3A" w:rsidR="4B8C34E2">
              <w:rPr>
                <w:rFonts w:ascii="Arial" w:hAnsi="Arial" w:eastAsia="Arial" w:cs="Arial"/>
                <w:sz w:val="20"/>
                <w:szCs w:val="20"/>
              </w:rPr>
              <w:t xml:space="preserve">. </w:t>
            </w:r>
          </w:p>
        </w:tc>
      </w:tr>
      <w:tr w:rsidRPr="00170C3A" w:rsidR="00586025" w:rsidTr="379D4CDC" w14:paraId="4487276C" w14:textId="77777777">
        <w:trPr>
          <w:trHeight w:val="300"/>
        </w:trPr>
        <w:tc>
          <w:tcPr>
            <w:tcW w:w="3005" w:type="dxa"/>
            <w:tcMar>
              <w:left w:w="105" w:type="dxa"/>
              <w:right w:w="105" w:type="dxa"/>
            </w:tcMar>
          </w:tcPr>
          <w:p w:rsidR="00A65D74" w:rsidP="379D4CDC" w:rsidRDefault="67CD8BBF" w14:paraId="0873F538" w14:textId="3C9A8478">
            <w:pPr>
              <w:rPr>
                <w:b/>
                <w:bCs/>
              </w:rPr>
            </w:pPr>
            <w:r w:rsidRPr="379D4CDC">
              <w:rPr>
                <w:b/>
                <w:bCs/>
              </w:rPr>
              <w:t xml:space="preserve">Pharmacy </w:t>
            </w:r>
            <w:r w:rsidRPr="379D4CDC" w:rsidR="096A18D9">
              <w:rPr>
                <w:b/>
                <w:bCs/>
              </w:rPr>
              <w:t xml:space="preserve">Delegated Assurance Framework </w:t>
            </w:r>
          </w:p>
          <w:p w:rsidRPr="00170C3A" w:rsidR="00586025" w:rsidP="00CE3D27" w:rsidRDefault="00586025" w14:paraId="5DF56ED4" w14:textId="397E62E3">
            <w:pPr>
              <w:pStyle w:val="PlainText"/>
              <w:rPr>
                <w:rFonts w:ascii="Arial" w:hAnsi="Arial" w:eastAsia="Calibri" w:cs="Arial"/>
                <w:b/>
                <w:sz w:val="20"/>
                <w:szCs w:val="20"/>
              </w:rPr>
            </w:pPr>
          </w:p>
        </w:tc>
        <w:tc>
          <w:tcPr>
            <w:tcW w:w="3005" w:type="dxa"/>
            <w:tcMar>
              <w:left w:w="105" w:type="dxa"/>
              <w:right w:w="105" w:type="dxa"/>
            </w:tcMar>
          </w:tcPr>
          <w:p w:rsidR="00FE51FD" w:rsidP="379D4CDC" w:rsidRDefault="380C9F28" w14:paraId="2407B8A0" w14:textId="0C1D66E6">
            <w:r>
              <w:t>R</w:t>
            </w:r>
            <w:r w:rsidR="423CF430">
              <w:t xml:space="preserve">eporting for quarter ending March 2026 with all aspects noted as green for meeting all standards </w:t>
            </w:r>
            <w:r w:rsidR="7EA593B1">
              <w:t>regarding</w:t>
            </w:r>
            <w:r w:rsidR="423CF430">
              <w:t xml:space="preserve"> pharmacy areas within the assurance </w:t>
            </w:r>
            <w:r w:rsidR="178A40B9">
              <w:t>framework.</w:t>
            </w:r>
          </w:p>
          <w:p w:rsidR="00FE51FD" w:rsidP="00FE51FD" w:rsidRDefault="00FE51FD" w14:paraId="574285D3" w14:textId="77777777">
            <w:pPr>
              <w:rPr>
                <w:szCs w:val="24"/>
              </w:rPr>
            </w:pPr>
          </w:p>
          <w:p w:rsidRPr="00FE51FD" w:rsidR="3CDFE91D" w:rsidP="00FE51FD" w:rsidRDefault="00FE51FD" w14:paraId="220CE7DD" w14:textId="14B801E9">
            <w:pPr>
              <w:rPr>
                <w:szCs w:val="24"/>
              </w:rPr>
            </w:pPr>
            <w:r>
              <w:rPr>
                <w:szCs w:val="24"/>
              </w:rPr>
              <w:t>The Group are happy for the report to be submitted to NHSE.</w:t>
            </w:r>
          </w:p>
          <w:p w:rsidRPr="00170C3A" w:rsidR="00F8593B" w:rsidP="0004652C" w:rsidRDefault="00F8593B" w14:paraId="77F5E120" w14:textId="77777777">
            <w:pPr>
              <w:pStyle w:val="Numberlist"/>
              <w:numPr>
                <w:ilvl w:val="0"/>
                <w:numId w:val="0"/>
              </w:numPr>
              <w:tabs>
                <w:tab w:val="left" w:pos="565"/>
              </w:tabs>
              <w:rPr>
                <w:bCs/>
                <w:sz w:val="20"/>
                <w:szCs w:val="20"/>
              </w:rPr>
            </w:pPr>
          </w:p>
          <w:p w:rsidRPr="00170C3A" w:rsidR="00F8593B" w:rsidP="0004652C" w:rsidRDefault="00F8593B" w14:paraId="2BA9A018" w14:textId="3F4FC09D">
            <w:pPr>
              <w:pStyle w:val="Numberlist"/>
              <w:numPr>
                <w:ilvl w:val="0"/>
                <w:numId w:val="0"/>
              </w:numPr>
              <w:tabs>
                <w:tab w:val="left" w:pos="565"/>
              </w:tabs>
              <w:rPr>
                <w:b/>
                <w:sz w:val="20"/>
                <w:szCs w:val="20"/>
              </w:rPr>
            </w:pPr>
            <w:r w:rsidRPr="00170C3A">
              <w:rPr>
                <w:b/>
                <w:sz w:val="20"/>
                <w:szCs w:val="20"/>
              </w:rPr>
              <w:t>Approved</w:t>
            </w:r>
          </w:p>
        </w:tc>
        <w:tc>
          <w:tcPr>
            <w:tcW w:w="3127" w:type="dxa"/>
            <w:tcMar>
              <w:left w:w="105" w:type="dxa"/>
              <w:right w:w="105" w:type="dxa"/>
            </w:tcMar>
            <w:vAlign w:val="center"/>
          </w:tcPr>
          <w:p w:rsidRPr="00170C3A" w:rsidR="00586025" w:rsidP="00F51B30" w:rsidRDefault="00FE51FD" w14:paraId="256F93D5" w14:textId="6014FC77">
            <w:pPr>
              <w:rPr>
                <w:rFonts w:ascii="Arial" w:hAnsi="Arial" w:eastAsia="Arial" w:cs="Arial"/>
                <w:sz w:val="20"/>
                <w:szCs w:val="20"/>
              </w:rPr>
            </w:pPr>
            <w:r>
              <w:rPr>
                <w:rFonts w:ascii="Arial" w:hAnsi="Arial" w:eastAsia="Arial" w:cs="Arial"/>
                <w:sz w:val="20"/>
                <w:szCs w:val="20"/>
              </w:rPr>
              <w:t xml:space="preserve">Send Framework </w:t>
            </w:r>
            <w:r w:rsidRPr="00170C3A" w:rsidR="00F8593B">
              <w:rPr>
                <w:rFonts w:ascii="Arial" w:hAnsi="Arial" w:eastAsia="Arial" w:cs="Arial"/>
                <w:sz w:val="20"/>
                <w:szCs w:val="20"/>
              </w:rPr>
              <w:t xml:space="preserve">to </w:t>
            </w:r>
            <w:r>
              <w:rPr>
                <w:rFonts w:ascii="Arial" w:hAnsi="Arial" w:eastAsia="Arial" w:cs="Arial"/>
                <w:sz w:val="20"/>
                <w:szCs w:val="20"/>
              </w:rPr>
              <w:t>NHSE</w:t>
            </w:r>
          </w:p>
        </w:tc>
      </w:tr>
      <w:tr w:rsidRPr="00170C3A" w:rsidR="00F51B30" w:rsidTr="379D4CDC" w14:paraId="2B67F12D" w14:textId="77777777">
        <w:trPr>
          <w:trHeight w:val="300"/>
        </w:trPr>
        <w:tc>
          <w:tcPr>
            <w:tcW w:w="9137" w:type="dxa"/>
            <w:gridSpan w:val="3"/>
            <w:shd w:val="clear" w:color="auto" w:fill="00B050"/>
            <w:tcMar>
              <w:left w:w="105" w:type="dxa"/>
              <w:right w:w="105" w:type="dxa"/>
            </w:tcMar>
            <w:vAlign w:val="center"/>
          </w:tcPr>
          <w:p w:rsidRPr="00170C3A" w:rsidR="00F51B30" w:rsidP="00F51B30" w:rsidRDefault="00F51B30" w14:paraId="5A0A5086" w14:textId="79D8BA38">
            <w:pPr>
              <w:contextualSpacing/>
              <w:rPr>
                <w:rFonts w:ascii="Arial" w:hAnsi="Arial" w:eastAsia="Arial" w:cs="Arial"/>
                <w:sz w:val="20"/>
                <w:szCs w:val="20"/>
              </w:rPr>
            </w:pPr>
            <w:r w:rsidRPr="00170C3A">
              <w:rPr>
                <w:rFonts w:ascii="Arial" w:hAnsi="Arial" w:eastAsia="Arial" w:cs="Arial"/>
                <w:b/>
                <w:sz w:val="20"/>
                <w:szCs w:val="20"/>
              </w:rPr>
              <w:t>Assure</w:t>
            </w:r>
          </w:p>
        </w:tc>
      </w:tr>
      <w:tr w:rsidRPr="00170C3A" w:rsidR="7FB341D9" w:rsidTr="379D4CDC" w14:paraId="52273705" w14:textId="77777777">
        <w:trPr>
          <w:trHeight w:val="555"/>
        </w:trPr>
        <w:tc>
          <w:tcPr>
            <w:tcW w:w="3005" w:type="dxa"/>
            <w:tcMar>
              <w:left w:w="105" w:type="dxa"/>
              <w:right w:w="105" w:type="dxa"/>
            </w:tcMar>
          </w:tcPr>
          <w:p w:rsidRPr="00170C3A" w:rsidR="7EDCB167" w:rsidP="7FB341D9" w:rsidRDefault="7EDCB167" w14:paraId="3BA77231" w14:textId="51502766">
            <w:pPr>
              <w:rPr>
                <w:rFonts w:ascii="Arial" w:hAnsi="Arial" w:eastAsia="Arial" w:cs="Arial"/>
                <w:sz w:val="20"/>
                <w:szCs w:val="20"/>
              </w:rPr>
            </w:pPr>
            <w:r w:rsidRPr="00170C3A">
              <w:rPr>
                <w:rFonts w:ascii="Arial" w:hAnsi="Arial" w:eastAsia="Arial" w:cs="Arial"/>
                <w:sz w:val="20"/>
                <w:szCs w:val="20"/>
              </w:rPr>
              <w:t>Changes of Ownership</w:t>
            </w:r>
          </w:p>
        </w:tc>
        <w:tc>
          <w:tcPr>
            <w:tcW w:w="3005" w:type="dxa"/>
            <w:tcMar>
              <w:left w:w="105" w:type="dxa"/>
              <w:right w:w="105" w:type="dxa"/>
            </w:tcMar>
            <w:vAlign w:val="center"/>
          </w:tcPr>
          <w:p w:rsidRPr="00170C3A" w:rsidR="7EDCB167" w:rsidP="7FB341D9" w:rsidRDefault="7EDCB167" w14:paraId="38F1393C" w14:textId="5499FB97">
            <w:pPr>
              <w:rPr>
                <w:rFonts w:ascii="Arial" w:hAnsi="Arial" w:eastAsia="Arial" w:cs="Arial"/>
                <w:sz w:val="20"/>
                <w:szCs w:val="20"/>
              </w:rPr>
            </w:pPr>
            <w:r w:rsidRPr="00170C3A">
              <w:rPr>
                <w:rFonts w:ascii="Arial" w:hAnsi="Arial" w:eastAsia="Arial" w:cs="Arial"/>
                <w:sz w:val="20"/>
                <w:szCs w:val="20"/>
              </w:rPr>
              <w:t>The Contract Manager is making decisions in line with the Pharmacy Policy Handbook.</w:t>
            </w:r>
          </w:p>
        </w:tc>
        <w:tc>
          <w:tcPr>
            <w:tcW w:w="3127" w:type="dxa"/>
            <w:tcMar>
              <w:left w:w="105" w:type="dxa"/>
              <w:right w:w="105" w:type="dxa"/>
            </w:tcMar>
            <w:vAlign w:val="center"/>
          </w:tcPr>
          <w:p w:rsidRPr="00170C3A" w:rsidR="7FB341D9" w:rsidP="7FB341D9" w:rsidRDefault="7FB341D9" w14:paraId="01FAA0F8" w14:textId="4995C158">
            <w:pPr>
              <w:rPr>
                <w:rFonts w:ascii="Arial" w:hAnsi="Arial" w:eastAsia="Arial" w:cs="Arial"/>
                <w:sz w:val="20"/>
                <w:szCs w:val="20"/>
              </w:rPr>
            </w:pPr>
          </w:p>
        </w:tc>
      </w:tr>
    </w:tbl>
    <w:p w:rsidRPr="00170C3A" w:rsidR="00DE649C" w:rsidP="360C4CB1" w:rsidRDefault="00DE649C" w14:paraId="012F0B18" w14:textId="09366A6A">
      <w:pPr>
        <w:rPr>
          <w:rFonts w:ascii="Arial" w:hAnsi="Arial" w:eastAsia="Arial" w:cs="Arial"/>
          <w:color w:val="000000" w:themeColor="text1"/>
          <w:sz w:val="20"/>
          <w:szCs w:val="20"/>
        </w:rPr>
      </w:pPr>
    </w:p>
    <w:p w:rsidRPr="00170C3A" w:rsidR="00DE649C" w:rsidP="00251325" w:rsidRDefault="40471C97" w14:paraId="7759D2CC" w14:textId="3C99901E">
      <w:pPr>
        <w:pStyle w:val="ListParagraph"/>
        <w:numPr>
          <w:ilvl w:val="0"/>
          <w:numId w:val="7"/>
        </w:numPr>
        <w:rPr>
          <w:rFonts w:eastAsia="Arial" w:cs="Arial"/>
          <w:color w:val="000000" w:themeColor="text1"/>
          <w:sz w:val="20"/>
          <w:szCs w:val="20"/>
        </w:rPr>
      </w:pPr>
      <w:r w:rsidRPr="00170C3A">
        <w:rPr>
          <w:rFonts w:eastAsia="Arial" w:cs="Arial"/>
          <w:b/>
          <w:color w:val="000000" w:themeColor="text1"/>
          <w:sz w:val="20"/>
          <w:szCs w:val="20"/>
          <w:lang w:val="en-US"/>
        </w:rPr>
        <w:t>Summary of items or issues referred to other committees or the Board over the reporting period.</w:t>
      </w:r>
    </w:p>
    <w:p w:rsidRPr="00170C3A" w:rsidR="00DE649C" w:rsidP="360C4CB1" w:rsidRDefault="00DE649C" w14:paraId="7D53C34A" w14:textId="2E0EE7F7">
      <w:pPr>
        <w:spacing w:after="0" w:line="240" w:lineRule="auto"/>
        <w:rPr>
          <w:rFonts w:ascii="Arial" w:hAnsi="Arial" w:eastAsia="Arial" w:cs="Arial"/>
          <w:color w:val="000000" w:themeColor="text1"/>
          <w:sz w:val="20"/>
          <w:szCs w:val="20"/>
        </w:rPr>
      </w:pPr>
    </w:p>
    <w:tbl>
      <w:tblPr>
        <w:tblStyle w:val="TableGrid"/>
        <w:tblW w:w="901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24"/>
        <w:gridCol w:w="4311"/>
        <w:gridCol w:w="2680"/>
      </w:tblGrid>
      <w:tr w:rsidRPr="00170C3A" w:rsidR="360C4CB1" w:rsidTr="004366FF" w14:paraId="068EE4AA" w14:textId="77777777">
        <w:trPr>
          <w:trHeight w:val="300"/>
        </w:trPr>
        <w:tc>
          <w:tcPr>
            <w:tcW w:w="2024" w:type="dxa"/>
            <w:shd w:val="clear" w:color="auto" w:fill="B2A1C7" w:themeFill="accent4" w:themeFillTint="99"/>
            <w:tcMar>
              <w:left w:w="105" w:type="dxa"/>
              <w:right w:w="105" w:type="dxa"/>
            </w:tcMar>
          </w:tcPr>
          <w:p w:rsidRPr="00170C3A" w:rsidR="360C4CB1" w:rsidP="360C4CB1" w:rsidRDefault="360C4CB1" w14:paraId="3748D415" w14:textId="513E936F">
            <w:pPr>
              <w:contextualSpacing/>
              <w:rPr>
                <w:rFonts w:ascii="Arial" w:hAnsi="Arial" w:eastAsia="Arial" w:cs="Arial"/>
                <w:sz w:val="20"/>
                <w:szCs w:val="20"/>
              </w:rPr>
            </w:pPr>
            <w:r w:rsidRPr="00170C3A">
              <w:rPr>
                <w:rFonts w:ascii="Arial" w:hAnsi="Arial" w:eastAsia="Arial" w:cs="Arial"/>
                <w:b/>
                <w:sz w:val="20"/>
                <w:szCs w:val="20"/>
              </w:rPr>
              <w:t>Committee and Date</w:t>
            </w:r>
          </w:p>
        </w:tc>
        <w:tc>
          <w:tcPr>
            <w:tcW w:w="4311" w:type="dxa"/>
            <w:shd w:val="clear" w:color="auto" w:fill="B2A1C7" w:themeFill="accent4" w:themeFillTint="99"/>
            <w:tcMar>
              <w:left w:w="105" w:type="dxa"/>
              <w:right w:w="105" w:type="dxa"/>
            </w:tcMar>
          </w:tcPr>
          <w:p w:rsidRPr="00170C3A" w:rsidR="360C4CB1" w:rsidP="360C4CB1" w:rsidRDefault="360C4CB1" w14:paraId="49263357" w14:textId="2F48209C">
            <w:pPr>
              <w:contextualSpacing/>
              <w:rPr>
                <w:rFonts w:ascii="Arial" w:hAnsi="Arial" w:eastAsia="Arial" w:cs="Arial"/>
                <w:sz w:val="20"/>
                <w:szCs w:val="20"/>
              </w:rPr>
            </w:pPr>
            <w:r w:rsidRPr="00170C3A">
              <w:rPr>
                <w:rFonts w:ascii="Arial" w:hAnsi="Arial" w:eastAsia="Arial" w:cs="Arial"/>
                <w:b/>
                <w:sz w:val="20"/>
                <w:szCs w:val="20"/>
              </w:rPr>
              <w:t>Item or Issue</w:t>
            </w:r>
          </w:p>
        </w:tc>
        <w:tc>
          <w:tcPr>
            <w:tcW w:w="2680" w:type="dxa"/>
            <w:shd w:val="clear" w:color="auto" w:fill="B2A1C7" w:themeFill="accent4" w:themeFillTint="99"/>
            <w:tcMar>
              <w:left w:w="105" w:type="dxa"/>
              <w:right w:w="105" w:type="dxa"/>
            </w:tcMar>
          </w:tcPr>
          <w:p w:rsidRPr="00170C3A" w:rsidR="360C4CB1" w:rsidP="360C4CB1" w:rsidRDefault="360C4CB1" w14:paraId="313A5E46" w14:textId="715928E6">
            <w:pPr>
              <w:contextualSpacing/>
              <w:rPr>
                <w:rFonts w:ascii="Arial" w:hAnsi="Arial" w:eastAsia="Arial" w:cs="Arial"/>
                <w:sz w:val="20"/>
                <w:szCs w:val="20"/>
              </w:rPr>
            </w:pPr>
            <w:r w:rsidRPr="00170C3A">
              <w:rPr>
                <w:rFonts w:ascii="Arial" w:hAnsi="Arial" w:eastAsia="Arial" w:cs="Arial"/>
                <w:b/>
                <w:sz w:val="20"/>
                <w:szCs w:val="20"/>
              </w:rPr>
              <w:t>Referred to</w:t>
            </w:r>
          </w:p>
        </w:tc>
      </w:tr>
      <w:tr w:rsidRPr="00170C3A" w:rsidR="360C4CB1" w:rsidTr="004366FF" w14:paraId="4E3C3FCD" w14:textId="77777777">
        <w:trPr>
          <w:trHeight w:val="300"/>
        </w:trPr>
        <w:tc>
          <w:tcPr>
            <w:tcW w:w="2024" w:type="dxa"/>
            <w:shd w:val="clear" w:color="auto" w:fill="FFFFFF" w:themeFill="background1"/>
            <w:tcMar>
              <w:left w:w="105" w:type="dxa"/>
              <w:right w:w="105" w:type="dxa"/>
            </w:tcMar>
          </w:tcPr>
          <w:p w:rsidRPr="00170C3A" w:rsidR="360C4CB1" w:rsidP="360C4CB1" w:rsidRDefault="360C4CB1" w14:paraId="7B690363" w14:textId="38E0A128">
            <w:pPr>
              <w:rPr>
                <w:rFonts w:ascii="Arial" w:hAnsi="Arial" w:eastAsia="Arial" w:cs="Arial"/>
                <w:sz w:val="20"/>
                <w:szCs w:val="20"/>
              </w:rPr>
            </w:pPr>
          </w:p>
        </w:tc>
        <w:tc>
          <w:tcPr>
            <w:tcW w:w="4311" w:type="dxa"/>
            <w:shd w:val="clear" w:color="auto" w:fill="FFFFFF" w:themeFill="background1"/>
            <w:tcMar>
              <w:left w:w="105" w:type="dxa"/>
              <w:right w:w="105" w:type="dxa"/>
            </w:tcMar>
          </w:tcPr>
          <w:p w:rsidRPr="00170C3A" w:rsidR="360C4CB1" w:rsidP="360C4CB1" w:rsidRDefault="360C4CB1" w14:paraId="4F344E6F" w14:textId="77F7A726">
            <w:pPr>
              <w:contextualSpacing/>
              <w:rPr>
                <w:rFonts w:ascii="Arial" w:hAnsi="Arial" w:eastAsia="Arial" w:cs="Arial"/>
                <w:sz w:val="20"/>
                <w:szCs w:val="20"/>
              </w:rPr>
            </w:pPr>
          </w:p>
        </w:tc>
        <w:tc>
          <w:tcPr>
            <w:tcW w:w="2680" w:type="dxa"/>
            <w:shd w:val="clear" w:color="auto" w:fill="FFFFFF" w:themeFill="background1"/>
            <w:tcMar>
              <w:left w:w="105" w:type="dxa"/>
              <w:right w:w="105" w:type="dxa"/>
            </w:tcMar>
          </w:tcPr>
          <w:p w:rsidRPr="00170C3A" w:rsidR="360C4CB1" w:rsidP="360C4CB1" w:rsidRDefault="360C4CB1" w14:paraId="32C236E1" w14:textId="1424F966">
            <w:pPr>
              <w:contextualSpacing/>
              <w:rPr>
                <w:rFonts w:ascii="Arial" w:hAnsi="Arial" w:eastAsia="Arial" w:cs="Arial"/>
                <w:sz w:val="20"/>
                <w:szCs w:val="20"/>
              </w:rPr>
            </w:pPr>
          </w:p>
        </w:tc>
      </w:tr>
    </w:tbl>
    <w:p w:rsidRPr="00170C3A" w:rsidR="00F51B30" w:rsidP="00977519" w:rsidRDefault="00F51B30" w14:paraId="69C0AC2D" w14:textId="77777777">
      <w:pPr>
        <w:pStyle w:val="ListParagraph"/>
        <w:rPr>
          <w:rFonts w:cs="Arial"/>
          <w:sz w:val="20"/>
          <w:szCs w:val="20"/>
        </w:rPr>
      </w:pPr>
    </w:p>
    <w:p w:rsidRPr="00170C3A" w:rsidR="00F51B30" w:rsidP="00977519" w:rsidRDefault="00F51B30" w14:paraId="7846E19A" w14:textId="77777777">
      <w:pPr>
        <w:pStyle w:val="ListParagraph"/>
        <w:rPr>
          <w:rFonts w:cs="Arial"/>
          <w:sz w:val="20"/>
          <w:szCs w:val="20"/>
        </w:rPr>
      </w:pPr>
    </w:p>
    <w:p w:rsidRPr="00170C3A" w:rsidR="00D0534C" w:rsidP="007D45A7" w:rsidRDefault="00D0534C" w14:paraId="0E5FE46A" w14:textId="77777777">
      <w:pPr>
        <w:spacing w:after="0" w:line="240" w:lineRule="auto"/>
        <w:rPr>
          <w:rFonts w:ascii="Arial" w:hAnsi="Arial" w:eastAsia="Arial" w:cs="Arial"/>
          <w:color w:val="000000" w:themeColor="text1"/>
          <w:sz w:val="20"/>
          <w:szCs w:val="20"/>
        </w:rPr>
      </w:pPr>
    </w:p>
    <w:p w:rsidRPr="00170C3A" w:rsidR="0088175D" w:rsidP="0088175D" w:rsidRDefault="0088175D" w14:paraId="7588B7E2" w14:textId="77777777">
      <w:pPr>
        <w:rPr>
          <w:rFonts w:ascii="Arial" w:hAnsi="Arial" w:eastAsia="Arial" w:cs="Arial"/>
          <w:color w:val="000000" w:themeColor="text1"/>
          <w:sz w:val="20"/>
          <w:szCs w:val="20"/>
        </w:rPr>
      </w:pPr>
    </w:p>
    <w:tbl>
      <w:tblPr>
        <w:tblStyle w:val="TableGrid"/>
        <w:tblW w:w="9615" w:type="dxa"/>
        <w:tblInd w:w="-30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815"/>
        <w:gridCol w:w="1830"/>
        <w:gridCol w:w="2970"/>
      </w:tblGrid>
      <w:tr w:rsidRPr="00170C3A" w:rsidR="0088175D" w:rsidTr="00C11E6D" w14:paraId="7DD277D1" w14:textId="77777777">
        <w:trPr>
          <w:trHeight w:val="300"/>
        </w:trPr>
        <w:tc>
          <w:tcPr>
            <w:tcW w:w="4815"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88175D" w:rsidP="00C11E6D" w:rsidRDefault="0088175D" w14:paraId="190340CE" w14:textId="62C6B2ED">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 xml:space="preserve">Committee: </w:t>
            </w:r>
            <w:r w:rsidRPr="00170C3A" w:rsidR="000F4463">
              <w:rPr>
                <w:rFonts w:ascii="Arial" w:hAnsi="Arial" w:eastAsia="Arial" w:cs="Arial"/>
                <w:color w:val="808080" w:themeColor="background1" w:themeShade="80"/>
                <w:sz w:val="20"/>
                <w:szCs w:val="20"/>
                <w:lang w:val="en-US"/>
              </w:rPr>
              <w:t>Primary Optometric Services Group</w:t>
            </w:r>
          </w:p>
        </w:tc>
        <w:tc>
          <w:tcPr>
            <w:tcW w:w="1830"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88175D" w:rsidP="00C11E6D" w:rsidRDefault="0088175D" w14:paraId="2CD9E14D" w14:textId="750F6858">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 xml:space="preserve">Date: </w:t>
            </w:r>
            <w:r w:rsidRPr="00170C3A" w:rsidR="00623840">
              <w:rPr>
                <w:rFonts w:ascii="Arial" w:hAnsi="Arial" w:eastAsia="Arial" w:cs="Arial"/>
                <w:color w:val="808080" w:themeColor="background1" w:themeShade="80"/>
                <w:sz w:val="20"/>
                <w:szCs w:val="20"/>
                <w:lang w:val="en-US"/>
              </w:rPr>
              <w:t>No Meeting Held</w:t>
            </w:r>
          </w:p>
        </w:tc>
        <w:tc>
          <w:tcPr>
            <w:tcW w:w="2970"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88175D" w:rsidP="00C11E6D" w:rsidRDefault="0088175D" w14:paraId="3DA4FEDF" w14:textId="0CD34371">
            <w:pPr>
              <w:pStyle w:val="Heading1"/>
              <w:spacing w:before="120"/>
              <w:rPr>
                <w:rFonts w:ascii="Arial" w:hAnsi="Arial" w:eastAsia="Arial" w:cs="Arial"/>
                <w:color w:val="808080" w:themeColor="background1" w:themeShade="80"/>
                <w:sz w:val="20"/>
                <w:szCs w:val="20"/>
              </w:rPr>
            </w:pPr>
            <w:r w:rsidRPr="00170C3A">
              <w:rPr>
                <w:rFonts w:ascii="Arial" w:hAnsi="Arial" w:eastAsia="Arial" w:cs="Arial"/>
                <w:color w:val="808080" w:themeColor="background1" w:themeShade="80"/>
                <w:sz w:val="20"/>
                <w:szCs w:val="20"/>
                <w:lang w:val="en-US"/>
              </w:rPr>
              <w:t xml:space="preserve">Chair: </w:t>
            </w:r>
            <w:r w:rsidRPr="00170C3A" w:rsidR="000F4463">
              <w:rPr>
                <w:rFonts w:ascii="Arial" w:hAnsi="Arial" w:eastAsia="Arial" w:cs="Arial"/>
                <w:color w:val="808080" w:themeColor="background1" w:themeShade="80"/>
                <w:sz w:val="20"/>
                <w:szCs w:val="20"/>
                <w:lang w:val="en-US"/>
              </w:rPr>
              <w:t>Dawn Haworth</w:t>
            </w:r>
          </w:p>
        </w:tc>
      </w:tr>
    </w:tbl>
    <w:p w:rsidRPr="00170C3A" w:rsidR="0088175D" w:rsidP="0088175D" w:rsidRDefault="0088175D" w14:paraId="0E4B7FB8" w14:textId="77777777">
      <w:pPr>
        <w:spacing w:after="0" w:line="240" w:lineRule="auto"/>
        <w:ind w:left="1440"/>
        <w:contextualSpacing/>
        <w:rPr>
          <w:rFonts w:ascii="Arial" w:hAnsi="Arial" w:eastAsia="Arial" w:cs="Arial"/>
          <w:color w:val="000000" w:themeColor="text1"/>
          <w:sz w:val="20"/>
          <w:szCs w:val="20"/>
        </w:rPr>
      </w:pPr>
    </w:p>
    <w:tbl>
      <w:tblPr>
        <w:tblStyle w:val="TableGrid"/>
        <w:tblW w:w="9597" w:type="dxa"/>
        <w:tblInd w:w="-300" w:type="dxa"/>
        <w:tblBorders>
          <w:top w:val="single" w:color="auto" w:sz="6" w:space="0"/>
          <w:left w:val="single" w:color="auto" w:sz="6" w:space="0"/>
          <w:bottom w:val="single" w:color="auto" w:sz="6" w:space="0"/>
          <w:right w:val="single" w:color="auto" w:sz="6" w:space="0"/>
        </w:tblBorders>
        <w:tblLayout w:type="fixed"/>
        <w:tblLook w:val="0480" w:firstRow="0" w:lastRow="0" w:firstColumn="1" w:lastColumn="0" w:noHBand="0" w:noVBand="1"/>
      </w:tblPr>
      <w:tblGrid>
        <w:gridCol w:w="2702"/>
        <w:gridCol w:w="4394"/>
        <w:gridCol w:w="2501"/>
      </w:tblGrid>
      <w:tr w:rsidRPr="00170C3A" w:rsidR="0088175D" w:rsidTr="18DB50B9" w14:paraId="2BBAAE5B" w14:textId="77777777">
        <w:trPr>
          <w:trHeight w:val="300"/>
        </w:trPr>
        <w:tc>
          <w:tcPr>
            <w:tcW w:w="9597" w:type="dxa"/>
            <w:gridSpan w:val="3"/>
            <w:tcBorders>
              <w:top w:val="single" w:color="auto" w:sz="6" w:space="0"/>
              <w:left w:val="single" w:color="auto" w:sz="6" w:space="0"/>
              <w:bottom w:val="single" w:color="auto" w:sz="6" w:space="0"/>
              <w:right w:val="single" w:color="auto" w:sz="6" w:space="0"/>
            </w:tcBorders>
            <w:shd w:val="clear" w:color="auto" w:fill="0070C0"/>
            <w:tcMar>
              <w:left w:w="105" w:type="dxa"/>
              <w:right w:w="105" w:type="dxa"/>
            </w:tcMar>
            <w:vAlign w:val="center"/>
          </w:tcPr>
          <w:p w:rsidRPr="00170C3A" w:rsidR="0088175D" w:rsidP="00C11E6D" w:rsidRDefault="0088175D" w14:paraId="016F73D0" w14:textId="77777777">
            <w:pPr>
              <w:spacing w:after="255"/>
              <w:contextualSpacing/>
              <w:rPr>
                <w:rFonts w:ascii="Arial" w:hAnsi="Arial" w:eastAsia="Arial" w:cs="Arial"/>
                <w:color w:val="FFFFFF" w:themeColor="background1"/>
                <w:sz w:val="20"/>
                <w:szCs w:val="20"/>
              </w:rPr>
            </w:pPr>
            <w:r w:rsidRPr="00170C3A">
              <w:rPr>
                <w:rFonts w:ascii="Arial" w:hAnsi="Arial" w:eastAsia="Arial" w:cs="Arial"/>
                <w:b/>
                <w:bCs/>
                <w:smallCaps/>
                <w:color w:val="FFFFFF" w:themeColor="background1"/>
                <w:sz w:val="20"/>
                <w:szCs w:val="20"/>
              </w:rPr>
              <w:t>K</w:t>
            </w:r>
            <w:r w:rsidRPr="00170C3A">
              <w:rPr>
                <w:rFonts w:ascii="Arial" w:hAnsi="Arial" w:eastAsia="Arial" w:cs="Arial"/>
                <w:b/>
                <w:bCs/>
                <w:color w:val="FFFFFF" w:themeColor="background1"/>
                <w:sz w:val="20"/>
                <w:szCs w:val="20"/>
              </w:rPr>
              <w:t>ey Items Discussed</w:t>
            </w:r>
          </w:p>
        </w:tc>
      </w:tr>
      <w:tr w:rsidRPr="00170C3A" w:rsidR="0088175D" w:rsidTr="18DB50B9" w14:paraId="21B9C314" w14:textId="77777777">
        <w:trPr>
          <w:trHeight w:val="300"/>
        </w:trPr>
        <w:tc>
          <w:tcPr>
            <w:tcW w:w="2702"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0088175D" w:rsidP="00C11E6D" w:rsidRDefault="0088175D" w14:paraId="33BFB0F4" w14:textId="77777777">
            <w:pPr>
              <w:spacing w:after="255"/>
              <w:contextualSpacing/>
              <w:rPr>
                <w:rFonts w:ascii="Arial" w:hAnsi="Arial" w:eastAsia="Arial" w:cs="Arial"/>
                <w:sz w:val="20"/>
                <w:szCs w:val="20"/>
              </w:rPr>
            </w:pPr>
            <w:r w:rsidRPr="00170C3A">
              <w:rPr>
                <w:rFonts w:ascii="Arial" w:hAnsi="Arial" w:eastAsia="Arial" w:cs="Arial"/>
                <w:b/>
                <w:bCs/>
                <w:sz w:val="20"/>
                <w:szCs w:val="20"/>
              </w:rPr>
              <w:t>Issue</w:t>
            </w:r>
          </w:p>
        </w:tc>
        <w:tc>
          <w:tcPr>
            <w:tcW w:w="4394"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0088175D" w:rsidP="00C11E6D" w:rsidRDefault="0088175D" w14:paraId="5BF44217" w14:textId="77777777">
            <w:pPr>
              <w:spacing w:after="255"/>
              <w:contextualSpacing/>
              <w:rPr>
                <w:rFonts w:ascii="Arial" w:hAnsi="Arial" w:eastAsia="Arial" w:cs="Arial"/>
                <w:sz w:val="20"/>
                <w:szCs w:val="20"/>
              </w:rPr>
            </w:pPr>
            <w:r w:rsidRPr="00170C3A">
              <w:rPr>
                <w:rFonts w:ascii="Arial" w:hAnsi="Arial" w:eastAsia="Arial" w:cs="Arial"/>
                <w:b/>
                <w:bCs/>
                <w:sz w:val="20"/>
                <w:szCs w:val="20"/>
              </w:rPr>
              <w:t>Committee Update</w:t>
            </w:r>
          </w:p>
        </w:tc>
        <w:tc>
          <w:tcPr>
            <w:tcW w:w="2501" w:type="dxa"/>
            <w:tcBorders>
              <w:top w:val="single" w:color="auto" w:sz="6" w:space="0"/>
              <w:left w:val="single" w:color="auto" w:sz="6" w:space="0"/>
              <w:bottom w:val="single" w:color="auto" w:sz="6" w:space="0"/>
              <w:right w:val="single" w:color="auto" w:sz="6" w:space="0"/>
            </w:tcBorders>
            <w:shd w:val="clear" w:color="auto" w:fill="FFFFFF" w:themeFill="background1"/>
            <w:tcMar>
              <w:left w:w="105" w:type="dxa"/>
              <w:right w:w="105" w:type="dxa"/>
            </w:tcMar>
          </w:tcPr>
          <w:p w:rsidRPr="00170C3A" w:rsidR="0088175D" w:rsidP="00C11E6D" w:rsidRDefault="0088175D" w14:paraId="44984C73" w14:textId="77777777">
            <w:pPr>
              <w:spacing w:after="255"/>
              <w:contextualSpacing/>
              <w:rPr>
                <w:rFonts w:ascii="Arial" w:hAnsi="Arial" w:eastAsia="Arial" w:cs="Arial"/>
                <w:sz w:val="20"/>
                <w:szCs w:val="20"/>
              </w:rPr>
            </w:pPr>
            <w:r w:rsidRPr="00170C3A">
              <w:rPr>
                <w:rFonts w:ascii="Arial" w:hAnsi="Arial" w:eastAsia="Arial" w:cs="Arial"/>
                <w:b/>
                <w:bCs/>
                <w:sz w:val="20"/>
                <w:szCs w:val="20"/>
              </w:rPr>
              <w:t>Action</w:t>
            </w:r>
          </w:p>
        </w:tc>
      </w:tr>
      <w:tr w:rsidRPr="00170C3A" w:rsidR="0088175D" w:rsidTr="18DB50B9" w14:paraId="61BB0874" w14:textId="77777777">
        <w:trPr>
          <w:trHeight w:val="300"/>
        </w:trPr>
        <w:tc>
          <w:tcPr>
            <w:tcW w:w="9597" w:type="dxa"/>
            <w:gridSpan w:val="3"/>
            <w:tcBorders>
              <w:top w:val="single" w:color="auto" w:sz="6" w:space="0"/>
              <w:left w:val="single" w:color="auto" w:sz="6" w:space="0"/>
              <w:bottom w:val="single" w:color="auto" w:sz="6" w:space="0"/>
              <w:right w:val="single" w:color="auto" w:sz="6" w:space="0"/>
            </w:tcBorders>
            <w:shd w:val="clear" w:color="auto" w:fill="FF5050"/>
            <w:tcMar>
              <w:left w:w="105" w:type="dxa"/>
              <w:right w:w="105" w:type="dxa"/>
            </w:tcMar>
          </w:tcPr>
          <w:p w:rsidRPr="00170C3A" w:rsidR="0088175D" w:rsidP="00C11E6D" w:rsidRDefault="0088175D" w14:paraId="6E7D8DEF" w14:textId="77777777">
            <w:pPr>
              <w:spacing w:after="255"/>
              <w:contextualSpacing/>
              <w:rPr>
                <w:rFonts w:ascii="Arial" w:hAnsi="Arial" w:eastAsia="Arial" w:cs="Arial"/>
                <w:color w:val="FFFFFF" w:themeColor="background1"/>
                <w:sz w:val="20"/>
                <w:szCs w:val="20"/>
              </w:rPr>
            </w:pPr>
            <w:r w:rsidRPr="00170C3A">
              <w:rPr>
                <w:rFonts w:ascii="Arial" w:hAnsi="Arial" w:eastAsia="Arial" w:cs="Arial"/>
                <w:b/>
                <w:bCs/>
                <w:color w:val="FFFFFF" w:themeColor="background1"/>
                <w:sz w:val="20"/>
                <w:szCs w:val="20"/>
              </w:rPr>
              <w:t xml:space="preserve">Alert </w:t>
            </w:r>
          </w:p>
        </w:tc>
      </w:tr>
      <w:tr w:rsidRPr="00170C3A" w:rsidR="0088175D" w:rsidTr="18DB50B9" w14:paraId="12D74513"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88175D" w:rsidP="00C11E6D" w:rsidRDefault="0088175D" w14:paraId="5F402314" w14:textId="77777777">
            <w:pPr>
              <w:spacing w:after="255"/>
              <w:contextualSpacing/>
              <w:rPr>
                <w:rFonts w:ascii="Arial" w:hAnsi="Arial" w:eastAsia="Arial" w:cs="Arial"/>
                <w:sz w:val="20"/>
                <w:szCs w:val="20"/>
              </w:rPr>
            </w:pP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88175D" w:rsidP="00C11E6D" w:rsidRDefault="0088175D" w14:paraId="3A8EA768" w14:textId="77777777">
            <w:pPr>
              <w:spacing w:after="255"/>
              <w:contextualSpacing/>
              <w:jc w:val="center"/>
              <w:rPr>
                <w:rFonts w:ascii="Arial" w:hAnsi="Arial" w:eastAsia="Arial" w:cs="Arial"/>
                <w:b/>
                <w:bCs/>
                <w:sz w:val="20"/>
                <w:szCs w:val="20"/>
              </w:rPr>
            </w:pPr>
            <w:r w:rsidRPr="00170C3A">
              <w:rPr>
                <w:rFonts w:ascii="Arial" w:hAnsi="Arial" w:eastAsia="Arial" w:cs="Arial"/>
                <w:b/>
                <w:bCs/>
                <w:sz w:val="20"/>
                <w:szCs w:val="20"/>
              </w:rPr>
              <w:t>Nothing to Escalate</w:t>
            </w: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88175D" w:rsidP="00C11E6D" w:rsidRDefault="0088175D" w14:paraId="0DB92543" w14:textId="77777777">
            <w:pPr>
              <w:spacing w:after="255"/>
              <w:contextualSpacing/>
              <w:rPr>
                <w:rFonts w:ascii="Arial" w:hAnsi="Arial" w:eastAsia="Arial" w:cs="Arial"/>
                <w:sz w:val="20"/>
                <w:szCs w:val="20"/>
              </w:rPr>
            </w:pPr>
          </w:p>
        </w:tc>
      </w:tr>
      <w:tr w:rsidRPr="00170C3A" w:rsidR="0088175D" w:rsidTr="18DB50B9" w14:paraId="70F8757F" w14:textId="77777777">
        <w:trPr>
          <w:trHeight w:val="300"/>
        </w:trPr>
        <w:tc>
          <w:tcPr>
            <w:tcW w:w="9597" w:type="dxa"/>
            <w:gridSpan w:val="3"/>
            <w:tcBorders>
              <w:top w:val="single" w:color="auto" w:sz="6" w:space="0"/>
              <w:left w:val="single" w:color="auto" w:sz="6" w:space="0"/>
              <w:bottom w:val="single" w:color="auto" w:sz="6" w:space="0"/>
              <w:right w:val="single" w:color="auto" w:sz="6" w:space="0"/>
            </w:tcBorders>
            <w:shd w:val="clear" w:color="auto" w:fill="FFC000"/>
            <w:tcMar>
              <w:left w:w="105" w:type="dxa"/>
              <w:right w:w="105" w:type="dxa"/>
            </w:tcMar>
          </w:tcPr>
          <w:p w:rsidRPr="00170C3A" w:rsidR="0088175D" w:rsidP="00C11E6D" w:rsidRDefault="0088175D" w14:paraId="67819330" w14:textId="77777777">
            <w:pPr>
              <w:spacing w:after="255"/>
              <w:contextualSpacing/>
              <w:rPr>
                <w:rFonts w:ascii="Arial" w:hAnsi="Arial" w:eastAsia="Arial" w:cs="Arial"/>
                <w:color w:val="000000" w:themeColor="text1"/>
                <w:sz w:val="20"/>
                <w:szCs w:val="20"/>
              </w:rPr>
            </w:pPr>
            <w:r w:rsidRPr="00170C3A">
              <w:rPr>
                <w:rFonts w:ascii="Arial" w:hAnsi="Arial" w:eastAsia="Arial" w:cs="Arial"/>
                <w:b/>
                <w:bCs/>
                <w:color w:val="000000" w:themeColor="text1"/>
                <w:sz w:val="20"/>
                <w:szCs w:val="20"/>
              </w:rPr>
              <w:t xml:space="preserve">Advise </w:t>
            </w:r>
          </w:p>
        </w:tc>
      </w:tr>
      <w:tr w:rsidRPr="00170C3A" w:rsidR="00623840" w:rsidTr="18DB50B9" w14:paraId="70CEC26B"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5F255D" w:rsidR="003D0AA0" w:rsidP="0011176F" w:rsidRDefault="003D0AA0" w14:paraId="7DEEFA4E" w14:textId="7A2C983E">
            <w:pPr>
              <w:rPr>
                <w:rFonts w:ascii="Arial" w:hAnsi="Arial" w:eastAsia="Calibri" w:cs="Arial"/>
                <w:b/>
                <w14:ligatures w14:val="standardContextual"/>
              </w:rPr>
            </w:pPr>
            <w:r w:rsidRPr="005F255D">
              <w:rPr>
                <w:rFonts w:ascii="Arial" w:hAnsi="Arial" w:eastAsia="Calibri" w:cs="Arial"/>
                <w:b/>
                <w14:ligatures w14:val="standardContextual"/>
              </w:rPr>
              <w:t xml:space="preserve">Post Payment Verification (PPV) Period 8 </w:t>
            </w:r>
          </w:p>
          <w:p w:rsidRPr="005F255D" w:rsidR="00623840" w:rsidP="00623840" w:rsidRDefault="00623840" w14:paraId="06C079E8" w14:textId="2BBC20D7">
            <w:pPr>
              <w:rPr>
                <w:rFonts w:ascii="Arial" w:hAnsi="Arial" w:eastAsia="Arial" w:cs="Arial"/>
                <w:color w:val="000000" w:themeColor="text1"/>
              </w:rPr>
            </w:pP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3D0AA0" w:rsidR="003D0AA0" w:rsidP="003D0AA0" w:rsidRDefault="003D0AA0" w14:paraId="5D5F79ED" w14:textId="0C9E1923">
            <w:pPr>
              <w:rPr>
                <w:rFonts w:ascii="Arial" w:hAnsi="Arial" w:eastAsia="Calibri" w:cs="Arial"/>
                <w:sz w:val="20"/>
                <w:szCs w:val="20"/>
                <w14:ligatures w14:val="standardContextual"/>
              </w:rPr>
            </w:pPr>
            <w:r w:rsidRPr="003D0AA0">
              <w:rPr>
                <w:rFonts w:ascii="Arial" w:hAnsi="Arial" w:eastAsia="Calibri" w:cs="Arial"/>
                <w:sz w:val="20"/>
                <w:szCs w:val="20"/>
                <w14:ligatures w14:val="standardContextual"/>
              </w:rPr>
              <w:t xml:space="preserve">Risk Based Sampling Period for claims submitted between 1 July 2022 and 30 June 2024 have now been received.     </w:t>
            </w:r>
          </w:p>
          <w:p w:rsidRPr="003D0AA0" w:rsidR="003D0AA0" w:rsidP="1F2A7704" w:rsidRDefault="003D0AA0" w14:paraId="4794BC5F" w14:textId="4678D0E4">
            <w:pPr>
              <w:rPr>
                <w:rFonts w:ascii="Arial" w:hAnsi="Arial" w:eastAsia="Calibri" w:cs="Arial"/>
                <w:sz w:val="20"/>
                <w:szCs w:val="20"/>
                <w14:ligatures w14:val="standardContextual"/>
              </w:rPr>
            </w:pPr>
          </w:p>
          <w:p w:rsidRPr="003D0AA0" w:rsidR="003D0AA0" w:rsidP="1F2A7704" w:rsidRDefault="131D4E3C" w14:paraId="300B60C7" w14:textId="4BA34033">
            <w:pPr>
              <w:rPr>
                <w:rFonts w:ascii="Arial" w:hAnsi="Arial" w:eastAsia="Calibri" w:cs="Arial"/>
                <w:sz w:val="20"/>
                <w:szCs w:val="20"/>
              </w:rPr>
            </w:pPr>
            <w:r w:rsidRPr="1F2A7704">
              <w:rPr>
                <w:rFonts w:ascii="Arial" w:hAnsi="Arial" w:eastAsia="Calibri" w:cs="Arial"/>
                <w:sz w:val="20"/>
                <w:szCs w:val="20"/>
              </w:rPr>
              <w:t>2</w:t>
            </w:r>
            <w:r w:rsidRPr="1F2A7704" w:rsidR="003D0AA0">
              <w:rPr>
                <w:rFonts w:ascii="Arial" w:hAnsi="Arial" w:eastAsia="Calibri" w:cs="Arial"/>
                <w:sz w:val="20"/>
                <w:szCs w:val="20"/>
              </w:rPr>
              <w:t xml:space="preserve"> practices were identified as high outliers in relation to:</w:t>
            </w:r>
          </w:p>
          <w:p w:rsidRPr="003D0AA0" w:rsidR="003D0AA0" w:rsidP="003D0AA0" w:rsidRDefault="003D0AA0" w14:paraId="3F8C8B15" w14:textId="77777777">
            <w:pPr>
              <w:rPr>
                <w:rFonts w:ascii="Arial" w:hAnsi="Arial" w:eastAsia="Calibri" w:cs="Arial"/>
                <w:sz w:val="20"/>
                <w:szCs w:val="20"/>
                <w14:ligatures w14:val="standardContextual"/>
              </w:rPr>
            </w:pPr>
          </w:p>
          <w:p w:rsidRPr="003D0AA0" w:rsidR="003D0AA0" w:rsidP="00251325" w:rsidRDefault="003D0AA0" w14:paraId="0DC087D6" w14:textId="77777777">
            <w:pPr>
              <w:numPr>
                <w:ilvl w:val="0"/>
                <w:numId w:val="11"/>
              </w:numPr>
              <w:contextualSpacing/>
              <w:rPr>
                <w:rFonts w:ascii="Arial" w:hAnsi="Arial" w:eastAsia="Times New Roman" w:cs="Arial"/>
                <w:color w:val="000000"/>
                <w:sz w:val="20"/>
                <w:szCs w:val="20"/>
                <w:lang w:eastAsia="en-GB"/>
              </w:rPr>
            </w:pPr>
            <w:r w:rsidRPr="003D0AA0">
              <w:rPr>
                <w:rFonts w:ascii="Arial" w:hAnsi="Arial" w:eastAsia="Times New Roman" w:cs="Arial"/>
                <w:color w:val="000000"/>
                <w:sz w:val="20"/>
                <w:szCs w:val="20"/>
                <w:lang w:eastAsia="en-GB"/>
              </w:rPr>
              <w:t>High percentage of GOS3 to GOS1 or GOS6 (during the normal interval period)</w:t>
            </w:r>
          </w:p>
          <w:p w:rsidRPr="003D0AA0" w:rsidR="003D0AA0" w:rsidP="00251325" w:rsidRDefault="003D0AA0" w14:paraId="2E27E31A" w14:textId="77777777">
            <w:pPr>
              <w:numPr>
                <w:ilvl w:val="0"/>
                <w:numId w:val="11"/>
              </w:numPr>
              <w:contextualSpacing/>
              <w:rPr>
                <w:rFonts w:ascii="Arial" w:hAnsi="Arial" w:eastAsia="Times New Roman" w:cs="Arial"/>
                <w:color w:val="000000"/>
                <w:sz w:val="20"/>
                <w:szCs w:val="20"/>
                <w:lang w:eastAsia="en-GB"/>
              </w:rPr>
            </w:pPr>
            <w:r w:rsidRPr="003D0AA0">
              <w:rPr>
                <w:rFonts w:ascii="Arial" w:hAnsi="Arial" w:eastAsia="Times New Roman" w:cs="Arial"/>
                <w:color w:val="000000"/>
                <w:sz w:val="20"/>
                <w:szCs w:val="20"/>
                <w:lang w:eastAsia="en-GB"/>
              </w:rPr>
              <w:t>High percentage of tints and prisms in relation to total GOS3</w:t>
            </w:r>
          </w:p>
          <w:p w:rsidRPr="003D0AA0" w:rsidR="003D0AA0" w:rsidP="003D0AA0" w:rsidRDefault="003D0AA0" w14:paraId="54E6FFCA" w14:textId="45BA3107">
            <w:pPr>
              <w:rPr>
                <w:rFonts w:ascii="Arial" w:hAnsi="Arial" w:eastAsia="Times New Roman" w:cs="Arial"/>
                <w:color w:val="000000"/>
                <w:sz w:val="20"/>
                <w:szCs w:val="20"/>
                <w:lang w:eastAsia="en-GB"/>
              </w:rPr>
            </w:pPr>
          </w:p>
          <w:p w:rsidRPr="003D0AA0" w:rsidR="003D0AA0" w:rsidP="1F2A7704" w:rsidRDefault="003D0AA0" w14:paraId="3CEFD567" w14:textId="603AAEB1">
            <w:pPr>
              <w:rPr>
                <w:rFonts w:ascii="Arial" w:hAnsi="Arial" w:eastAsia="Times New Roman" w:cs="Arial"/>
                <w:color w:val="000000" w:themeColor="text1"/>
                <w:sz w:val="20"/>
                <w:szCs w:val="20"/>
                <w:lang w:eastAsia="en-GB"/>
              </w:rPr>
            </w:pPr>
            <w:r w:rsidRPr="18DB50B9">
              <w:rPr>
                <w:rFonts w:ascii="Arial" w:hAnsi="Arial" w:eastAsia="Times New Roman" w:cs="Arial"/>
                <w:color w:val="000000" w:themeColor="text1"/>
                <w:sz w:val="20"/>
                <w:szCs w:val="20"/>
                <w:lang w:eastAsia="en-GB"/>
              </w:rPr>
              <w:t xml:space="preserve">The report for </w:t>
            </w:r>
            <w:r w:rsidRPr="18DB50B9" w:rsidR="0934615C">
              <w:rPr>
                <w:rFonts w:ascii="Arial" w:hAnsi="Arial" w:eastAsia="Times New Roman" w:cs="Arial"/>
                <w:color w:val="000000" w:themeColor="text1"/>
                <w:sz w:val="20"/>
                <w:szCs w:val="20"/>
                <w:lang w:eastAsia="en-GB"/>
              </w:rPr>
              <w:t>on</w:t>
            </w:r>
            <w:r w:rsidRPr="18DB50B9" w:rsidR="213FB4A1">
              <w:rPr>
                <w:rFonts w:ascii="Arial" w:hAnsi="Arial" w:eastAsia="Times New Roman" w:cs="Arial"/>
                <w:color w:val="000000" w:themeColor="text1"/>
                <w:sz w:val="20"/>
                <w:szCs w:val="20"/>
                <w:lang w:eastAsia="en-GB"/>
              </w:rPr>
              <w:t>e</w:t>
            </w:r>
            <w:r w:rsidRPr="18DB50B9" w:rsidR="0934615C">
              <w:rPr>
                <w:rFonts w:ascii="Arial" w:hAnsi="Arial" w:eastAsia="Times New Roman" w:cs="Arial"/>
                <w:color w:val="000000" w:themeColor="text1"/>
                <w:sz w:val="20"/>
                <w:szCs w:val="20"/>
                <w:lang w:eastAsia="en-GB"/>
              </w:rPr>
              <w:t xml:space="preserve"> provider</w:t>
            </w:r>
            <w:r w:rsidRPr="18DB50B9">
              <w:rPr>
                <w:rFonts w:ascii="Arial" w:hAnsi="Arial" w:eastAsia="Times New Roman" w:cs="Arial"/>
                <w:color w:val="000000" w:themeColor="text1"/>
                <w:sz w:val="20"/>
                <w:szCs w:val="20"/>
                <w:lang w:eastAsia="en-GB"/>
              </w:rPr>
              <w:t xml:space="preserve"> is being processed.  On agreement with the report the reclaim will be £867.58</w:t>
            </w:r>
          </w:p>
          <w:p w:rsidRPr="005D3C68" w:rsidR="00623840" w:rsidP="00623840" w:rsidRDefault="00623840" w14:paraId="21117AFF" w14:textId="30BA565D">
            <w:pPr>
              <w:widowControl w:val="0"/>
              <w:jc w:val="center"/>
              <w:rPr>
                <w:rFonts w:ascii="Arial" w:hAnsi="Arial" w:eastAsia="Arial" w:cs="Arial"/>
                <w:color w:val="000000" w:themeColor="text1"/>
                <w:sz w:val="20"/>
                <w:szCs w:val="20"/>
              </w:rPr>
            </w:pP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623840" w:rsidP="00623840" w:rsidRDefault="00623840" w14:paraId="36A84794" w14:textId="35EB9949">
            <w:pPr>
              <w:spacing w:after="255"/>
              <w:rPr>
                <w:rFonts w:ascii="Arial" w:hAnsi="Arial" w:eastAsia="Arial" w:cs="Arial"/>
                <w:sz w:val="20"/>
                <w:szCs w:val="20"/>
              </w:rPr>
            </w:pPr>
          </w:p>
        </w:tc>
      </w:tr>
      <w:tr w:rsidRPr="00170C3A" w:rsidR="00BD6A3C" w:rsidTr="18DB50B9" w14:paraId="13B6F6CF"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5F255D" w:rsidR="00BD6A3C" w:rsidP="1F2A7704" w:rsidRDefault="3B6A787E" w14:paraId="2E217D47" w14:textId="52E2783D">
            <w:pPr>
              <w:jc w:val="both"/>
              <w:rPr>
                <w:rFonts w:ascii="Arial" w:hAnsi="Arial" w:eastAsia="Calibri" w:cs="Arial"/>
                <w:b/>
                <w:bCs/>
              </w:rPr>
            </w:pPr>
            <w:r w:rsidRPr="005F255D">
              <w:rPr>
                <w:rFonts w:ascii="Arial" w:hAnsi="Arial" w:eastAsia="Calibri" w:cs="Arial"/>
                <w:b/>
                <w:bCs/>
              </w:rPr>
              <w:t>Contractor</w:t>
            </w:r>
            <w:r w:rsidRPr="005F255D" w:rsidR="520DB009">
              <w:rPr>
                <w:rFonts w:ascii="Arial" w:hAnsi="Arial" w:eastAsia="Calibri" w:cs="Arial"/>
                <w:b/>
                <w:bCs/>
              </w:rPr>
              <w:t xml:space="preserve"> Application</w:t>
            </w:r>
            <w:r w:rsidRPr="005F255D">
              <w:rPr>
                <w:rFonts w:ascii="Arial" w:hAnsi="Arial" w:eastAsia="Calibri" w:cs="Arial"/>
                <w:b/>
                <w:bCs/>
              </w:rPr>
              <w:t xml:space="preserve"> Issue</w:t>
            </w: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D21D22" w:rsidR="00D21D22" w:rsidP="18DB50B9" w:rsidRDefault="00D21D22" w14:paraId="49DC9BAD" w14:textId="75CB901B">
            <w:pPr>
              <w:rPr>
                <w:rFonts w:ascii="Arial" w:hAnsi="Arial" w:eastAsia="Calibri" w:cs="Arial"/>
                <w:sz w:val="20"/>
                <w:szCs w:val="20"/>
              </w:rPr>
            </w:pPr>
            <w:r w:rsidRPr="18DB50B9">
              <w:rPr>
                <w:rFonts w:ascii="Arial" w:hAnsi="Arial" w:eastAsia="Calibri" w:cs="Arial"/>
                <w:sz w:val="20"/>
                <w:szCs w:val="20"/>
                <w14:ligatures w14:val="standardContextual"/>
              </w:rPr>
              <w:t xml:space="preserve">NHSBSA processed </w:t>
            </w:r>
            <w:r w:rsidRPr="18DB50B9" w:rsidR="35774E2D">
              <w:rPr>
                <w:rFonts w:ascii="Arial" w:hAnsi="Arial" w:eastAsia="Calibri" w:cs="Arial"/>
                <w:sz w:val="20"/>
                <w:szCs w:val="20"/>
              </w:rPr>
              <w:t>an</w:t>
            </w:r>
            <w:r w:rsidRPr="18DB50B9">
              <w:rPr>
                <w:rFonts w:ascii="Arial" w:hAnsi="Arial" w:eastAsia="Calibri" w:cs="Arial"/>
                <w:sz w:val="20"/>
                <w:szCs w:val="20"/>
              </w:rPr>
              <w:t xml:space="preserve"> application and issued draft contracts to the Yorkshire regions and all ICB`s in the Northwest region prior to gaining details of the investigation that the contractor declared.  </w:t>
            </w:r>
          </w:p>
          <w:p w:rsidRPr="005D3C68" w:rsidR="00BD6A3C" w:rsidP="003D0AA0" w:rsidRDefault="00BD6A3C" w14:paraId="55464F45" w14:textId="77777777">
            <w:pPr>
              <w:rPr>
                <w:rFonts w:ascii="Arial" w:hAnsi="Arial" w:eastAsia="Calibri" w:cs="Arial"/>
                <w:sz w:val="20"/>
                <w:szCs w:val="20"/>
                <w14:ligatures w14:val="standardContextual"/>
              </w:rPr>
            </w:pPr>
          </w:p>
          <w:p w:rsidRPr="007E5650" w:rsidR="007E5650" w:rsidP="007E5650" w:rsidRDefault="007E5650" w14:paraId="5E8A7660" w14:textId="590A3D4A">
            <w:pPr>
              <w:rPr>
                <w:rFonts w:ascii="Arial" w:hAnsi="Arial" w:eastAsia="Calibri" w:cs="Arial"/>
                <w:bCs/>
                <w:sz w:val="20"/>
                <w:szCs w:val="20"/>
                <w14:ligatures w14:val="standardContextual"/>
              </w:rPr>
            </w:pPr>
            <w:r w:rsidRPr="007E5650">
              <w:rPr>
                <w:rFonts w:ascii="Arial" w:hAnsi="Arial" w:eastAsia="Calibri" w:cs="Arial"/>
                <w:bCs/>
                <w:sz w:val="20"/>
                <w:szCs w:val="20"/>
                <w14:ligatures w14:val="standardContextual"/>
              </w:rPr>
              <w:t xml:space="preserve">LSC ICB have received </w:t>
            </w:r>
            <w:r w:rsidR="00B71ACE">
              <w:rPr>
                <w:rFonts w:ascii="Arial" w:hAnsi="Arial" w:eastAsia="Calibri" w:cs="Arial"/>
                <w:bCs/>
                <w:sz w:val="20"/>
                <w:szCs w:val="20"/>
                <w14:ligatures w14:val="standardContextual"/>
              </w:rPr>
              <w:t>concerning</w:t>
            </w:r>
            <w:r w:rsidRPr="007E5650">
              <w:rPr>
                <w:rFonts w:ascii="Arial" w:hAnsi="Arial" w:eastAsia="Calibri" w:cs="Arial"/>
                <w:bCs/>
                <w:sz w:val="20"/>
                <w:szCs w:val="20"/>
                <w14:ligatures w14:val="standardContextual"/>
              </w:rPr>
              <w:t xml:space="preserve"> information in relation to the contractor from Greater Manchester ICB who hold an existing contract with the applicant </w:t>
            </w:r>
          </w:p>
          <w:p w:rsidRPr="00B71ACE" w:rsidR="00A0599E" w:rsidP="00B71ACE" w:rsidRDefault="00A0599E" w14:paraId="75085D2B" w14:textId="77777777">
            <w:pPr>
              <w:rPr>
                <w:rFonts w:eastAsia="Calibri" w:cs="Arial"/>
                <w:sz w:val="20"/>
                <w:szCs w:val="20"/>
                <w14:ligatures w14:val="standardContextual"/>
              </w:rPr>
            </w:pPr>
          </w:p>
          <w:p w:rsidRPr="007E5650" w:rsidR="00A0599E" w:rsidP="1F2A7704" w:rsidRDefault="00A0599E" w14:paraId="4D529AC5" w14:textId="24B2B1C5">
            <w:pPr>
              <w:rPr>
                <w:rFonts w:ascii="Arial" w:hAnsi="Arial" w:eastAsia="Calibri" w:cs="Arial"/>
                <w:sz w:val="20"/>
                <w:szCs w:val="20"/>
              </w:rPr>
            </w:pPr>
            <w:r w:rsidRPr="00A0599E">
              <w:rPr>
                <w:rFonts w:ascii="Arial" w:hAnsi="Arial" w:eastAsia="Calibri" w:cs="Arial"/>
                <w:sz w:val="20"/>
                <w:szCs w:val="20"/>
                <w14:ligatures w14:val="standardContextual"/>
              </w:rPr>
              <w:t xml:space="preserve">The </w:t>
            </w:r>
            <w:r w:rsidRPr="1F2A7704">
              <w:rPr>
                <w:rFonts w:ascii="Arial" w:hAnsi="Arial" w:eastAsia="Calibri" w:cs="Arial"/>
                <w:sz w:val="20"/>
                <w:szCs w:val="20"/>
              </w:rPr>
              <w:t>application was discussed alongside its relationship with the existing contract. Members raised concerns around consistency of decisions, potential challenge risk, and whether sufficient local grounds currently exist to refuse the application outright.</w:t>
            </w:r>
          </w:p>
          <w:p w:rsidR="00D21D22" w:rsidP="003D0AA0" w:rsidRDefault="00D21D22" w14:paraId="6FE8C6C7" w14:textId="77777777">
            <w:pPr>
              <w:rPr>
                <w:rFonts w:ascii="Arial" w:hAnsi="Arial" w:eastAsia="Calibri" w:cs="Arial"/>
                <w:sz w:val="20"/>
                <w:szCs w:val="20"/>
                <w14:ligatures w14:val="standardContextual"/>
              </w:rPr>
            </w:pPr>
          </w:p>
          <w:p w:rsidR="00FE4692" w:rsidP="003D0AA0" w:rsidRDefault="00FE4692" w14:paraId="7B522F5C" w14:textId="1B421AD3">
            <w:pPr>
              <w:rPr>
                <w:rFonts w:ascii="Arial" w:hAnsi="Arial" w:eastAsia="Calibri" w:cs="Arial"/>
                <w:sz w:val="20"/>
                <w:szCs w:val="20"/>
                <w14:ligatures w14:val="standardContextual"/>
              </w:rPr>
            </w:pPr>
            <w:r>
              <w:rPr>
                <w:rFonts w:ascii="Arial" w:hAnsi="Arial" w:eastAsia="Calibri" w:cs="Arial"/>
                <w:sz w:val="20"/>
                <w:szCs w:val="20"/>
                <w14:ligatures w14:val="standardContextual"/>
              </w:rPr>
              <w:t xml:space="preserve">It was agreed to withhold </w:t>
            </w:r>
            <w:r w:rsidR="008A1CF5">
              <w:rPr>
                <w:rFonts w:ascii="Arial" w:hAnsi="Arial" w:eastAsia="Calibri" w:cs="Arial"/>
                <w:sz w:val="20"/>
                <w:szCs w:val="20"/>
                <w14:ligatures w14:val="standardContextual"/>
              </w:rPr>
              <w:t xml:space="preserve">agreement of </w:t>
            </w:r>
            <w:r>
              <w:rPr>
                <w:rFonts w:ascii="Arial" w:hAnsi="Arial" w:eastAsia="Calibri" w:cs="Arial"/>
                <w:sz w:val="20"/>
                <w:szCs w:val="20"/>
                <w14:ligatures w14:val="standardContextual"/>
              </w:rPr>
              <w:t xml:space="preserve">the application </w:t>
            </w:r>
            <w:r w:rsidR="00D27A73">
              <w:rPr>
                <w:rFonts w:ascii="Arial" w:hAnsi="Arial" w:eastAsia="Calibri" w:cs="Arial"/>
                <w:sz w:val="20"/>
                <w:szCs w:val="20"/>
                <w14:ligatures w14:val="standardContextual"/>
              </w:rPr>
              <w:t xml:space="preserve">whilst investigating </w:t>
            </w:r>
            <w:r w:rsidR="008A1CF5">
              <w:rPr>
                <w:rFonts w:ascii="Arial" w:hAnsi="Arial" w:eastAsia="Calibri" w:cs="Arial"/>
                <w:sz w:val="20"/>
                <w:szCs w:val="20"/>
                <w14:ligatures w14:val="standardContextual"/>
              </w:rPr>
              <w:t xml:space="preserve">the existing </w:t>
            </w:r>
            <w:r w:rsidR="00D27A73">
              <w:rPr>
                <w:rFonts w:ascii="Arial" w:hAnsi="Arial" w:eastAsia="Calibri" w:cs="Arial"/>
                <w:sz w:val="20"/>
                <w:szCs w:val="20"/>
                <w14:ligatures w14:val="standardContextual"/>
              </w:rPr>
              <w:t xml:space="preserve">contract. </w:t>
            </w:r>
          </w:p>
          <w:p w:rsidRPr="005D3C68" w:rsidR="00E62943" w:rsidP="003D0AA0" w:rsidRDefault="00E62943" w14:paraId="55CFE40C" w14:textId="0797AEAF">
            <w:pPr>
              <w:rPr>
                <w:rFonts w:ascii="Arial" w:hAnsi="Arial" w:eastAsia="Calibri" w:cs="Arial"/>
                <w:sz w:val="20"/>
                <w:szCs w:val="20"/>
                <w14:ligatures w14:val="standardContextual"/>
              </w:rPr>
            </w:pP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BD6A3C" w:rsidP="00623840" w:rsidRDefault="00253C25" w14:paraId="236C7AFD" w14:textId="4E9D4750">
            <w:pPr>
              <w:spacing w:after="255"/>
              <w:rPr>
                <w:rFonts w:ascii="Arial" w:hAnsi="Arial" w:eastAsia="Arial" w:cs="Arial"/>
                <w:sz w:val="20"/>
                <w:szCs w:val="20"/>
              </w:rPr>
            </w:pPr>
            <w:r>
              <w:rPr>
                <w:rFonts w:ascii="Arial" w:hAnsi="Arial" w:eastAsia="Arial" w:cs="Arial"/>
                <w:sz w:val="20"/>
                <w:szCs w:val="20"/>
              </w:rPr>
              <w:t>To take the appro</w:t>
            </w:r>
            <w:r w:rsidR="000F6E63">
              <w:rPr>
                <w:rFonts w:ascii="Arial" w:hAnsi="Arial" w:eastAsia="Arial" w:cs="Arial"/>
                <w:sz w:val="20"/>
                <w:szCs w:val="20"/>
              </w:rPr>
              <w:t xml:space="preserve">priate steps to undertake the </w:t>
            </w:r>
            <w:r w:rsidR="003A2082">
              <w:rPr>
                <w:rFonts w:ascii="Arial" w:hAnsi="Arial" w:eastAsia="Arial" w:cs="Arial"/>
                <w:sz w:val="20"/>
                <w:szCs w:val="20"/>
              </w:rPr>
              <w:t xml:space="preserve">relevant investigation </w:t>
            </w:r>
            <w:r w:rsidR="002925FD">
              <w:rPr>
                <w:rFonts w:ascii="Arial" w:hAnsi="Arial" w:eastAsia="Arial" w:cs="Arial"/>
                <w:sz w:val="20"/>
                <w:szCs w:val="20"/>
              </w:rPr>
              <w:t xml:space="preserve">before </w:t>
            </w:r>
            <w:r w:rsidR="00D73875">
              <w:rPr>
                <w:rFonts w:ascii="Arial" w:hAnsi="Arial" w:eastAsia="Arial" w:cs="Arial"/>
                <w:sz w:val="20"/>
                <w:szCs w:val="20"/>
              </w:rPr>
              <w:t xml:space="preserve">a decision can be made on the application. </w:t>
            </w:r>
          </w:p>
        </w:tc>
      </w:tr>
      <w:tr w:rsidRPr="00170C3A" w:rsidR="00CE7F69" w:rsidTr="18DB50B9" w14:paraId="1C71CA77"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00CE7F69" w:rsidP="1F2A7704" w:rsidRDefault="1AC1D92C" w14:paraId="67568498" w14:textId="22FA95E0">
            <w:pPr>
              <w:jc w:val="both"/>
            </w:pPr>
            <w:r w:rsidRPr="005F255D">
              <w:rPr>
                <w:rFonts w:ascii="Arial" w:hAnsi="Arial" w:eastAsia="Calibri" w:cs="Arial"/>
                <w:b/>
                <w:bCs/>
              </w:rPr>
              <w:t>Contractor Application Issue</w:t>
            </w: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491476" w:rsidR="00491476" w:rsidP="1F2A7704" w:rsidRDefault="1AC1D92C" w14:paraId="315269FB" w14:textId="1482C159">
            <w:pPr>
              <w:rPr>
                <w:rFonts w:ascii="Arial" w:hAnsi="Arial" w:eastAsia="Calibri" w:cs="Arial"/>
                <w:sz w:val="20"/>
                <w:szCs w:val="20"/>
              </w:rPr>
            </w:pPr>
            <w:r w:rsidRPr="1F2A7704">
              <w:rPr>
                <w:rFonts w:ascii="Arial" w:hAnsi="Arial" w:eastAsia="Calibri" w:cs="Arial"/>
                <w:sz w:val="20"/>
                <w:szCs w:val="20"/>
              </w:rPr>
              <w:t>This provider</w:t>
            </w:r>
            <w:r w:rsidRPr="1F2A7704" w:rsidR="00491476">
              <w:rPr>
                <w:rFonts w:ascii="Arial" w:hAnsi="Arial" w:eastAsia="Calibri" w:cs="Arial"/>
                <w:sz w:val="20"/>
                <w:szCs w:val="20"/>
              </w:rPr>
              <w:t xml:space="preserve">, a LSC contract holder, has been suspended from the performers list and the General Optical Council (GOC). The GOC imposed an interim suspension order for a period of 18 months to be reviewed in 6 months.  </w:t>
            </w:r>
          </w:p>
          <w:p w:rsidRPr="00491476" w:rsidR="00491476" w:rsidP="00491476" w:rsidRDefault="00491476" w14:paraId="41B89EDF" w14:textId="77777777">
            <w:pPr>
              <w:rPr>
                <w:rFonts w:ascii="Arial" w:hAnsi="Arial" w:eastAsia="Calibri" w:cs="Arial"/>
                <w:bCs/>
                <w:sz w:val="20"/>
                <w:szCs w:val="20"/>
                <w14:ligatures w14:val="standardContextual"/>
              </w:rPr>
            </w:pPr>
          </w:p>
          <w:p w:rsidRPr="00491476" w:rsidR="00491476" w:rsidP="1F2A7704" w:rsidRDefault="00491476" w14:paraId="62B39EEF" w14:textId="4634778F">
            <w:pPr>
              <w:rPr>
                <w:rFonts w:ascii="Arial" w:hAnsi="Arial" w:eastAsia="Calibri" w:cs="Arial"/>
                <w:sz w:val="20"/>
                <w:szCs w:val="20"/>
                <w14:ligatures w14:val="standardContextual"/>
              </w:rPr>
            </w:pPr>
            <w:r w:rsidRPr="1F2A7704">
              <w:rPr>
                <w:rFonts w:ascii="Arial" w:hAnsi="Arial" w:eastAsia="Calibri" w:cs="Arial"/>
                <w:sz w:val="20"/>
                <w:szCs w:val="20"/>
                <w14:ligatures w14:val="standardContextual"/>
              </w:rPr>
              <w:t xml:space="preserve">LSC ICB have received notification from West Yorkshire that following a hearing with NHS England`s Northeast and Yorkshire Professional Standards the contract holder has been removed, resulting in West Yorkshire taking steps to </w:t>
            </w:r>
            <w:r w:rsidRPr="1F2A7704">
              <w:rPr>
                <w:rFonts w:ascii="Arial" w:hAnsi="Arial" w:eastAsia="Calibri" w:cs="Arial"/>
                <w:sz w:val="20"/>
                <w:szCs w:val="20"/>
              </w:rPr>
              <w:t>terminate the contact. Cheshire and Merseyside ICB and Greater Manchester ICB have terminated their contracts</w:t>
            </w:r>
            <w:r w:rsidRPr="1F2A7704" w:rsidR="5E96D8BA">
              <w:rPr>
                <w:rFonts w:ascii="Arial" w:hAnsi="Arial" w:eastAsia="Calibri" w:cs="Arial"/>
                <w:sz w:val="20"/>
                <w:szCs w:val="20"/>
              </w:rPr>
              <w:t xml:space="preserve"> with this provider</w:t>
            </w:r>
            <w:r w:rsidRPr="1F2A7704">
              <w:rPr>
                <w:rFonts w:ascii="Arial" w:hAnsi="Arial" w:eastAsia="Calibri" w:cs="Arial"/>
                <w:sz w:val="20"/>
                <w:szCs w:val="20"/>
              </w:rPr>
              <w:t xml:space="preserve">. </w:t>
            </w:r>
          </w:p>
          <w:p w:rsidRPr="00491476" w:rsidR="00491476" w:rsidP="00491476" w:rsidRDefault="00491476" w14:paraId="1FE5336F" w14:textId="77777777">
            <w:pPr>
              <w:rPr>
                <w:rFonts w:ascii="Arial" w:hAnsi="Arial" w:eastAsia="Calibri" w:cs="Arial"/>
                <w:bCs/>
                <w:sz w:val="20"/>
                <w:szCs w:val="20"/>
                <w14:ligatures w14:val="standardContextual"/>
              </w:rPr>
            </w:pPr>
          </w:p>
          <w:p w:rsidRPr="00491476" w:rsidR="00491476" w:rsidP="00491476" w:rsidRDefault="00491476" w14:paraId="36F2DF6C" w14:textId="37EE5689">
            <w:pPr>
              <w:rPr>
                <w:rFonts w:ascii="Arial" w:hAnsi="Arial" w:eastAsia="Calibri" w:cs="Arial"/>
                <w:bCs/>
                <w:sz w:val="20"/>
                <w:szCs w:val="20"/>
                <w14:ligatures w14:val="standardContextual"/>
              </w:rPr>
            </w:pPr>
            <w:r w:rsidRPr="00491476">
              <w:rPr>
                <w:rFonts w:ascii="Arial" w:hAnsi="Arial" w:eastAsia="Calibri" w:cs="Arial"/>
                <w:bCs/>
                <w:sz w:val="20"/>
                <w:szCs w:val="20"/>
                <w14:ligatures w14:val="standardContextual"/>
              </w:rPr>
              <w:t xml:space="preserve">LSC ICB </w:t>
            </w:r>
            <w:r w:rsidR="00976F25">
              <w:rPr>
                <w:rFonts w:ascii="Arial" w:hAnsi="Arial" w:eastAsia="Calibri" w:cs="Arial"/>
                <w:bCs/>
                <w:sz w:val="20"/>
                <w:szCs w:val="20"/>
                <w14:ligatures w14:val="standardContextual"/>
              </w:rPr>
              <w:t>wrote to</w:t>
            </w:r>
            <w:r w:rsidRPr="00491476">
              <w:rPr>
                <w:rFonts w:ascii="Arial" w:hAnsi="Arial" w:eastAsia="Calibri" w:cs="Arial"/>
                <w:bCs/>
                <w:sz w:val="20"/>
                <w:szCs w:val="20"/>
                <w14:ligatures w14:val="standardContextual"/>
              </w:rPr>
              <w:t xml:space="preserve"> the contractor </w:t>
            </w:r>
            <w:r w:rsidR="00976F25">
              <w:rPr>
                <w:rFonts w:ascii="Arial" w:hAnsi="Arial" w:eastAsia="Calibri" w:cs="Arial"/>
                <w:bCs/>
                <w:sz w:val="20"/>
                <w:szCs w:val="20"/>
                <w14:ligatures w14:val="standardContextual"/>
              </w:rPr>
              <w:t>asking that they</w:t>
            </w:r>
            <w:r w:rsidRPr="00491476">
              <w:rPr>
                <w:rFonts w:ascii="Arial" w:hAnsi="Arial" w:eastAsia="Calibri" w:cs="Arial"/>
                <w:bCs/>
                <w:sz w:val="20"/>
                <w:szCs w:val="20"/>
                <w14:ligatures w14:val="standardContextual"/>
              </w:rPr>
              <w:t xml:space="preserve"> confirm their intentions in relation to the contract. If the intention is to retain the contract LSC ICB requested a detailed plan on how the contractor is able to carry out his contractual requirements considering the removal from the National Performers List and suspension from the GOC. </w:t>
            </w:r>
          </w:p>
          <w:p w:rsidRPr="00491476" w:rsidR="00491476" w:rsidP="00491476" w:rsidRDefault="00491476" w14:paraId="1E72119F" w14:textId="77777777">
            <w:pPr>
              <w:rPr>
                <w:rFonts w:ascii="Arial" w:hAnsi="Arial" w:eastAsia="Calibri" w:cs="Arial"/>
                <w:bCs/>
                <w:sz w:val="20"/>
                <w:szCs w:val="20"/>
                <w14:ligatures w14:val="standardContextual"/>
              </w:rPr>
            </w:pPr>
          </w:p>
          <w:p w:rsidRPr="00D21D22" w:rsidR="00CE7F69" w:rsidP="1F2A7704" w:rsidRDefault="00491476" w14:paraId="7D2997FA" w14:textId="3B149D09">
            <w:pPr>
              <w:rPr>
                <w:rFonts w:ascii="Arial" w:hAnsi="Arial" w:eastAsia="Calibri" w:cs="Arial"/>
                <w:sz w:val="20"/>
                <w:szCs w:val="20"/>
                <w14:ligatures w14:val="standardContextual"/>
              </w:rPr>
            </w:pPr>
            <w:r w:rsidRPr="1F2A7704">
              <w:rPr>
                <w:rFonts w:ascii="Arial" w:hAnsi="Arial" w:eastAsia="Calibri" w:cs="Arial"/>
                <w:sz w:val="20"/>
                <w:szCs w:val="20"/>
                <w14:ligatures w14:val="standardContextual"/>
              </w:rPr>
              <w:t xml:space="preserve">The contractor has not responded to the letter and it was agreed </w:t>
            </w:r>
            <w:r w:rsidRPr="1F2A7704" w:rsidR="00D60A68">
              <w:rPr>
                <w:rFonts w:ascii="Arial" w:hAnsi="Arial" w:eastAsia="Calibri" w:cs="Arial"/>
                <w:sz w:val="20"/>
                <w:szCs w:val="20"/>
                <w14:ligatures w14:val="standardContextual"/>
              </w:rPr>
              <w:t>at</w:t>
            </w:r>
            <w:r w:rsidRPr="1F2A7704" w:rsidR="00D60A68">
              <w:rPr>
                <w:rFonts w:ascii="Arial" w:hAnsi="Arial" w:eastAsia="Calibri" w:cs="Arial"/>
                <w:sz w:val="20"/>
                <w:szCs w:val="20"/>
              </w:rPr>
              <w:t xml:space="preserve"> OSG </w:t>
            </w:r>
            <w:r w:rsidRPr="1F2A7704">
              <w:rPr>
                <w:rFonts w:ascii="Arial" w:hAnsi="Arial" w:eastAsia="Calibri" w:cs="Arial"/>
                <w:sz w:val="20"/>
                <w:szCs w:val="20"/>
              </w:rPr>
              <w:t>to terminate the contract.</w:t>
            </w: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CE7F69" w:rsidP="00623840" w:rsidRDefault="008F78A7" w14:paraId="3FB84D14" w14:textId="678DE13C">
            <w:pPr>
              <w:spacing w:after="255"/>
              <w:rPr>
                <w:rFonts w:ascii="Arial" w:hAnsi="Arial" w:eastAsia="Arial" w:cs="Arial"/>
                <w:sz w:val="20"/>
                <w:szCs w:val="20"/>
              </w:rPr>
            </w:pPr>
            <w:r>
              <w:rPr>
                <w:rFonts w:ascii="Arial" w:hAnsi="Arial" w:eastAsia="Arial" w:cs="Arial"/>
                <w:sz w:val="20"/>
                <w:szCs w:val="20"/>
              </w:rPr>
              <w:t xml:space="preserve">To take the appropriate steps to </w:t>
            </w:r>
            <w:r w:rsidR="004D4D14">
              <w:rPr>
                <w:rFonts w:ascii="Arial" w:hAnsi="Arial" w:eastAsia="Arial" w:cs="Arial"/>
                <w:sz w:val="20"/>
                <w:szCs w:val="20"/>
              </w:rPr>
              <w:t>terminate the contract.</w:t>
            </w:r>
          </w:p>
        </w:tc>
      </w:tr>
      <w:tr w:rsidRPr="00170C3A" w:rsidR="00BC4CF7" w:rsidTr="18DB50B9" w14:paraId="53404A93"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00BC4CF7" w:rsidP="1F2A7704" w:rsidRDefault="22882B3C" w14:paraId="0CDBFE90" w14:textId="60FD5CE6">
            <w:pPr>
              <w:jc w:val="both"/>
            </w:pPr>
            <w:r w:rsidRPr="005F255D">
              <w:rPr>
                <w:rFonts w:ascii="Arial" w:hAnsi="Arial" w:eastAsia="Calibri" w:cs="Arial"/>
                <w:b/>
                <w:bCs/>
              </w:rPr>
              <w:t>Contractor Application Issue</w:t>
            </w: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39143E" w:rsidR="0039143E" w:rsidP="0039143E" w:rsidRDefault="0039143E" w14:paraId="4AC3B10F" w14:textId="77777777">
            <w:pPr>
              <w:rPr>
                <w:rFonts w:ascii="Arial" w:hAnsi="Arial" w:eastAsia="Calibri" w:cs="Arial"/>
                <w:bCs/>
                <w:sz w:val="20"/>
                <w:szCs w:val="20"/>
                <w14:ligatures w14:val="standardContextual"/>
              </w:rPr>
            </w:pPr>
            <w:r w:rsidRPr="0039143E">
              <w:rPr>
                <w:rFonts w:ascii="Arial" w:hAnsi="Arial" w:eastAsia="Calibri" w:cs="Arial"/>
                <w:bCs/>
                <w:sz w:val="20"/>
                <w:szCs w:val="20"/>
                <w14:ligatures w14:val="standardContextual"/>
              </w:rPr>
              <w:t xml:space="preserve">An application has been received by Lancashire &amp; South Cumbria ICB for a Domiciliary contract. The company has applied for contracts across the Northwest regions ICBs. When a company applies to hold a contract NHSBSA undertake checks, one of these checks involves requesting information from ICBs that already hold a contract with the applicant.   </w:t>
            </w:r>
          </w:p>
          <w:p w:rsidRPr="0039143E" w:rsidR="0039143E" w:rsidP="0039143E" w:rsidRDefault="0039143E" w14:paraId="506C5FB2" w14:textId="77777777">
            <w:pPr>
              <w:rPr>
                <w:rFonts w:ascii="Arial" w:hAnsi="Arial" w:eastAsia="Calibri" w:cs="Arial"/>
                <w:bCs/>
                <w:sz w:val="20"/>
                <w:szCs w:val="20"/>
                <w14:ligatures w14:val="standardContextual"/>
              </w:rPr>
            </w:pPr>
          </w:p>
          <w:p w:rsidRPr="0039143E" w:rsidR="0039143E" w:rsidP="0039143E" w:rsidRDefault="0039143E" w14:paraId="68A001EF" w14:textId="5D4C64BC">
            <w:pPr>
              <w:rPr>
                <w:rFonts w:ascii="Arial" w:hAnsi="Arial" w:eastAsia="Calibri" w:cs="Arial"/>
                <w:bCs/>
                <w:sz w:val="20"/>
                <w:szCs w:val="20"/>
                <w14:ligatures w14:val="standardContextual"/>
              </w:rPr>
            </w:pPr>
            <w:r w:rsidRPr="0039143E">
              <w:rPr>
                <w:rFonts w:ascii="Arial" w:hAnsi="Arial" w:eastAsia="Calibri" w:cs="Arial"/>
                <w:bCs/>
                <w:sz w:val="20"/>
                <w:szCs w:val="20"/>
                <w14:ligatures w14:val="standardContextual"/>
              </w:rPr>
              <w:t xml:space="preserve">East Midlands ICB responded advising that there are ongoing issues and significant concerns in relation the contractors conduct, governance compliance, adherence to GOS contractual boundaries. The concerns highlighted have been considered by East Midlands ICB on multiple occasions. </w:t>
            </w:r>
          </w:p>
          <w:p w:rsidRPr="0039143E" w:rsidR="0039143E" w:rsidP="0039143E" w:rsidRDefault="0039143E" w14:paraId="5D771898" w14:textId="77777777">
            <w:pPr>
              <w:rPr>
                <w:rFonts w:ascii="Arial" w:hAnsi="Arial" w:eastAsia="Calibri" w:cs="Arial"/>
                <w:bCs/>
                <w:sz w:val="20"/>
                <w:szCs w:val="20"/>
                <w14:ligatures w14:val="standardContextual"/>
              </w:rPr>
            </w:pPr>
          </w:p>
          <w:p w:rsidRPr="0039143E" w:rsidR="0039143E" w:rsidP="0039143E" w:rsidRDefault="0039143E" w14:paraId="3CF77934" w14:textId="78705277">
            <w:pPr>
              <w:rPr>
                <w:rFonts w:ascii="Arial" w:hAnsi="Arial" w:eastAsia="Calibri" w:cs="Arial"/>
                <w:bCs/>
                <w:sz w:val="20"/>
                <w:szCs w:val="20"/>
                <w14:ligatures w14:val="standardContextual"/>
              </w:rPr>
            </w:pPr>
            <w:r w:rsidRPr="0039143E">
              <w:rPr>
                <w:rFonts w:ascii="Arial" w:hAnsi="Arial" w:eastAsia="Calibri" w:cs="Arial"/>
                <w:bCs/>
                <w:sz w:val="20"/>
                <w:szCs w:val="20"/>
                <w14:ligatures w14:val="standardContextual"/>
              </w:rPr>
              <w:t xml:space="preserve">Multiple ICBs have independently raised concerns regarding similar behaviour, indicating a pattern of repeated </w:t>
            </w:r>
            <w:r w:rsidRPr="0039143E" w:rsidR="00D60255">
              <w:rPr>
                <w:rFonts w:ascii="Arial" w:hAnsi="Arial" w:eastAsia="Calibri" w:cs="Arial"/>
                <w:bCs/>
                <w:sz w:val="20"/>
                <w:szCs w:val="20"/>
                <w14:ligatures w14:val="standardContextual"/>
              </w:rPr>
              <w:t>noncompliance</w:t>
            </w:r>
            <w:r w:rsidRPr="0039143E">
              <w:rPr>
                <w:rFonts w:ascii="Arial" w:hAnsi="Arial" w:eastAsia="Calibri" w:cs="Arial"/>
                <w:bCs/>
                <w:sz w:val="20"/>
                <w:szCs w:val="20"/>
                <w14:ligatures w14:val="standardContextual"/>
              </w:rPr>
              <w:t xml:space="preserve"> rather than an isolated incident.</w:t>
            </w:r>
          </w:p>
          <w:p w:rsidRPr="0039143E" w:rsidR="0039143E" w:rsidP="0039143E" w:rsidRDefault="0039143E" w14:paraId="7CF18EA3" w14:textId="77777777">
            <w:pPr>
              <w:rPr>
                <w:rFonts w:ascii="Arial" w:hAnsi="Arial" w:eastAsia="Calibri" w:cs="Arial"/>
                <w:bCs/>
                <w:sz w:val="20"/>
                <w:szCs w:val="20"/>
                <w14:ligatures w14:val="standardContextual"/>
              </w:rPr>
            </w:pPr>
          </w:p>
          <w:p w:rsidRPr="00D21D22" w:rsidR="00BC4CF7" w:rsidP="0039143E" w:rsidRDefault="0039143E" w14:paraId="6EC19B6C" w14:textId="0B1E1491">
            <w:pPr>
              <w:rPr>
                <w:rFonts w:ascii="Arial" w:hAnsi="Arial" w:eastAsia="Calibri" w:cs="Arial"/>
                <w:bCs/>
                <w:sz w:val="20"/>
                <w:szCs w:val="20"/>
                <w14:ligatures w14:val="standardContextual"/>
              </w:rPr>
            </w:pPr>
            <w:r w:rsidRPr="0039143E">
              <w:rPr>
                <w:rFonts w:ascii="Arial" w:hAnsi="Arial" w:eastAsia="Calibri" w:cs="Arial"/>
                <w:bCs/>
                <w:sz w:val="20"/>
                <w:szCs w:val="20"/>
                <w14:ligatures w14:val="standardContextual"/>
              </w:rPr>
              <w:t>Cheshire and Mersey and Greater Manchester ICB</w:t>
            </w:r>
            <w:r w:rsidR="00576044">
              <w:rPr>
                <w:rFonts w:ascii="Arial" w:hAnsi="Arial" w:eastAsia="Calibri" w:cs="Arial"/>
                <w:bCs/>
                <w:sz w:val="20"/>
                <w:szCs w:val="20"/>
                <w14:ligatures w14:val="standardContextual"/>
              </w:rPr>
              <w:t>s</w:t>
            </w:r>
            <w:r w:rsidRPr="0039143E">
              <w:rPr>
                <w:rFonts w:ascii="Arial" w:hAnsi="Arial" w:eastAsia="Calibri" w:cs="Arial"/>
                <w:bCs/>
                <w:sz w:val="20"/>
                <w:szCs w:val="20"/>
                <w14:ligatures w14:val="standardContextual"/>
              </w:rPr>
              <w:t>, following a review of the information received from East Midlands ICB, took the decision under Regulation 4(3)(1) of GOS Regulations to refuse the application</w:t>
            </w:r>
            <w:r w:rsidR="007A5DDD">
              <w:rPr>
                <w:rFonts w:ascii="Arial" w:hAnsi="Arial" w:eastAsia="Calibri" w:cs="Arial"/>
                <w:bCs/>
                <w:sz w:val="20"/>
                <w:szCs w:val="20"/>
                <w14:ligatures w14:val="standardContextual"/>
              </w:rPr>
              <w:t xml:space="preserve"> and it was agree</w:t>
            </w:r>
            <w:r w:rsidR="00D6285D">
              <w:rPr>
                <w:rFonts w:ascii="Arial" w:hAnsi="Arial" w:eastAsia="Calibri" w:cs="Arial"/>
                <w:bCs/>
                <w:sz w:val="20"/>
                <w:szCs w:val="20"/>
                <w14:ligatures w14:val="standardContextual"/>
              </w:rPr>
              <w:t>d to</w:t>
            </w:r>
            <w:r w:rsidR="006747A0">
              <w:rPr>
                <w:rFonts w:ascii="Arial" w:hAnsi="Arial" w:eastAsia="Calibri" w:cs="Arial"/>
                <w:bCs/>
                <w:sz w:val="20"/>
                <w:szCs w:val="20"/>
                <w14:ligatures w14:val="standardContextual"/>
              </w:rPr>
              <w:t xml:space="preserve"> </w:t>
            </w:r>
            <w:r w:rsidR="00EE64C8">
              <w:rPr>
                <w:rFonts w:ascii="Arial" w:hAnsi="Arial" w:eastAsia="Calibri" w:cs="Arial"/>
                <w:bCs/>
                <w:sz w:val="20"/>
                <w:szCs w:val="20"/>
                <w14:ligatures w14:val="standardContextual"/>
              </w:rPr>
              <w:t xml:space="preserve">do the same in LSC. </w:t>
            </w: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BC4CF7" w:rsidP="00623840" w:rsidRDefault="00EE64C8" w14:paraId="14747885" w14:textId="51BF5FB6">
            <w:pPr>
              <w:spacing w:after="255"/>
              <w:rPr>
                <w:rFonts w:ascii="Arial" w:hAnsi="Arial" w:eastAsia="Arial" w:cs="Arial"/>
                <w:sz w:val="20"/>
                <w:szCs w:val="20"/>
              </w:rPr>
            </w:pPr>
            <w:r>
              <w:rPr>
                <w:rFonts w:ascii="Arial" w:hAnsi="Arial" w:eastAsia="Arial" w:cs="Arial"/>
                <w:sz w:val="20"/>
                <w:szCs w:val="20"/>
              </w:rPr>
              <w:t xml:space="preserve">Take appropriate steps to </w:t>
            </w:r>
            <w:r w:rsidR="00B7272D">
              <w:rPr>
                <w:rFonts w:ascii="Arial" w:hAnsi="Arial" w:eastAsia="Arial" w:cs="Arial"/>
                <w:sz w:val="20"/>
                <w:szCs w:val="20"/>
              </w:rPr>
              <w:t xml:space="preserve">formally </w:t>
            </w:r>
            <w:r>
              <w:rPr>
                <w:rFonts w:ascii="Arial" w:hAnsi="Arial" w:eastAsia="Arial" w:cs="Arial"/>
                <w:sz w:val="20"/>
                <w:szCs w:val="20"/>
              </w:rPr>
              <w:t xml:space="preserve">refuse the application. </w:t>
            </w:r>
          </w:p>
        </w:tc>
      </w:tr>
      <w:tr w:rsidRPr="00170C3A" w:rsidR="00C82911" w:rsidTr="18DB50B9" w14:paraId="71A02974"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5F255D" w:rsidR="00C82911" w:rsidP="0011176F" w:rsidRDefault="00BD2D6D" w14:paraId="64F7B244" w14:textId="0B5ABCF5">
            <w:pPr>
              <w:rPr>
                <w:rFonts w:ascii="Arial" w:hAnsi="Arial" w:eastAsia="Calibri" w:cs="Arial"/>
                <w:b/>
                <w14:ligatures w14:val="standardContextual"/>
              </w:rPr>
            </w:pPr>
            <w:r w:rsidRPr="005F255D">
              <w:rPr>
                <w:rFonts w:ascii="Arial" w:hAnsi="Arial" w:eastAsia="Calibri" w:cs="Arial"/>
                <w:b/>
                <w14:ligatures w14:val="standardContextual"/>
              </w:rPr>
              <w:t>Annual Complaints Returns 2024/25 –</w:t>
            </w: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782661" w:rsidR="00C82911" w:rsidP="00D21D22" w:rsidRDefault="00D427C2" w14:paraId="0D7EC76D" w14:textId="02D9D17C">
            <w:pPr>
              <w:rPr>
                <w:rFonts w:ascii="Arial" w:hAnsi="Arial" w:eastAsia="Calibri" w:cs="Arial"/>
                <w:bCs/>
                <w:sz w:val="20"/>
                <w:szCs w:val="20"/>
                <w14:ligatures w14:val="standardContextual"/>
              </w:rPr>
            </w:pPr>
            <w:r w:rsidRPr="00D427C2">
              <w:rPr>
                <w:rFonts w:ascii="Arial" w:hAnsi="Arial" w:eastAsia="Calibri" w:cs="Arial"/>
                <w:bCs/>
                <w:sz w:val="20"/>
                <w:szCs w:val="20"/>
                <w14:ligatures w14:val="standardContextual"/>
              </w:rPr>
              <w:t>21 practices ha</w:t>
            </w:r>
            <w:r w:rsidR="00A023F3">
              <w:rPr>
                <w:rFonts w:ascii="Arial" w:hAnsi="Arial" w:eastAsia="Calibri" w:cs="Arial"/>
                <w:bCs/>
                <w:sz w:val="20"/>
                <w:szCs w:val="20"/>
                <w14:ligatures w14:val="standardContextual"/>
              </w:rPr>
              <w:t>ve</w:t>
            </w:r>
            <w:r w:rsidRPr="00D427C2">
              <w:rPr>
                <w:rFonts w:ascii="Arial" w:hAnsi="Arial" w:eastAsia="Calibri" w:cs="Arial"/>
                <w:bCs/>
                <w:sz w:val="20"/>
                <w:szCs w:val="20"/>
                <w14:ligatures w14:val="standardContextual"/>
              </w:rPr>
              <w:t xml:space="preserve"> not submitted complaints data. Capacity constraints had limited telephone follow up. Issuing breach notices was agreed as a proportionate response</w:t>
            </w:r>
            <w:r w:rsidR="00241997">
              <w:rPr>
                <w:rFonts w:ascii="Arial" w:hAnsi="Arial" w:eastAsia="Calibri" w:cs="Arial"/>
                <w:bCs/>
                <w:sz w:val="20"/>
                <w:szCs w:val="20"/>
                <w14:ligatures w14:val="standardContextual"/>
              </w:rPr>
              <w:t xml:space="preserve"> at OSG</w:t>
            </w:r>
            <w:r w:rsidRPr="00D427C2">
              <w:rPr>
                <w:rFonts w:ascii="Arial" w:hAnsi="Arial" w:eastAsia="Calibri" w:cs="Arial"/>
                <w:bCs/>
                <w:sz w:val="20"/>
                <w:szCs w:val="20"/>
                <w14:ligatures w14:val="standardContextual"/>
              </w:rPr>
              <w:t>.</w:t>
            </w: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C82911" w:rsidP="00623840" w:rsidRDefault="007D3514" w14:paraId="53B56994" w14:textId="4F3F099B">
            <w:pPr>
              <w:spacing w:after="255"/>
              <w:rPr>
                <w:rFonts w:ascii="Arial" w:hAnsi="Arial" w:eastAsia="Arial" w:cs="Arial"/>
                <w:sz w:val="20"/>
                <w:szCs w:val="20"/>
              </w:rPr>
            </w:pPr>
            <w:r>
              <w:rPr>
                <w:rFonts w:ascii="Arial" w:hAnsi="Arial" w:eastAsia="Arial" w:cs="Arial"/>
                <w:sz w:val="20"/>
                <w:szCs w:val="20"/>
              </w:rPr>
              <w:t>To issue</w:t>
            </w:r>
            <w:r w:rsidR="00416C85">
              <w:rPr>
                <w:rFonts w:ascii="Arial" w:hAnsi="Arial" w:eastAsia="Arial" w:cs="Arial"/>
                <w:sz w:val="20"/>
                <w:szCs w:val="20"/>
              </w:rPr>
              <w:t xml:space="preserve"> appropriate breach notices. </w:t>
            </w:r>
          </w:p>
        </w:tc>
      </w:tr>
      <w:tr w:rsidRPr="00170C3A" w:rsidR="00623840" w:rsidTr="18DB50B9" w14:paraId="69CF7FAD" w14:textId="77777777">
        <w:trPr>
          <w:trHeight w:val="300"/>
        </w:trPr>
        <w:tc>
          <w:tcPr>
            <w:tcW w:w="9597" w:type="dxa"/>
            <w:gridSpan w:val="3"/>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Pr="00170C3A" w:rsidR="00623840" w:rsidP="00623840" w:rsidRDefault="00623840" w14:paraId="68BB0584" w14:textId="77777777">
            <w:pPr>
              <w:spacing w:after="255"/>
              <w:contextualSpacing/>
              <w:rPr>
                <w:rFonts w:ascii="Arial" w:hAnsi="Arial" w:eastAsia="Arial" w:cs="Arial"/>
                <w:sz w:val="20"/>
                <w:szCs w:val="20"/>
              </w:rPr>
            </w:pPr>
            <w:r w:rsidRPr="00170C3A">
              <w:rPr>
                <w:rFonts w:ascii="Arial" w:hAnsi="Arial" w:eastAsia="Arial" w:cs="Arial"/>
                <w:b/>
                <w:bCs/>
                <w:sz w:val="20"/>
                <w:szCs w:val="20"/>
              </w:rPr>
              <w:t xml:space="preserve">Assure </w:t>
            </w:r>
          </w:p>
        </w:tc>
      </w:tr>
      <w:tr w:rsidRPr="00170C3A" w:rsidR="00623840" w:rsidTr="18DB50B9" w14:paraId="27C248A3" w14:textId="77777777">
        <w:trPr>
          <w:trHeight w:val="300"/>
        </w:trPr>
        <w:tc>
          <w:tcPr>
            <w:tcW w:w="2702" w:type="dxa"/>
            <w:tcBorders>
              <w:top w:val="single" w:color="auto" w:sz="6" w:space="0"/>
              <w:left w:val="single" w:color="auto" w:sz="6" w:space="0"/>
              <w:bottom w:val="single" w:color="auto" w:sz="6" w:space="0"/>
              <w:right w:val="single" w:color="auto" w:sz="6" w:space="0"/>
            </w:tcBorders>
            <w:tcMar>
              <w:left w:w="105" w:type="dxa"/>
              <w:right w:w="105" w:type="dxa"/>
            </w:tcMar>
          </w:tcPr>
          <w:p w:rsidRPr="005F255D" w:rsidR="00623840" w:rsidP="00623840" w:rsidRDefault="00E62922" w14:paraId="4539B274" w14:textId="68BF3B3D">
            <w:pPr>
              <w:spacing w:after="255"/>
              <w:contextualSpacing/>
              <w:rPr>
                <w:rFonts w:ascii="Arial" w:hAnsi="Arial" w:eastAsia="Times New Roman" w:cs="Arial"/>
                <w:lang w:eastAsia="en-GB"/>
              </w:rPr>
            </w:pPr>
            <w:r w:rsidRPr="005F255D">
              <w:rPr>
                <w:rFonts w:ascii="Arial" w:hAnsi="Arial" w:eastAsia="Calibri" w:cs="Arial"/>
                <w:b/>
                <w14:ligatures w14:val="standardContextual"/>
              </w:rPr>
              <w:t>Special Schools Procurement</w:t>
            </w:r>
          </w:p>
        </w:tc>
        <w:tc>
          <w:tcPr>
            <w:tcW w:w="4394"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623840" w:rsidP="00E62922" w:rsidRDefault="00E62922" w14:paraId="34D166E6" w14:textId="0CDF16ED">
            <w:pPr>
              <w:rPr>
                <w:rFonts w:ascii="Arial" w:hAnsi="Arial" w:eastAsia="Times New Roman" w:cs="Arial"/>
                <w:b/>
                <w:bCs/>
                <w:sz w:val="20"/>
                <w:szCs w:val="20"/>
                <w:lang w:eastAsia="en-GB"/>
              </w:rPr>
            </w:pPr>
            <w:r>
              <w:rPr>
                <w:rFonts w:ascii="Arial" w:hAnsi="Arial" w:eastAsia="Calibri" w:cs="Arial"/>
                <w:bCs/>
                <w:sz w:val="20"/>
                <w:szCs w:val="20"/>
                <w14:ligatures w14:val="standardContextual"/>
              </w:rPr>
              <w:t>S</w:t>
            </w:r>
            <w:r w:rsidRPr="00A023F3">
              <w:rPr>
                <w:rFonts w:ascii="Arial" w:hAnsi="Arial" w:eastAsia="Calibri" w:cs="Arial"/>
                <w:bCs/>
                <w:sz w:val="20"/>
                <w:szCs w:val="20"/>
                <w14:ligatures w14:val="standardContextual"/>
              </w:rPr>
              <w:t>pecial schools service procurement is underway, with the opportunity advertised on 27 March and bids closing on 30 April 2026.</w:t>
            </w:r>
          </w:p>
        </w:tc>
        <w:tc>
          <w:tcPr>
            <w:tcW w:w="2501" w:type="dxa"/>
            <w:tcBorders>
              <w:top w:val="single" w:color="auto" w:sz="6" w:space="0"/>
              <w:left w:val="single" w:color="auto" w:sz="6" w:space="0"/>
              <w:bottom w:val="single" w:color="auto" w:sz="6" w:space="0"/>
              <w:right w:val="single" w:color="auto" w:sz="6" w:space="0"/>
            </w:tcBorders>
            <w:tcMar>
              <w:left w:w="105" w:type="dxa"/>
              <w:right w:w="105" w:type="dxa"/>
            </w:tcMar>
          </w:tcPr>
          <w:p w:rsidRPr="00170C3A" w:rsidR="00623840" w:rsidP="00623840" w:rsidRDefault="00623840" w14:paraId="606542D8" w14:textId="77777777">
            <w:pPr>
              <w:spacing w:after="255"/>
              <w:rPr>
                <w:rFonts w:ascii="Arial" w:hAnsi="Arial" w:eastAsia="Arial" w:cs="Arial"/>
                <w:sz w:val="20"/>
                <w:szCs w:val="20"/>
              </w:rPr>
            </w:pPr>
          </w:p>
        </w:tc>
      </w:tr>
    </w:tbl>
    <w:p w:rsidRPr="00170C3A" w:rsidR="00D129EE" w:rsidP="00D0534C" w:rsidRDefault="00D129EE" w14:paraId="393E5614" w14:textId="77777777">
      <w:pPr>
        <w:rPr>
          <w:rFonts w:ascii="Arial" w:hAnsi="Arial" w:cs="Arial"/>
          <w:sz w:val="20"/>
          <w:szCs w:val="20"/>
        </w:rPr>
      </w:pPr>
    </w:p>
    <w:p w:rsidRPr="00170C3A" w:rsidR="00D129EE" w:rsidP="00D0534C" w:rsidRDefault="00D129EE" w14:paraId="6BAED605" w14:textId="77777777">
      <w:pPr>
        <w:rPr>
          <w:rFonts w:ascii="Arial" w:hAnsi="Arial" w:cs="Arial"/>
          <w:sz w:val="20"/>
          <w:szCs w:val="20"/>
        </w:rPr>
      </w:pPr>
    </w:p>
    <w:tbl>
      <w:tblPr>
        <w:tblStyle w:val="TableGrid"/>
        <w:tblW w:w="9640" w:type="dxa"/>
        <w:tblInd w:w="-289" w:type="dxa"/>
        <w:tblLook w:val="04A0" w:firstRow="1" w:lastRow="0" w:firstColumn="1" w:lastColumn="0" w:noHBand="0" w:noVBand="1"/>
      </w:tblPr>
      <w:tblGrid>
        <w:gridCol w:w="4395"/>
        <w:gridCol w:w="2410"/>
        <w:gridCol w:w="2835"/>
      </w:tblGrid>
      <w:tr w:rsidRPr="00170C3A" w:rsidR="002F51B6" w:rsidTr="00C11E6D" w14:paraId="1DC06096" w14:textId="77777777">
        <w:tc>
          <w:tcPr>
            <w:tcW w:w="4395" w:type="dxa"/>
          </w:tcPr>
          <w:p w:rsidRPr="00170C3A" w:rsidR="002F51B6" w:rsidP="00C11E6D" w:rsidRDefault="002F51B6" w14:paraId="3B5AFAEB" w14:textId="77777777">
            <w:pPr>
              <w:pStyle w:val="Heading1"/>
              <w:spacing w:before="120"/>
              <w:rPr>
                <w:rFonts w:ascii="Arial" w:hAnsi="Arial" w:cs="Arial"/>
                <w:color w:val="000000" w:themeColor="text1"/>
                <w:sz w:val="20"/>
                <w:szCs w:val="20"/>
                <w:lang w:val="en-US" w:eastAsia="en-GB"/>
              </w:rPr>
            </w:pPr>
            <w:r w:rsidRPr="00170C3A">
              <w:rPr>
                <w:rFonts w:ascii="Arial" w:hAnsi="Arial" w:cs="Arial"/>
                <w:color w:val="808080" w:themeColor="background1" w:themeShade="80"/>
                <w:sz w:val="20"/>
                <w:szCs w:val="20"/>
                <w:lang w:val="en-US" w:eastAsia="en-GB"/>
              </w:rPr>
              <w:t>Committee: Primary Care Capital Group</w:t>
            </w:r>
          </w:p>
        </w:tc>
        <w:tc>
          <w:tcPr>
            <w:tcW w:w="2410" w:type="dxa"/>
          </w:tcPr>
          <w:p w:rsidRPr="00170C3A" w:rsidR="002F51B6" w:rsidP="00C11E6D" w:rsidRDefault="002F51B6" w14:paraId="2C58DD84" w14:textId="28FEADF1">
            <w:pPr>
              <w:pStyle w:val="Heading1"/>
              <w:spacing w:before="120"/>
              <w:rPr>
                <w:rFonts w:ascii="Arial" w:hAnsi="Arial" w:cs="Arial"/>
                <w:color w:val="000000" w:themeColor="text1"/>
                <w:sz w:val="20"/>
                <w:szCs w:val="20"/>
                <w:lang w:val="en-US" w:eastAsia="en-GB"/>
              </w:rPr>
            </w:pPr>
            <w:r w:rsidRPr="00170C3A">
              <w:rPr>
                <w:rFonts w:ascii="Arial" w:hAnsi="Arial" w:cs="Arial"/>
                <w:color w:val="808080" w:themeColor="background1" w:themeShade="80"/>
                <w:sz w:val="20"/>
                <w:szCs w:val="20"/>
                <w:lang w:val="en-US" w:eastAsia="en-GB"/>
              </w:rPr>
              <w:t xml:space="preserve">Date: </w:t>
            </w:r>
            <w:r w:rsidRPr="00170C3A" w:rsidR="00415688">
              <w:rPr>
                <w:rFonts w:ascii="Arial" w:hAnsi="Arial" w:cs="Arial"/>
                <w:color w:val="808080" w:themeColor="background1" w:themeShade="80"/>
                <w:sz w:val="20"/>
                <w:szCs w:val="20"/>
                <w:lang w:val="en-US" w:eastAsia="en-GB"/>
              </w:rPr>
              <w:t>1</w:t>
            </w:r>
            <w:r w:rsidR="00057B19">
              <w:rPr>
                <w:rFonts w:ascii="Arial" w:hAnsi="Arial" w:cs="Arial"/>
                <w:color w:val="808080" w:themeColor="background1" w:themeShade="80"/>
                <w:sz w:val="20"/>
                <w:szCs w:val="20"/>
                <w:lang w:val="en-US" w:eastAsia="en-GB"/>
              </w:rPr>
              <w:t>5</w:t>
            </w:r>
            <w:r w:rsidRPr="00170C3A" w:rsidR="00415688">
              <w:rPr>
                <w:rFonts w:ascii="Arial" w:hAnsi="Arial" w:cs="Arial"/>
                <w:color w:val="808080" w:themeColor="background1" w:themeShade="80"/>
                <w:sz w:val="20"/>
                <w:szCs w:val="20"/>
                <w:lang w:val="en-US" w:eastAsia="en-GB"/>
              </w:rPr>
              <w:t xml:space="preserve"> </w:t>
            </w:r>
            <w:r w:rsidR="00057B19">
              <w:rPr>
                <w:rFonts w:ascii="Arial" w:hAnsi="Arial" w:cs="Arial"/>
                <w:color w:val="808080" w:themeColor="background1" w:themeShade="80"/>
                <w:sz w:val="20"/>
                <w:szCs w:val="20"/>
                <w:lang w:val="en-US" w:eastAsia="en-GB"/>
              </w:rPr>
              <w:t>April</w:t>
            </w:r>
            <w:r w:rsidRPr="00170C3A" w:rsidR="00415688">
              <w:rPr>
                <w:rFonts w:ascii="Arial" w:hAnsi="Arial" w:cs="Arial"/>
                <w:color w:val="808080" w:themeColor="background1" w:themeShade="80"/>
                <w:sz w:val="20"/>
                <w:szCs w:val="20"/>
                <w:lang w:val="en-US" w:eastAsia="en-GB"/>
              </w:rPr>
              <w:t xml:space="preserve"> 2026</w:t>
            </w:r>
          </w:p>
        </w:tc>
        <w:tc>
          <w:tcPr>
            <w:tcW w:w="2835" w:type="dxa"/>
          </w:tcPr>
          <w:p w:rsidRPr="00170C3A" w:rsidR="002F51B6" w:rsidP="00C11E6D" w:rsidRDefault="002F51B6" w14:paraId="6836EA1E" w14:textId="5F087AB1">
            <w:pPr>
              <w:pStyle w:val="Heading1"/>
              <w:spacing w:before="120"/>
              <w:rPr>
                <w:rFonts w:ascii="Arial" w:hAnsi="Arial" w:cs="Arial"/>
                <w:color w:val="000000" w:themeColor="text1"/>
                <w:sz w:val="20"/>
                <w:szCs w:val="20"/>
                <w:lang w:val="en-US" w:eastAsia="en-GB"/>
              </w:rPr>
            </w:pPr>
            <w:r w:rsidRPr="00170C3A">
              <w:rPr>
                <w:rFonts w:ascii="Arial" w:hAnsi="Arial" w:cs="Arial"/>
                <w:color w:val="808080" w:themeColor="background1" w:themeShade="80"/>
                <w:sz w:val="20"/>
                <w:szCs w:val="20"/>
                <w:lang w:val="en-US" w:eastAsia="en-GB"/>
              </w:rPr>
              <w:t xml:space="preserve">Chair: </w:t>
            </w:r>
            <w:r w:rsidRPr="00170C3A" w:rsidR="00307A60">
              <w:rPr>
                <w:rFonts w:ascii="Arial" w:hAnsi="Arial" w:cs="Arial"/>
                <w:color w:val="808080" w:themeColor="background1" w:themeShade="80"/>
                <w:sz w:val="20"/>
                <w:szCs w:val="20"/>
                <w:lang w:val="en-US" w:eastAsia="en-GB"/>
              </w:rPr>
              <w:t>D</w:t>
            </w:r>
            <w:r w:rsidR="00057B19">
              <w:rPr>
                <w:rFonts w:ascii="Arial" w:hAnsi="Arial" w:cs="Arial"/>
                <w:color w:val="808080" w:themeColor="background1" w:themeShade="80"/>
                <w:sz w:val="20"/>
                <w:szCs w:val="20"/>
                <w:lang w:val="en-US" w:eastAsia="en-GB"/>
              </w:rPr>
              <w:t>avid Armstrong</w:t>
            </w:r>
            <w:r w:rsidRPr="00170C3A" w:rsidR="00307A60">
              <w:rPr>
                <w:rFonts w:ascii="Arial" w:hAnsi="Arial" w:cs="Arial"/>
                <w:color w:val="808080" w:themeColor="background1" w:themeShade="80"/>
                <w:sz w:val="20"/>
                <w:szCs w:val="20"/>
                <w:lang w:val="en-US" w:eastAsia="en-GB"/>
              </w:rPr>
              <w:t xml:space="preserve"> </w:t>
            </w:r>
            <w:r w:rsidRPr="00170C3A">
              <w:rPr>
                <w:rFonts w:ascii="Arial" w:hAnsi="Arial" w:cs="Arial"/>
                <w:color w:val="808080" w:themeColor="background1" w:themeShade="80"/>
                <w:sz w:val="20"/>
                <w:szCs w:val="20"/>
                <w:lang w:val="en-US" w:eastAsia="en-GB"/>
              </w:rPr>
              <w:t>(</w:t>
            </w:r>
            <w:r w:rsidR="00057B19">
              <w:rPr>
                <w:rFonts w:ascii="Arial" w:hAnsi="Arial" w:cs="Arial"/>
                <w:color w:val="808080" w:themeColor="background1" w:themeShade="80"/>
                <w:sz w:val="20"/>
                <w:szCs w:val="20"/>
                <w:lang w:val="en-US" w:eastAsia="en-GB"/>
              </w:rPr>
              <w:t xml:space="preserve">Vice </w:t>
            </w:r>
            <w:r w:rsidRPr="00170C3A">
              <w:rPr>
                <w:rFonts w:ascii="Arial" w:hAnsi="Arial" w:cs="Arial"/>
                <w:color w:val="808080" w:themeColor="background1" w:themeShade="80"/>
                <w:sz w:val="20"/>
                <w:szCs w:val="20"/>
                <w:lang w:val="en-US" w:eastAsia="en-GB"/>
              </w:rPr>
              <w:t>Chair)</w:t>
            </w:r>
          </w:p>
        </w:tc>
      </w:tr>
    </w:tbl>
    <w:p w:rsidRPr="00170C3A" w:rsidR="002F51B6" w:rsidP="002F51B6" w:rsidRDefault="002F51B6" w14:paraId="78460C3E" w14:textId="77777777">
      <w:pPr>
        <w:ind w:left="1440"/>
        <w:contextualSpacing/>
        <w:rPr>
          <w:rFonts w:ascii="Arial" w:hAnsi="Arial" w:cs="Arial"/>
          <w:sz w:val="20"/>
          <w:szCs w:val="20"/>
          <w:lang w:eastAsia="en-GB"/>
        </w:rPr>
      </w:pPr>
    </w:p>
    <w:tbl>
      <w:tblPr>
        <w:tblStyle w:val="TableGrid"/>
        <w:tblW w:w="9640" w:type="dxa"/>
        <w:tblInd w:w="-289" w:type="dxa"/>
        <w:tblLook w:val="04A0" w:firstRow="1" w:lastRow="0" w:firstColumn="1" w:lastColumn="0" w:noHBand="0" w:noVBand="1"/>
      </w:tblPr>
      <w:tblGrid>
        <w:gridCol w:w="2127"/>
        <w:gridCol w:w="4652"/>
        <w:gridCol w:w="2861"/>
      </w:tblGrid>
      <w:tr w:rsidRPr="00170C3A" w:rsidR="002F51B6" w:rsidTr="00C11E6D" w14:paraId="58DA192E" w14:textId="77777777">
        <w:tc>
          <w:tcPr>
            <w:tcW w:w="9640" w:type="dxa"/>
            <w:gridSpan w:val="3"/>
            <w:shd w:val="clear" w:color="auto" w:fill="0070C0"/>
            <w:vAlign w:val="center"/>
          </w:tcPr>
          <w:p w:rsidRPr="00170C3A" w:rsidR="002F51B6" w:rsidP="00C11E6D" w:rsidRDefault="002F51B6" w14:paraId="325097BE" w14:textId="77777777">
            <w:pPr>
              <w:contextualSpacing/>
              <w:rPr>
                <w:rFonts w:ascii="Arial" w:hAnsi="Arial" w:cs="Arial"/>
                <w:b/>
                <w:smallCaps/>
                <w:color w:val="FFFFFF" w:themeColor="background1"/>
                <w:sz w:val="20"/>
                <w:szCs w:val="20"/>
                <w:lang w:eastAsia="en-GB"/>
              </w:rPr>
            </w:pPr>
            <w:r w:rsidRPr="00170C3A">
              <w:rPr>
                <w:rFonts w:ascii="Arial" w:hAnsi="Arial" w:cs="Arial"/>
                <w:b/>
                <w:smallCaps/>
                <w:color w:val="FFFFFF" w:themeColor="background1"/>
                <w:sz w:val="20"/>
                <w:szCs w:val="20"/>
                <w:lang w:eastAsia="en-GB"/>
              </w:rPr>
              <w:t>K</w:t>
            </w:r>
            <w:r w:rsidRPr="00170C3A">
              <w:rPr>
                <w:rFonts w:ascii="Arial" w:hAnsi="Arial" w:cs="Arial"/>
                <w:b/>
                <w:color w:val="FFFFFF" w:themeColor="background1"/>
                <w:sz w:val="20"/>
                <w:szCs w:val="20"/>
                <w:lang w:eastAsia="en-GB"/>
              </w:rPr>
              <w:t>ey Items Discussed</w:t>
            </w:r>
          </w:p>
        </w:tc>
      </w:tr>
      <w:tr w:rsidRPr="00170C3A" w:rsidR="002F51B6" w:rsidTr="00C11E6D" w14:paraId="2F9F7948" w14:textId="77777777">
        <w:tc>
          <w:tcPr>
            <w:tcW w:w="2127" w:type="dxa"/>
            <w:shd w:val="clear" w:color="auto" w:fill="FFFFFF" w:themeFill="background1"/>
          </w:tcPr>
          <w:p w:rsidRPr="00170C3A" w:rsidR="002F51B6" w:rsidP="00C11E6D" w:rsidRDefault="002F51B6" w14:paraId="4204ECA7" w14:textId="77777777">
            <w:pPr>
              <w:contextualSpacing/>
              <w:jc w:val="center"/>
              <w:rPr>
                <w:rFonts w:ascii="Arial" w:hAnsi="Arial" w:cs="Arial"/>
                <w:b/>
                <w:smallCaps/>
                <w:color w:val="FFFFFF" w:themeColor="background1"/>
                <w:sz w:val="20"/>
                <w:szCs w:val="20"/>
                <w:lang w:eastAsia="en-GB"/>
              </w:rPr>
            </w:pPr>
            <w:r w:rsidRPr="00170C3A">
              <w:rPr>
                <w:rFonts w:ascii="Arial" w:hAnsi="Arial" w:cs="Arial"/>
                <w:b/>
                <w:sz w:val="20"/>
                <w:szCs w:val="20"/>
                <w:lang w:eastAsia="en-GB"/>
              </w:rPr>
              <w:t>Issue</w:t>
            </w:r>
          </w:p>
        </w:tc>
        <w:tc>
          <w:tcPr>
            <w:tcW w:w="4652" w:type="dxa"/>
            <w:shd w:val="clear" w:color="auto" w:fill="FFFFFF" w:themeFill="background1"/>
          </w:tcPr>
          <w:p w:rsidRPr="00170C3A" w:rsidR="002F51B6" w:rsidP="00C11E6D" w:rsidRDefault="002F51B6" w14:paraId="51F78E92" w14:textId="77777777">
            <w:pPr>
              <w:contextualSpacing/>
              <w:jc w:val="center"/>
              <w:rPr>
                <w:rFonts w:ascii="Arial" w:hAnsi="Arial" w:cs="Arial"/>
                <w:b/>
                <w:smallCaps/>
                <w:color w:val="FFFFFF" w:themeColor="background1"/>
                <w:sz w:val="20"/>
                <w:szCs w:val="20"/>
                <w:lang w:eastAsia="en-GB"/>
              </w:rPr>
            </w:pPr>
            <w:r w:rsidRPr="00170C3A">
              <w:rPr>
                <w:rFonts w:ascii="Arial" w:hAnsi="Arial" w:cs="Arial"/>
                <w:b/>
                <w:sz w:val="20"/>
                <w:szCs w:val="20"/>
                <w:lang w:eastAsia="en-GB"/>
              </w:rPr>
              <w:t>Committee update</w:t>
            </w:r>
          </w:p>
        </w:tc>
        <w:tc>
          <w:tcPr>
            <w:tcW w:w="2861" w:type="dxa"/>
            <w:shd w:val="clear" w:color="auto" w:fill="FFFFFF" w:themeFill="background1"/>
          </w:tcPr>
          <w:p w:rsidRPr="00170C3A" w:rsidR="002F51B6" w:rsidP="00C11E6D" w:rsidRDefault="002F51B6" w14:paraId="212550F5" w14:textId="77777777">
            <w:pPr>
              <w:contextualSpacing/>
              <w:jc w:val="center"/>
              <w:rPr>
                <w:rFonts w:ascii="Arial" w:hAnsi="Arial" w:cs="Arial"/>
                <w:b/>
                <w:smallCaps/>
                <w:color w:val="FFFFFF" w:themeColor="background1"/>
                <w:sz w:val="20"/>
                <w:szCs w:val="20"/>
                <w:lang w:eastAsia="en-GB"/>
              </w:rPr>
            </w:pPr>
            <w:r w:rsidRPr="00170C3A">
              <w:rPr>
                <w:rFonts w:ascii="Arial" w:hAnsi="Arial" w:cs="Arial"/>
                <w:b/>
                <w:sz w:val="20"/>
                <w:szCs w:val="20"/>
                <w:lang w:eastAsia="en-GB"/>
              </w:rPr>
              <w:t>Action</w:t>
            </w:r>
          </w:p>
        </w:tc>
      </w:tr>
      <w:tr w:rsidRPr="00170C3A" w:rsidR="002F51B6" w:rsidTr="00C11E6D" w14:paraId="5BD6E832" w14:textId="77777777">
        <w:tc>
          <w:tcPr>
            <w:tcW w:w="9640" w:type="dxa"/>
            <w:gridSpan w:val="3"/>
            <w:shd w:val="clear" w:color="auto" w:fill="FF5050"/>
          </w:tcPr>
          <w:p w:rsidRPr="00170C3A" w:rsidR="002F51B6" w:rsidP="00C11E6D" w:rsidRDefault="002F51B6" w14:paraId="13FC946D" w14:textId="77777777">
            <w:pPr>
              <w:contextualSpacing/>
              <w:rPr>
                <w:rFonts w:ascii="Arial" w:hAnsi="Arial" w:cs="Arial"/>
                <w:sz w:val="20"/>
                <w:szCs w:val="20"/>
                <w:lang w:eastAsia="en-GB"/>
              </w:rPr>
            </w:pPr>
            <w:r w:rsidRPr="00170C3A">
              <w:rPr>
                <w:rFonts w:ascii="Arial" w:hAnsi="Arial" w:cs="Arial"/>
                <w:b/>
                <w:color w:val="FFFFFF" w:themeColor="background1"/>
                <w:sz w:val="20"/>
                <w:szCs w:val="20"/>
                <w:lang w:eastAsia="en-GB"/>
              </w:rPr>
              <w:t xml:space="preserve">Alert </w:t>
            </w:r>
          </w:p>
        </w:tc>
      </w:tr>
      <w:tr w:rsidRPr="00170C3A" w:rsidR="00FC6EC1" w:rsidTr="00C11E6D" w14:paraId="334A4CDB" w14:textId="77777777">
        <w:tc>
          <w:tcPr>
            <w:tcW w:w="2127" w:type="dxa"/>
          </w:tcPr>
          <w:p w:rsidRPr="00FC6EC1" w:rsidR="00FC6EC1" w:rsidP="00FC6EC1" w:rsidRDefault="00FC6EC1" w14:paraId="597549A1" w14:textId="77777777">
            <w:pPr>
              <w:contextualSpacing/>
              <w:rPr>
                <w:rFonts w:ascii="Arial" w:hAnsi="Arial" w:cs="Arial"/>
                <w:b/>
                <w:bCs/>
                <w:sz w:val="20"/>
                <w:szCs w:val="20"/>
                <w:lang w:eastAsia="en-GB"/>
              </w:rPr>
            </w:pPr>
          </w:p>
          <w:p w:rsidRPr="00FC6EC1" w:rsidR="00FC6EC1" w:rsidP="00FC6EC1" w:rsidRDefault="00FC6EC1" w14:paraId="56A15436" w14:textId="039697AF">
            <w:pPr>
              <w:contextualSpacing/>
              <w:rPr>
                <w:rFonts w:ascii="Arial" w:hAnsi="Arial" w:cs="Arial"/>
                <w:sz w:val="20"/>
                <w:szCs w:val="20"/>
                <w:lang w:eastAsia="en-GB"/>
              </w:rPr>
            </w:pPr>
            <w:r w:rsidRPr="00FC6EC1">
              <w:rPr>
                <w:rFonts w:ascii="Arial" w:hAnsi="Arial" w:cs="Arial"/>
                <w:b/>
                <w:bCs/>
                <w:sz w:val="20"/>
                <w:szCs w:val="20"/>
                <w:lang w:eastAsia="en-GB"/>
              </w:rPr>
              <w:t>General Practice – Notional Rent revaluations.</w:t>
            </w:r>
          </w:p>
        </w:tc>
        <w:tc>
          <w:tcPr>
            <w:tcW w:w="4652" w:type="dxa"/>
          </w:tcPr>
          <w:p w:rsidRPr="00FC6EC1" w:rsidR="00FC6EC1" w:rsidP="00FC6EC1" w:rsidRDefault="00FC6EC1" w14:paraId="4345C128" w14:textId="77777777">
            <w:pPr>
              <w:contextualSpacing/>
              <w:rPr>
                <w:rFonts w:ascii="Arial" w:hAnsi="Arial" w:cs="Arial"/>
                <w:sz w:val="20"/>
                <w:szCs w:val="20"/>
                <w:lang w:eastAsia="en-GB"/>
              </w:rPr>
            </w:pPr>
          </w:p>
          <w:p w:rsidRPr="00FC6EC1" w:rsidR="00FC6EC1" w:rsidP="00FC6EC1" w:rsidRDefault="00FC6EC1" w14:paraId="660FF84A" w14:textId="77777777">
            <w:pPr>
              <w:contextualSpacing/>
              <w:rPr>
                <w:rFonts w:ascii="Arial" w:hAnsi="Arial" w:cs="Arial"/>
                <w:sz w:val="20"/>
                <w:szCs w:val="20"/>
                <w:lang w:eastAsia="en-GB"/>
              </w:rPr>
            </w:pPr>
            <w:r w:rsidRPr="00FC6EC1">
              <w:rPr>
                <w:rFonts w:ascii="Arial" w:hAnsi="Arial" w:cs="Arial"/>
                <w:sz w:val="20"/>
                <w:szCs w:val="20"/>
                <w:lang w:eastAsia="en-GB"/>
              </w:rPr>
              <w:t>The group reviewed the District Valuation Offices’ tri-annual reports for notional rents for a number of practices.  All revaluations were approved and are reported in line with the Premises Cost Directions (2013 or 2024), with one exception where further information and review was advised by the group before progressing.</w:t>
            </w:r>
          </w:p>
          <w:p w:rsidRPr="00FC6EC1" w:rsidR="00FC6EC1" w:rsidP="00FC6EC1" w:rsidRDefault="00FC6EC1" w14:paraId="38565FBA" w14:textId="77777777">
            <w:pPr>
              <w:contextualSpacing/>
              <w:rPr>
                <w:rFonts w:ascii="Arial" w:hAnsi="Arial" w:cs="Arial"/>
                <w:sz w:val="20"/>
                <w:szCs w:val="20"/>
                <w:lang w:eastAsia="en-GB"/>
              </w:rPr>
            </w:pPr>
          </w:p>
        </w:tc>
        <w:tc>
          <w:tcPr>
            <w:tcW w:w="2861" w:type="dxa"/>
          </w:tcPr>
          <w:p w:rsidRPr="00FC6EC1" w:rsidR="00FC6EC1" w:rsidP="00FC6EC1" w:rsidRDefault="00FC6EC1" w14:paraId="0DB52A25" w14:textId="77777777">
            <w:pPr>
              <w:contextualSpacing/>
              <w:rPr>
                <w:rFonts w:ascii="Arial" w:hAnsi="Arial" w:cs="Arial"/>
                <w:sz w:val="20"/>
                <w:szCs w:val="20"/>
                <w:lang w:eastAsia="en-GB"/>
              </w:rPr>
            </w:pPr>
          </w:p>
          <w:p w:rsidRPr="00FC6EC1" w:rsidR="00FC6EC1" w:rsidP="00FC6EC1" w:rsidRDefault="00FC6EC1" w14:paraId="7A1E7932" w14:textId="77777777">
            <w:pPr>
              <w:contextualSpacing/>
              <w:rPr>
                <w:rFonts w:ascii="Arial" w:hAnsi="Arial" w:cs="Arial"/>
                <w:sz w:val="20"/>
                <w:szCs w:val="20"/>
                <w:lang w:eastAsia="en-GB"/>
              </w:rPr>
            </w:pPr>
            <w:r w:rsidRPr="00FC6EC1">
              <w:rPr>
                <w:rFonts w:ascii="Arial" w:hAnsi="Arial" w:cs="Arial"/>
                <w:sz w:val="20"/>
                <w:szCs w:val="20"/>
                <w:lang w:eastAsia="en-GB"/>
              </w:rPr>
              <w:t>Issue documentation to practices notifying and requesting acceptance of the revised values.</w:t>
            </w:r>
          </w:p>
          <w:p w:rsidRPr="00FC6EC1" w:rsidR="00FC6EC1" w:rsidP="00FC6EC1" w:rsidRDefault="00FC6EC1" w14:paraId="7E1C765C" w14:textId="77777777">
            <w:pPr>
              <w:contextualSpacing/>
              <w:rPr>
                <w:rFonts w:ascii="Arial" w:hAnsi="Arial" w:cs="Arial"/>
                <w:sz w:val="20"/>
                <w:szCs w:val="20"/>
                <w:lang w:eastAsia="en-GB"/>
              </w:rPr>
            </w:pPr>
            <w:r w:rsidRPr="00FC6EC1">
              <w:rPr>
                <w:rFonts w:ascii="Arial" w:hAnsi="Arial" w:cs="Arial"/>
                <w:sz w:val="20"/>
                <w:szCs w:val="20"/>
                <w:lang w:eastAsia="en-GB"/>
              </w:rPr>
              <w:t>.</w:t>
            </w:r>
          </w:p>
          <w:p w:rsidRPr="00FC6EC1" w:rsidR="00FC6EC1" w:rsidP="00FC6EC1" w:rsidRDefault="00FC6EC1" w14:paraId="1DA3E30E" w14:textId="77777777">
            <w:pPr>
              <w:contextualSpacing/>
              <w:rPr>
                <w:rFonts w:ascii="Arial" w:hAnsi="Arial" w:cs="Arial"/>
                <w:sz w:val="20"/>
                <w:szCs w:val="20"/>
                <w:lang w:eastAsia="en-GB"/>
              </w:rPr>
            </w:pPr>
          </w:p>
        </w:tc>
      </w:tr>
      <w:tr w:rsidRPr="00170C3A" w:rsidR="000A3B77" w:rsidTr="00C11E6D" w14:paraId="11903362" w14:textId="77777777">
        <w:tc>
          <w:tcPr>
            <w:tcW w:w="9640" w:type="dxa"/>
            <w:gridSpan w:val="3"/>
            <w:shd w:val="clear" w:color="auto" w:fill="FFC000"/>
          </w:tcPr>
          <w:p w:rsidRPr="00170C3A" w:rsidR="000A3B77" w:rsidP="000A3B77" w:rsidRDefault="000A3B77" w14:paraId="44732CF3" w14:textId="77777777">
            <w:pPr>
              <w:contextualSpacing/>
              <w:rPr>
                <w:rFonts w:ascii="Arial" w:hAnsi="Arial" w:cs="Arial"/>
                <w:color w:val="000000" w:themeColor="text1"/>
                <w:sz w:val="20"/>
                <w:szCs w:val="20"/>
                <w:lang w:eastAsia="en-GB"/>
              </w:rPr>
            </w:pPr>
            <w:r w:rsidRPr="00170C3A">
              <w:rPr>
                <w:rFonts w:ascii="Arial" w:hAnsi="Arial" w:cs="Arial"/>
                <w:b/>
                <w:color w:val="000000" w:themeColor="text1"/>
                <w:sz w:val="20"/>
                <w:szCs w:val="20"/>
                <w:lang w:eastAsia="en-GB"/>
              </w:rPr>
              <w:t xml:space="preserve">Advise </w:t>
            </w:r>
          </w:p>
        </w:tc>
      </w:tr>
      <w:tr w:rsidRPr="00170C3A" w:rsidR="00611BA3" w:rsidTr="00C11E6D" w14:paraId="7CD5B475" w14:textId="77777777">
        <w:tc>
          <w:tcPr>
            <w:tcW w:w="2127" w:type="dxa"/>
          </w:tcPr>
          <w:p w:rsidRPr="00611BA3" w:rsidR="00611BA3" w:rsidP="00611BA3" w:rsidRDefault="00611BA3" w14:paraId="79B75644" w14:textId="77777777">
            <w:pPr>
              <w:contextualSpacing/>
              <w:rPr>
                <w:rFonts w:ascii="Arial" w:hAnsi="Arial" w:cs="Arial"/>
                <w:b/>
                <w:bCs/>
                <w:sz w:val="20"/>
                <w:szCs w:val="20"/>
                <w:lang w:eastAsia="en-GB"/>
              </w:rPr>
            </w:pPr>
          </w:p>
          <w:p w:rsidRPr="00611BA3" w:rsidR="00611BA3" w:rsidP="00611BA3" w:rsidRDefault="00611BA3" w14:paraId="640FE68E" w14:textId="097562EC">
            <w:pPr>
              <w:contextualSpacing/>
              <w:rPr>
                <w:rFonts w:ascii="Arial" w:hAnsi="Arial" w:cs="Arial"/>
                <w:b/>
                <w:color w:val="FF0000"/>
                <w:sz w:val="20"/>
                <w:szCs w:val="20"/>
                <w:lang w:eastAsia="en-GB"/>
              </w:rPr>
            </w:pPr>
            <w:r w:rsidRPr="00611BA3">
              <w:rPr>
                <w:rFonts w:ascii="Arial" w:hAnsi="Arial" w:eastAsia="Times New Roman" w:cs="Arial"/>
                <w:b/>
                <w:bCs/>
                <w:sz w:val="20"/>
                <w:szCs w:val="20"/>
                <w:lang w:eastAsia="en-GB"/>
              </w:rPr>
              <w:t>GPIT Applications</w:t>
            </w:r>
          </w:p>
        </w:tc>
        <w:tc>
          <w:tcPr>
            <w:tcW w:w="4652" w:type="dxa"/>
          </w:tcPr>
          <w:p w:rsidRPr="00611BA3" w:rsidR="00611BA3" w:rsidP="00611BA3" w:rsidRDefault="00611BA3" w14:paraId="51029A65" w14:textId="77777777">
            <w:pPr>
              <w:contextualSpacing/>
              <w:rPr>
                <w:rFonts w:ascii="Arial" w:hAnsi="Arial" w:cs="Arial"/>
                <w:sz w:val="20"/>
                <w:szCs w:val="20"/>
                <w:lang w:eastAsia="en-GB"/>
              </w:rPr>
            </w:pPr>
          </w:p>
          <w:p w:rsidRPr="00611BA3" w:rsidR="00611BA3" w:rsidP="00611BA3" w:rsidRDefault="00611BA3" w14:paraId="6BE9EFBA" w14:textId="77777777">
            <w:pPr>
              <w:contextualSpacing/>
              <w:rPr>
                <w:rFonts w:ascii="Arial" w:hAnsi="Arial" w:eastAsia="Times New Roman" w:cs="Arial"/>
                <w:sz w:val="20"/>
                <w:szCs w:val="20"/>
                <w:lang w:eastAsia="en-GB"/>
              </w:rPr>
            </w:pPr>
            <w:r w:rsidRPr="00611BA3">
              <w:rPr>
                <w:rFonts w:ascii="Arial" w:hAnsi="Arial" w:eastAsia="Times New Roman" w:cs="Arial"/>
                <w:sz w:val="20"/>
                <w:szCs w:val="20"/>
                <w:lang w:eastAsia="en-GB"/>
              </w:rPr>
              <w:t xml:space="preserve">The group undertook a review of a GPIT project Initiation Document (PID). </w:t>
            </w:r>
          </w:p>
          <w:p w:rsidRPr="00611BA3" w:rsidR="00611BA3" w:rsidP="00611BA3" w:rsidRDefault="00611BA3" w14:paraId="089EA703" w14:textId="77777777">
            <w:pPr>
              <w:contextualSpacing/>
              <w:rPr>
                <w:rFonts w:ascii="Arial" w:hAnsi="Arial" w:eastAsia="Times New Roman" w:cs="Arial"/>
                <w:sz w:val="20"/>
                <w:szCs w:val="20"/>
                <w:lang w:eastAsia="en-GB"/>
              </w:rPr>
            </w:pPr>
            <w:r w:rsidRPr="00611BA3">
              <w:rPr>
                <w:rFonts w:ascii="Arial" w:hAnsi="Arial" w:eastAsia="Times New Roman" w:cs="Arial"/>
                <w:sz w:val="20"/>
                <w:szCs w:val="20"/>
                <w:lang w:eastAsia="en-GB"/>
              </w:rPr>
              <w:t xml:space="preserve">The PID submitted is in line with the guidance on GPIT investments, </w:t>
            </w:r>
            <w:r w:rsidRPr="00611BA3">
              <w:rPr>
                <w:rFonts w:ascii="Arial" w:hAnsi="Arial" w:cs="Arial"/>
                <w:sz w:val="20"/>
                <w:szCs w:val="20"/>
                <w:lang w:eastAsia="en-GB"/>
              </w:rPr>
              <w:t xml:space="preserve">is an investment in essential software for multi-year software licences and their implementation. </w:t>
            </w:r>
          </w:p>
          <w:p w:rsidRPr="00611BA3" w:rsidR="00611BA3" w:rsidP="00611BA3" w:rsidRDefault="00611BA3" w14:paraId="4979DC0E" w14:textId="77777777">
            <w:pPr>
              <w:contextualSpacing/>
              <w:rPr>
                <w:rFonts w:ascii="Arial" w:hAnsi="Arial" w:eastAsia="Times New Roman" w:cs="Arial"/>
                <w:sz w:val="20"/>
                <w:szCs w:val="20"/>
                <w:lang w:eastAsia="en-GB"/>
              </w:rPr>
            </w:pPr>
          </w:p>
          <w:p w:rsidRPr="00611BA3" w:rsidR="00611BA3" w:rsidP="00611BA3" w:rsidRDefault="00611BA3" w14:paraId="510CB904" w14:textId="62FBE73D">
            <w:pPr>
              <w:contextualSpacing/>
              <w:rPr>
                <w:rFonts w:ascii="Arial" w:hAnsi="Arial" w:cs="Arial"/>
                <w:color w:val="FF0000"/>
                <w:sz w:val="20"/>
                <w:szCs w:val="20"/>
                <w:lang w:eastAsia="en-GB"/>
              </w:rPr>
            </w:pPr>
            <w:r w:rsidRPr="00611BA3">
              <w:rPr>
                <w:rFonts w:ascii="Arial" w:hAnsi="Arial" w:eastAsia="Times New Roman" w:cs="Arial"/>
                <w:sz w:val="20"/>
                <w:szCs w:val="20"/>
                <w:lang w:eastAsia="en-GB"/>
              </w:rPr>
              <w:t>In accordance with the decision-making matrix the PIDs have been approved and will progress to NHS England for their formal approval.</w:t>
            </w:r>
          </w:p>
        </w:tc>
        <w:tc>
          <w:tcPr>
            <w:tcW w:w="2861" w:type="dxa"/>
          </w:tcPr>
          <w:p w:rsidRPr="00611BA3" w:rsidR="00611BA3" w:rsidP="00611BA3" w:rsidRDefault="00611BA3" w14:paraId="74E30D69" w14:textId="77777777">
            <w:pPr>
              <w:contextualSpacing/>
              <w:rPr>
                <w:rFonts w:ascii="Arial" w:hAnsi="Arial" w:cs="Arial"/>
                <w:sz w:val="20"/>
                <w:szCs w:val="20"/>
                <w:lang w:eastAsia="en-GB"/>
              </w:rPr>
            </w:pPr>
          </w:p>
          <w:p w:rsidRPr="00611BA3" w:rsidR="00611BA3" w:rsidP="00611BA3" w:rsidRDefault="00611BA3" w14:paraId="7022A9B7" w14:textId="458677D2">
            <w:pPr>
              <w:contextualSpacing/>
              <w:rPr>
                <w:rFonts w:ascii="Arial" w:hAnsi="Arial" w:cs="Arial"/>
                <w:sz w:val="20"/>
                <w:szCs w:val="20"/>
                <w:lang w:eastAsia="en-GB"/>
              </w:rPr>
            </w:pPr>
            <w:r w:rsidRPr="00611BA3">
              <w:rPr>
                <w:rFonts w:ascii="Arial" w:hAnsi="Arial" w:eastAsia="Times New Roman" w:cs="Arial"/>
                <w:sz w:val="20"/>
                <w:szCs w:val="20"/>
                <w:lang w:eastAsia="en-GB"/>
              </w:rPr>
              <w:t>Submit the PIDs to NHS England North West for formal approval, authorisation of the PID from the ICB Director of Finance, NHSE Director of Digital, NHSE NW Regional Director of Finance</w:t>
            </w:r>
          </w:p>
        </w:tc>
      </w:tr>
      <w:tr w:rsidRPr="00170C3A" w:rsidR="00FF22BC" w:rsidTr="00C11E6D" w14:paraId="602C87C1" w14:textId="77777777">
        <w:tc>
          <w:tcPr>
            <w:tcW w:w="2127" w:type="dxa"/>
          </w:tcPr>
          <w:p w:rsidRPr="00170C3A" w:rsidR="00FF22BC" w:rsidP="00FF22BC" w:rsidRDefault="00FF22BC" w14:paraId="2D78EAC2" w14:textId="77777777">
            <w:pPr>
              <w:contextualSpacing/>
              <w:rPr>
                <w:rFonts w:ascii="Arial" w:hAnsi="Arial" w:cs="Arial"/>
                <w:b/>
                <w:sz w:val="20"/>
                <w:szCs w:val="20"/>
                <w:lang w:eastAsia="en-GB"/>
              </w:rPr>
            </w:pPr>
          </w:p>
        </w:tc>
        <w:tc>
          <w:tcPr>
            <w:tcW w:w="4652" w:type="dxa"/>
          </w:tcPr>
          <w:p w:rsidRPr="00170C3A" w:rsidR="00FF22BC" w:rsidP="00FF22BC" w:rsidRDefault="00FF22BC" w14:paraId="12D2F0DE" w14:textId="77777777">
            <w:pPr>
              <w:contextualSpacing/>
              <w:rPr>
                <w:rFonts w:ascii="Arial" w:hAnsi="Arial" w:cs="Arial"/>
                <w:sz w:val="20"/>
                <w:szCs w:val="20"/>
                <w:lang w:eastAsia="en-GB"/>
              </w:rPr>
            </w:pPr>
          </w:p>
        </w:tc>
        <w:tc>
          <w:tcPr>
            <w:tcW w:w="2861" w:type="dxa"/>
          </w:tcPr>
          <w:p w:rsidRPr="00170C3A" w:rsidR="00FF22BC" w:rsidP="00FF22BC" w:rsidRDefault="00FF22BC" w14:paraId="416F26B3" w14:textId="77777777">
            <w:pPr>
              <w:contextualSpacing/>
              <w:rPr>
                <w:rFonts w:ascii="Arial" w:hAnsi="Arial" w:cs="Arial"/>
                <w:sz w:val="20"/>
                <w:szCs w:val="20"/>
                <w:lang w:eastAsia="en-GB"/>
              </w:rPr>
            </w:pPr>
          </w:p>
        </w:tc>
      </w:tr>
      <w:tr w:rsidRPr="00170C3A" w:rsidR="00FF22BC" w:rsidTr="00C11E6D" w14:paraId="4868105F" w14:textId="77777777">
        <w:tc>
          <w:tcPr>
            <w:tcW w:w="9640" w:type="dxa"/>
            <w:gridSpan w:val="3"/>
            <w:shd w:val="clear" w:color="auto" w:fill="00B050"/>
          </w:tcPr>
          <w:p w:rsidRPr="00170C3A" w:rsidR="00FF22BC" w:rsidP="00FF22BC" w:rsidRDefault="00FF22BC" w14:paraId="2760D214" w14:textId="77777777">
            <w:pPr>
              <w:contextualSpacing/>
              <w:rPr>
                <w:rFonts w:ascii="Arial" w:hAnsi="Arial" w:cs="Arial"/>
                <w:b/>
                <w:sz w:val="20"/>
                <w:szCs w:val="20"/>
                <w:lang w:eastAsia="en-GB"/>
              </w:rPr>
            </w:pPr>
            <w:r w:rsidRPr="00170C3A">
              <w:rPr>
                <w:rFonts w:ascii="Arial" w:hAnsi="Arial" w:cs="Arial"/>
                <w:b/>
                <w:sz w:val="20"/>
                <w:szCs w:val="20"/>
                <w:lang w:eastAsia="en-GB"/>
              </w:rPr>
              <w:t xml:space="preserve">Assure </w:t>
            </w:r>
          </w:p>
        </w:tc>
      </w:tr>
      <w:tr w:rsidRPr="00170C3A" w:rsidR="00FF22BC" w:rsidTr="00C11E6D" w14:paraId="6308F264" w14:textId="77777777">
        <w:tc>
          <w:tcPr>
            <w:tcW w:w="2127" w:type="dxa"/>
          </w:tcPr>
          <w:p w:rsidRPr="00170C3A" w:rsidR="00FF22BC" w:rsidP="00FF22BC" w:rsidRDefault="00FF22BC" w14:paraId="5B48F4D0" w14:textId="77777777">
            <w:pPr>
              <w:contextualSpacing/>
              <w:rPr>
                <w:rFonts w:ascii="Arial" w:hAnsi="Arial" w:cs="Arial"/>
                <w:b/>
                <w:sz w:val="20"/>
                <w:szCs w:val="20"/>
                <w:lang w:eastAsia="en-GB"/>
              </w:rPr>
            </w:pPr>
          </w:p>
          <w:p w:rsidRPr="00170C3A" w:rsidR="00FF22BC" w:rsidP="00FF22BC" w:rsidRDefault="00FF22BC" w14:paraId="18E4A369" w14:textId="77777777">
            <w:pPr>
              <w:contextualSpacing/>
              <w:rPr>
                <w:rFonts w:ascii="Arial" w:hAnsi="Arial" w:cs="Arial"/>
                <w:b/>
                <w:sz w:val="20"/>
                <w:szCs w:val="20"/>
                <w:lang w:eastAsia="en-GB"/>
              </w:rPr>
            </w:pPr>
            <w:r w:rsidRPr="00170C3A">
              <w:rPr>
                <w:rFonts w:ascii="Arial" w:hAnsi="Arial" w:cs="Arial"/>
                <w:b/>
                <w:sz w:val="20"/>
                <w:szCs w:val="20"/>
                <w:lang w:eastAsia="en-GB"/>
              </w:rPr>
              <w:t xml:space="preserve">None </w:t>
            </w:r>
          </w:p>
        </w:tc>
        <w:tc>
          <w:tcPr>
            <w:tcW w:w="4652" w:type="dxa"/>
          </w:tcPr>
          <w:p w:rsidRPr="00170C3A" w:rsidR="00FF22BC" w:rsidP="00FF22BC" w:rsidRDefault="00FF22BC" w14:paraId="165DB070" w14:textId="77777777">
            <w:pPr>
              <w:contextualSpacing/>
              <w:rPr>
                <w:rFonts w:ascii="Arial" w:hAnsi="Arial" w:cs="Arial"/>
                <w:sz w:val="20"/>
                <w:szCs w:val="20"/>
                <w:lang w:eastAsia="en-GB"/>
              </w:rPr>
            </w:pPr>
          </w:p>
        </w:tc>
        <w:tc>
          <w:tcPr>
            <w:tcW w:w="2861" w:type="dxa"/>
          </w:tcPr>
          <w:p w:rsidRPr="00170C3A" w:rsidR="00FF22BC" w:rsidP="00FF22BC" w:rsidRDefault="00FF22BC" w14:paraId="2346827E" w14:textId="77777777">
            <w:pPr>
              <w:contextualSpacing/>
              <w:rPr>
                <w:rFonts w:ascii="Arial" w:hAnsi="Arial" w:cs="Arial"/>
                <w:sz w:val="20"/>
                <w:szCs w:val="20"/>
                <w:lang w:eastAsia="en-GB"/>
              </w:rPr>
            </w:pPr>
          </w:p>
        </w:tc>
      </w:tr>
    </w:tbl>
    <w:p w:rsidRPr="00170C3A" w:rsidR="002F51B6" w:rsidP="002F51B6" w:rsidRDefault="002F51B6" w14:paraId="6947BF44" w14:textId="77777777">
      <w:pPr>
        <w:rPr>
          <w:rFonts w:ascii="Arial" w:hAnsi="Arial" w:cs="Arial"/>
          <w:sz w:val="20"/>
          <w:szCs w:val="20"/>
        </w:rPr>
      </w:pPr>
    </w:p>
    <w:p w:rsidRPr="00170C3A" w:rsidR="00D129EE" w:rsidP="00D0534C" w:rsidRDefault="00D129EE" w14:paraId="4382BAFB" w14:textId="77777777">
      <w:pPr>
        <w:rPr>
          <w:rFonts w:ascii="Arial" w:hAnsi="Arial" w:cs="Arial"/>
          <w:sz w:val="20"/>
          <w:szCs w:val="20"/>
        </w:rPr>
      </w:pPr>
    </w:p>
    <w:p w:rsidRPr="00170C3A" w:rsidR="00D129EE" w:rsidP="00D0534C" w:rsidRDefault="00D129EE" w14:paraId="445F2439" w14:textId="77777777">
      <w:pPr>
        <w:rPr>
          <w:rFonts w:ascii="Arial" w:hAnsi="Arial" w:cs="Arial"/>
          <w:sz w:val="20"/>
          <w:szCs w:val="20"/>
        </w:rPr>
      </w:pPr>
    </w:p>
    <w:p w:rsidRPr="00170C3A" w:rsidR="00D0534C" w:rsidP="00D0534C" w:rsidRDefault="00D0534C" w14:paraId="6BC57E33" w14:textId="77777777">
      <w:pPr>
        <w:rPr>
          <w:rFonts w:ascii="Arial" w:hAnsi="Arial" w:cs="Arial"/>
          <w:sz w:val="20"/>
          <w:szCs w:val="20"/>
        </w:rPr>
      </w:pPr>
    </w:p>
    <w:p w:rsidRPr="00170C3A" w:rsidR="00DE649C" w:rsidP="00251325" w:rsidRDefault="40471C97" w14:paraId="347A80B8" w14:textId="32ED1C17">
      <w:pPr>
        <w:pStyle w:val="ListParagraph"/>
        <w:numPr>
          <w:ilvl w:val="0"/>
          <w:numId w:val="1"/>
        </w:numPr>
        <w:tabs>
          <w:tab w:val="left" w:pos="565"/>
        </w:tabs>
        <w:rPr>
          <w:rFonts w:eastAsia="Arial" w:cs="Arial"/>
          <w:b/>
          <w:color w:val="000000" w:themeColor="text1"/>
          <w:sz w:val="20"/>
          <w:szCs w:val="20"/>
        </w:rPr>
      </w:pPr>
      <w:r w:rsidRPr="00170C3A">
        <w:rPr>
          <w:rFonts w:eastAsia="Arial" w:cs="Arial"/>
          <w:b/>
          <w:color w:val="000000" w:themeColor="text1"/>
          <w:sz w:val="20"/>
          <w:szCs w:val="20"/>
          <w:lang w:val="en-US"/>
        </w:rPr>
        <w:t>Conclusion</w:t>
      </w:r>
    </w:p>
    <w:p w:rsidRPr="00170C3A" w:rsidR="00DE649C" w:rsidP="360C4CB1" w:rsidRDefault="00DE649C" w14:paraId="7393C6EA" w14:textId="173E936C">
      <w:pPr>
        <w:tabs>
          <w:tab w:val="left" w:pos="565"/>
        </w:tabs>
        <w:spacing w:after="0" w:line="240" w:lineRule="auto"/>
        <w:ind w:left="720"/>
        <w:contextualSpacing/>
        <w:rPr>
          <w:rFonts w:ascii="Arial" w:hAnsi="Arial" w:eastAsia="Arial" w:cs="Arial"/>
          <w:color w:val="000000" w:themeColor="text1"/>
          <w:sz w:val="20"/>
          <w:szCs w:val="20"/>
        </w:rPr>
      </w:pPr>
    </w:p>
    <w:p w:rsidRPr="00170C3A" w:rsidR="00DE649C" w:rsidP="00251325" w:rsidRDefault="40471C97" w14:paraId="76B0AC3D" w14:textId="01EFB038">
      <w:pPr>
        <w:pStyle w:val="ListParagraph"/>
        <w:numPr>
          <w:ilvl w:val="1"/>
          <w:numId w:val="1"/>
        </w:numPr>
        <w:tabs>
          <w:tab w:val="left" w:pos="565"/>
        </w:tabs>
        <w:rPr>
          <w:rFonts w:eastAsia="Arial" w:cs="Arial"/>
          <w:color w:val="000000" w:themeColor="text1"/>
          <w:sz w:val="20"/>
          <w:szCs w:val="20"/>
        </w:rPr>
      </w:pPr>
      <w:r w:rsidRPr="00170C3A">
        <w:rPr>
          <w:rFonts w:eastAsia="Arial" w:cs="Arial"/>
          <w:color w:val="000000" w:themeColor="text1"/>
          <w:sz w:val="20"/>
          <w:szCs w:val="20"/>
          <w:lang w:val="en-US"/>
        </w:rPr>
        <w:t>Each of the service groups has con</w:t>
      </w:r>
      <w:r w:rsidRPr="00170C3A" w:rsidR="000B2206">
        <w:rPr>
          <w:rFonts w:eastAsia="Arial" w:cs="Arial"/>
          <w:color w:val="000000" w:themeColor="text1"/>
          <w:sz w:val="20"/>
          <w:szCs w:val="20"/>
          <w:lang w:val="en-US"/>
        </w:rPr>
        <w:t>ducted</w:t>
      </w:r>
      <w:r w:rsidRPr="00170C3A">
        <w:rPr>
          <w:rFonts w:eastAsia="Arial" w:cs="Arial"/>
          <w:color w:val="000000" w:themeColor="text1"/>
          <w:sz w:val="20"/>
          <w:szCs w:val="20"/>
          <w:lang w:val="en-US"/>
        </w:rPr>
        <w:t xml:space="preserve"> their business in line with their terms of reference.</w:t>
      </w:r>
    </w:p>
    <w:p w:rsidRPr="00170C3A" w:rsidR="00DE649C" w:rsidP="360C4CB1" w:rsidRDefault="00DE649C" w14:paraId="2D36283B" w14:textId="3DF4CA61">
      <w:pPr>
        <w:tabs>
          <w:tab w:val="left" w:pos="565"/>
        </w:tabs>
        <w:spacing w:after="0" w:line="240" w:lineRule="auto"/>
        <w:ind w:left="567"/>
        <w:rPr>
          <w:rFonts w:ascii="Arial" w:hAnsi="Arial" w:eastAsia="Arial" w:cs="Arial"/>
          <w:color w:val="000000" w:themeColor="text1"/>
          <w:sz w:val="20"/>
          <w:szCs w:val="20"/>
        </w:rPr>
      </w:pPr>
    </w:p>
    <w:p w:rsidRPr="00170C3A" w:rsidR="00DE649C" w:rsidP="00251325" w:rsidRDefault="40471C97" w14:paraId="2F96AD81" w14:textId="4AD7CA20">
      <w:pPr>
        <w:pStyle w:val="ListParagraph"/>
        <w:numPr>
          <w:ilvl w:val="0"/>
          <w:numId w:val="1"/>
        </w:numPr>
        <w:tabs>
          <w:tab w:val="left" w:pos="565"/>
        </w:tabs>
        <w:rPr>
          <w:rFonts w:eastAsia="Arial" w:cs="Arial"/>
          <w:b/>
          <w:color w:val="000000" w:themeColor="text1"/>
          <w:sz w:val="20"/>
          <w:szCs w:val="20"/>
          <w:lang w:val="en-US"/>
        </w:rPr>
      </w:pPr>
      <w:r w:rsidRPr="00170C3A">
        <w:rPr>
          <w:rFonts w:eastAsia="Arial" w:cs="Arial"/>
          <w:b/>
          <w:color w:val="000000" w:themeColor="text1"/>
          <w:sz w:val="20"/>
          <w:szCs w:val="20"/>
          <w:lang w:val="en-US"/>
        </w:rPr>
        <w:t>Recommendations</w:t>
      </w:r>
    </w:p>
    <w:p w:rsidRPr="00170C3A" w:rsidR="00DE649C" w:rsidP="360C4CB1" w:rsidRDefault="00DE649C" w14:paraId="72E6EBF5" w14:textId="47D02CCB">
      <w:pPr>
        <w:spacing w:after="0" w:line="240" w:lineRule="auto"/>
        <w:ind w:left="567"/>
        <w:rPr>
          <w:rFonts w:ascii="Arial" w:hAnsi="Arial" w:eastAsia="Arial" w:cs="Arial"/>
          <w:color w:val="000000" w:themeColor="text1"/>
          <w:sz w:val="20"/>
          <w:szCs w:val="20"/>
        </w:rPr>
      </w:pPr>
    </w:p>
    <w:p w:rsidRPr="00170C3A" w:rsidR="00DE649C" w:rsidP="00251325" w:rsidRDefault="40471C97" w14:paraId="5BC4CBB9" w14:textId="22239A7C">
      <w:pPr>
        <w:pStyle w:val="ListParagraph"/>
        <w:numPr>
          <w:ilvl w:val="1"/>
          <w:numId w:val="1"/>
        </w:numPr>
        <w:tabs>
          <w:tab w:val="left" w:pos="565"/>
        </w:tabs>
        <w:rPr>
          <w:rFonts w:eastAsia="Arial" w:cs="Arial"/>
          <w:color w:val="000000" w:themeColor="text1"/>
          <w:sz w:val="20"/>
          <w:szCs w:val="20"/>
          <w:lang w:val="en-US"/>
        </w:rPr>
      </w:pPr>
      <w:r w:rsidRPr="00170C3A">
        <w:rPr>
          <w:rFonts w:eastAsia="Arial" w:cs="Arial"/>
          <w:color w:val="000000" w:themeColor="text1"/>
          <w:sz w:val="20"/>
          <w:szCs w:val="20"/>
          <w:lang w:val="en-US"/>
        </w:rPr>
        <w:t>The Primary Care Contracts Sub</w:t>
      </w:r>
      <w:r w:rsidRPr="00170C3A" w:rsidR="000B2206">
        <w:rPr>
          <w:rFonts w:eastAsia="Arial" w:cs="Arial"/>
          <w:color w:val="000000" w:themeColor="text1"/>
          <w:sz w:val="20"/>
          <w:szCs w:val="20"/>
          <w:lang w:val="en-US"/>
        </w:rPr>
        <w:t>-c</w:t>
      </w:r>
      <w:r w:rsidRPr="00170C3A">
        <w:rPr>
          <w:rFonts w:eastAsia="Arial" w:cs="Arial"/>
          <w:color w:val="000000" w:themeColor="text1"/>
          <w:sz w:val="20"/>
          <w:szCs w:val="20"/>
          <w:lang w:val="en-US"/>
        </w:rPr>
        <w:t>ommittee is requested to:</w:t>
      </w:r>
    </w:p>
    <w:p w:rsidRPr="00170C3A" w:rsidR="000B2206" w:rsidP="000B2206" w:rsidRDefault="000B2206" w14:paraId="17BCE4E2" w14:textId="77777777">
      <w:pPr>
        <w:pStyle w:val="ListParagraph"/>
        <w:tabs>
          <w:tab w:val="left" w:pos="565"/>
        </w:tabs>
        <w:spacing w:before="100"/>
        <w:rPr>
          <w:rFonts w:eastAsia="Arial" w:cs="Arial"/>
          <w:color w:val="262626" w:themeColor="text1" w:themeTint="D9"/>
          <w:sz w:val="20"/>
          <w:szCs w:val="20"/>
        </w:rPr>
      </w:pPr>
    </w:p>
    <w:p w:rsidRPr="00170C3A" w:rsidR="00DE649C" w:rsidP="00251325" w:rsidRDefault="2FAE5617" w14:paraId="3C9EA3F2" w14:textId="0BE5520C">
      <w:pPr>
        <w:pStyle w:val="ListParagraph"/>
        <w:numPr>
          <w:ilvl w:val="0"/>
          <w:numId w:val="9"/>
        </w:numPr>
        <w:tabs>
          <w:tab w:val="left" w:pos="565"/>
        </w:tabs>
        <w:spacing w:before="120"/>
        <w:rPr>
          <w:rFonts w:eastAsia="Arial" w:cs="Arial"/>
          <w:color w:val="000000" w:themeColor="text1"/>
          <w:sz w:val="20"/>
          <w:szCs w:val="20"/>
        </w:rPr>
      </w:pPr>
      <w:r w:rsidRPr="00170C3A">
        <w:rPr>
          <w:rFonts w:eastAsia="Arial" w:cs="Arial"/>
          <w:color w:val="000000" w:themeColor="text1"/>
          <w:sz w:val="20"/>
          <w:szCs w:val="20"/>
          <w:lang w:val="en-US"/>
        </w:rPr>
        <w:t>Receive and note the Alert, Assure and Advise (AAA) reports from the five primary care groups.</w:t>
      </w:r>
    </w:p>
    <w:p w:rsidRPr="00170C3A" w:rsidR="00DE649C" w:rsidP="360C4CB1" w:rsidRDefault="00DE649C" w14:paraId="08FB2237" w14:textId="3A7950B0">
      <w:pPr>
        <w:spacing w:before="120" w:after="0" w:line="240" w:lineRule="auto"/>
        <w:rPr>
          <w:rFonts w:ascii="Arial" w:hAnsi="Arial" w:eastAsia="Arial" w:cs="Arial"/>
          <w:color w:val="000000" w:themeColor="text1"/>
          <w:sz w:val="20"/>
          <w:szCs w:val="20"/>
        </w:rPr>
      </w:pPr>
    </w:p>
    <w:p w:rsidRPr="00170C3A" w:rsidR="00DE649C" w:rsidP="360C4CB1" w:rsidRDefault="40471C97" w14:paraId="45BB2FDB" w14:textId="5F6E794C">
      <w:pPr>
        <w:spacing w:before="120" w:after="0" w:line="240" w:lineRule="auto"/>
        <w:ind w:left="562" w:hanging="562"/>
        <w:rPr>
          <w:rFonts w:ascii="Arial" w:hAnsi="Arial" w:eastAsia="Arial" w:cs="Arial"/>
          <w:color w:val="000000" w:themeColor="text1"/>
          <w:sz w:val="20"/>
          <w:szCs w:val="20"/>
        </w:rPr>
      </w:pPr>
      <w:r w:rsidRPr="00170C3A">
        <w:rPr>
          <w:rFonts w:ascii="Arial" w:hAnsi="Arial" w:eastAsia="Arial" w:cs="Arial"/>
          <w:b/>
          <w:color w:val="000000" w:themeColor="text1"/>
          <w:sz w:val="20"/>
          <w:szCs w:val="20"/>
          <w:lang w:val="en-US"/>
        </w:rPr>
        <w:t>Sarah Danson and David Armstrong</w:t>
      </w:r>
    </w:p>
    <w:p w:rsidRPr="00170C3A" w:rsidR="00DE649C" w:rsidP="360C4CB1" w:rsidRDefault="40471C97" w14:paraId="7B14BA72" w14:textId="7267860F">
      <w:pPr>
        <w:spacing w:before="120" w:after="0" w:line="240" w:lineRule="auto"/>
        <w:ind w:left="562" w:hanging="562"/>
        <w:rPr>
          <w:rFonts w:ascii="Arial" w:hAnsi="Arial" w:eastAsia="Arial" w:cs="Arial"/>
          <w:color w:val="000000" w:themeColor="text1"/>
          <w:sz w:val="20"/>
          <w:szCs w:val="20"/>
        </w:rPr>
      </w:pPr>
      <w:r w:rsidRPr="00170C3A">
        <w:rPr>
          <w:rFonts w:ascii="Arial" w:hAnsi="Arial" w:eastAsia="Arial" w:cs="Arial"/>
          <w:b/>
          <w:color w:val="000000" w:themeColor="text1"/>
          <w:sz w:val="20"/>
          <w:szCs w:val="20"/>
          <w:lang w:val="en-US"/>
        </w:rPr>
        <w:t>Senior Delivery Assurance Managers</w:t>
      </w:r>
    </w:p>
    <w:p w:rsidRPr="00170C3A" w:rsidR="00BB4E3C" w:rsidP="000B2206" w:rsidRDefault="005F755B" w14:paraId="04F1D68D" w14:textId="3C32C351">
      <w:pPr>
        <w:spacing w:before="120" w:after="0" w:line="240" w:lineRule="auto"/>
        <w:rPr>
          <w:rFonts w:ascii="Arial" w:hAnsi="Arial" w:cs="Arial"/>
          <w:sz w:val="20"/>
          <w:szCs w:val="20"/>
        </w:rPr>
      </w:pPr>
      <w:r w:rsidRPr="4FC8B2D5" w:rsidR="005F755B">
        <w:rPr>
          <w:rFonts w:ascii="Arial" w:hAnsi="Arial" w:eastAsia="Arial" w:cs="Arial"/>
          <w:b w:val="1"/>
          <w:bCs w:val="1"/>
          <w:color w:val="000000" w:themeColor="text1" w:themeTint="FF" w:themeShade="FF"/>
          <w:sz w:val="20"/>
          <w:szCs w:val="20"/>
          <w:lang w:val="en-US"/>
        </w:rPr>
        <w:t>April 2026</w:t>
      </w:r>
    </w:p>
    <w:sectPr w:rsidRPr="00170C3A" w:rsidR="00BB4E3C" w:rsidSect="00757B55">
      <w:footerReference w:type="default" r:id="rId12"/>
      <w:headerReference w:type="first" r:id="rId13"/>
      <w:footerReference w:type="first" r:id="rId14"/>
      <w:pgSz w:w="11906" w:h="16838" w:orient="portrait"/>
      <w:pgMar w:top="1440" w:right="1440" w:bottom="1440" w:left="1440" w:header="708"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013" w:rsidP="00DE649C" w:rsidRDefault="00C06013" w14:paraId="7129A76C" w14:textId="77777777">
      <w:pPr>
        <w:spacing w:after="0" w:line="240" w:lineRule="auto"/>
      </w:pPr>
      <w:r>
        <w:separator/>
      </w:r>
    </w:p>
  </w:endnote>
  <w:endnote w:type="continuationSeparator" w:id="0">
    <w:p w:rsidR="00C06013" w:rsidP="00DE649C" w:rsidRDefault="00C06013" w14:paraId="7DAAE1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7E91" w:rsidR="009708F9" w:rsidP="00270B1A" w:rsidRDefault="009708F9" w14:paraId="6D3F4171" w14:textId="168EC51E">
    <w:pPr>
      <w:tabs>
        <w:tab w:val="center" w:pos="4153"/>
        <w:tab w:val="right" w:pos="8306"/>
      </w:tabs>
      <w:rPr>
        <w:rFonts w:ascii="Arial" w:hAnsi="Arial" w:cs="Arial"/>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10" w:rsidP="00270B1A" w:rsidRDefault="00037CB6" w14:paraId="6D3F4178" w14:textId="38EA2C20">
    <w:pPr>
      <w:pStyle w:val="NoSpacing"/>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013" w:rsidP="00DE649C" w:rsidRDefault="00C06013" w14:paraId="0AC456F8" w14:textId="77777777">
      <w:pPr>
        <w:spacing w:after="0" w:line="240" w:lineRule="auto"/>
      </w:pPr>
      <w:r>
        <w:separator/>
      </w:r>
    </w:p>
  </w:footnote>
  <w:footnote w:type="continuationSeparator" w:id="0">
    <w:p w:rsidR="00C06013" w:rsidP="00DE649C" w:rsidRDefault="00C06013" w14:paraId="74CD60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14531" w:type="dxa"/>
      <w:tblLook w:val="04A0" w:firstRow="1" w:lastRow="0" w:firstColumn="1" w:lastColumn="0" w:noHBand="0" w:noVBand="1"/>
    </w:tblPr>
    <w:tblGrid>
      <w:gridCol w:w="9747"/>
      <w:gridCol w:w="4784"/>
    </w:tblGrid>
    <w:tr w:rsidR="00A1353A" w:rsidTr="00E87215" w14:paraId="6D3F4174" w14:textId="77777777">
      <w:tc>
        <w:tcPr>
          <w:tcW w:w="9747" w:type="dxa"/>
        </w:tcPr>
        <w:p w:rsidR="00A1353A" w:rsidP="00D0743C" w:rsidRDefault="00A1353A" w14:paraId="6D3F4172" w14:textId="12AD4363">
          <w:pPr>
            <w:pStyle w:val="Header"/>
            <w:ind w:right="-4785"/>
            <w:jc w:val="center"/>
          </w:pPr>
        </w:p>
      </w:tc>
      <w:tc>
        <w:tcPr>
          <w:tcW w:w="4784" w:type="dxa"/>
        </w:tcPr>
        <w:p w:rsidR="00A1353A" w:rsidRDefault="00A1353A" w14:paraId="6D3F4173" w14:textId="77777777">
          <w:pPr>
            <w:pStyle w:val="Header"/>
            <w:ind w:left="-4361"/>
          </w:pPr>
        </w:p>
      </w:tc>
    </w:tr>
  </w:tbl>
  <w:p w:rsidR="00757B55" w:rsidP="00A1353A" w:rsidRDefault="00E70044" w14:paraId="6D3F4175" w14:textId="1BFEEE01">
    <w:pPr>
      <w:pStyle w:val="Header"/>
      <w:tabs>
        <w:tab w:val="clear" w:pos="4513"/>
      </w:tabs>
    </w:pPr>
    <w:r w:rsidRPr="003E2A5C">
      <w:rPr>
        <w:noProof/>
        <w:sz w:val="20"/>
        <w:szCs w:val="20"/>
      </w:rPr>
      <w:drawing>
        <wp:anchor distT="0" distB="0" distL="114300" distR="114300" simplePos="0" relativeHeight="251658240" behindDoc="1" locked="0" layoutInCell="1" allowOverlap="1" wp14:anchorId="3E7C873E" wp14:editId="2154E5C8">
          <wp:simplePos x="0" y="0"/>
          <wp:positionH relativeFrom="column">
            <wp:posOffset>4946650</wp:posOffset>
          </wp:positionH>
          <wp:positionV relativeFrom="paragraph">
            <wp:posOffset>-531495</wp:posOffset>
          </wp:positionV>
          <wp:extent cx="1219835" cy="768350"/>
          <wp:effectExtent l="0" t="0" r="0" b="0"/>
          <wp:wrapTight wrapText="bothSides">
            <wp:wrapPolygon edited="0">
              <wp:start x="9782" y="0"/>
              <wp:lineTo x="0" y="8033"/>
              <wp:lineTo x="0" y="20886"/>
              <wp:lineTo x="21251" y="20886"/>
              <wp:lineTo x="21251" y="0"/>
              <wp:lineTo x="9782" y="0"/>
            </wp:wrapPolygon>
          </wp:wrapTight>
          <wp:docPr id="2" name="Picture 2">
            <a:extLst xmlns:a="http://schemas.openxmlformats.org/drawingml/2006/main">
              <a:ext uri="{FF2B5EF4-FFF2-40B4-BE49-F238E27FC236}">
                <a16:creationId xmlns:a16="http://schemas.microsoft.com/office/drawing/2014/main" id="{FA4344EC-7E41-4116-9C66-9879411819D0}"/>
              </a:ext>
            </a:extLst>
          </wp:docPr>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41E"/>
    <w:multiLevelType w:val="hybridMultilevel"/>
    <w:tmpl w:val="FE3CD1AC"/>
    <w:lvl w:ilvl="0" w:tplc="B394EACA">
      <w:start w:val="5"/>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3DCE6F"/>
    <w:multiLevelType w:val="hybridMultilevel"/>
    <w:tmpl w:val="4DCAD2B4"/>
    <w:lvl w:ilvl="0" w:tplc="EE3AA89A">
      <w:start w:val="1"/>
      <w:numFmt w:val="bullet"/>
      <w:lvlText w:val="-"/>
      <w:lvlJc w:val="left"/>
      <w:pPr>
        <w:ind w:left="720" w:hanging="360"/>
      </w:pPr>
      <w:rPr>
        <w:rFonts w:hint="default" w:ascii="Aptos" w:hAnsi="Aptos"/>
      </w:rPr>
    </w:lvl>
    <w:lvl w:ilvl="1" w:tplc="AF8E727C">
      <w:start w:val="1"/>
      <w:numFmt w:val="bullet"/>
      <w:lvlText w:val="o"/>
      <w:lvlJc w:val="left"/>
      <w:pPr>
        <w:ind w:left="1440" w:hanging="360"/>
      </w:pPr>
      <w:rPr>
        <w:rFonts w:hint="default" w:ascii="Courier New" w:hAnsi="Courier New"/>
      </w:rPr>
    </w:lvl>
    <w:lvl w:ilvl="2" w:tplc="6CC2BC62">
      <w:start w:val="1"/>
      <w:numFmt w:val="bullet"/>
      <w:lvlText w:val=""/>
      <w:lvlJc w:val="left"/>
      <w:pPr>
        <w:ind w:left="2160" w:hanging="360"/>
      </w:pPr>
      <w:rPr>
        <w:rFonts w:hint="default" w:ascii="Wingdings" w:hAnsi="Wingdings"/>
      </w:rPr>
    </w:lvl>
    <w:lvl w:ilvl="3" w:tplc="8F82E500">
      <w:start w:val="1"/>
      <w:numFmt w:val="bullet"/>
      <w:lvlText w:val=""/>
      <w:lvlJc w:val="left"/>
      <w:pPr>
        <w:ind w:left="2880" w:hanging="360"/>
      </w:pPr>
      <w:rPr>
        <w:rFonts w:hint="default" w:ascii="Symbol" w:hAnsi="Symbol"/>
      </w:rPr>
    </w:lvl>
    <w:lvl w:ilvl="4" w:tplc="D122A034">
      <w:start w:val="1"/>
      <w:numFmt w:val="bullet"/>
      <w:lvlText w:val="o"/>
      <w:lvlJc w:val="left"/>
      <w:pPr>
        <w:ind w:left="3600" w:hanging="360"/>
      </w:pPr>
      <w:rPr>
        <w:rFonts w:hint="default" w:ascii="Courier New" w:hAnsi="Courier New"/>
      </w:rPr>
    </w:lvl>
    <w:lvl w:ilvl="5" w:tplc="785001DC">
      <w:start w:val="1"/>
      <w:numFmt w:val="bullet"/>
      <w:lvlText w:val=""/>
      <w:lvlJc w:val="left"/>
      <w:pPr>
        <w:ind w:left="4320" w:hanging="360"/>
      </w:pPr>
      <w:rPr>
        <w:rFonts w:hint="default" w:ascii="Wingdings" w:hAnsi="Wingdings"/>
      </w:rPr>
    </w:lvl>
    <w:lvl w:ilvl="6" w:tplc="8F74DD52">
      <w:start w:val="1"/>
      <w:numFmt w:val="bullet"/>
      <w:lvlText w:val=""/>
      <w:lvlJc w:val="left"/>
      <w:pPr>
        <w:ind w:left="5040" w:hanging="360"/>
      </w:pPr>
      <w:rPr>
        <w:rFonts w:hint="default" w:ascii="Symbol" w:hAnsi="Symbol"/>
      </w:rPr>
    </w:lvl>
    <w:lvl w:ilvl="7" w:tplc="15C465FA">
      <w:start w:val="1"/>
      <w:numFmt w:val="bullet"/>
      <w:lvlText w:val="o"/>
      <w:lvlJc w:val="left"/>
      <w:pPr>
        <w:ind w:left="5760" w:hanging="360"/>
      </w:pPr>
      <w:rPr>
        <w:rFonts w:hint="default" w:ascii="Courier New" w:hAnsi="Courier New"/>
      </w:rPr>
    </w:lvl>
    <w:lvl w:ilvl="8" w:tplc="BD90E1B8">
      <w:start w:val="1"/>
      <w:numFmt w:val="bullet"/>
      <w:lvlText w:val=""/>
      <w:lvlJc w:val="left"/>
      <w:pPr>
        <w:ind w:left="6480" w:hanging="360"/>
      </w:pPr>
      <w:rPr>
        <w:rFonts w:hint="default" w:ascii="Wingdings" w:hAnsi="Wingdings"/>
      </w:rPr>
    </w:lvl>
  </w:abstractNum>
  <w:abstractNum w:abstractNumId="2" w15:restartNumberingAfterBreak="0">
    <w:nsid w:val="04CD4B91"/>
    <w:multiLevelType w:val="hybridMultilevel"/>
    <w:tmpl w:val="01D255B6"/>
    <w:lvl w:ilvl="0" w:tplc="E0CA68E8">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733909"/>
    <w:multiLevelType w:val="multilevel"/>
    <w:tmpl w:val="5F3CE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C885EE5"/>
    <w:multiLevelType w:val="hybridMultilevel"/>
    <w:tmpl w:val="801C2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2A21E5"/>
    <w:multiLevelType w:val="hybridMultilevel"/>
    <w:tmpl w:val="6BC01070"/>
    <w:lvl w:ilvl="0" w:tplc="58762128">
      <w:start w:val="1"/>
      <w:numFmt w:val="bullet"/>
      <w:lvlText w:val="•"/>
      <w:lvlJc w:val="left"/>
      <w:pPr>
        <w:ind w:left="720" w:hanging="360"/>
      </w:pPr>
      <w:rPr>
        <w:rFonts w:hint="default" w:ascii="Arial" w:hAnsi="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0CC13D4"/>
    <w:multiLevelType w:val="hybridMultilevel"/>
    <w:tmpl w:val="4F2CB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642D36"/>
    <w:multiLevelType w:val="hybridMultilevel"/>
    <w:tmpl w:val="53848296"/>
    <w:lvl w:ilvl="0" w:tplc="A3E414F0">
      <w:numFmt w:val="bullet"/>
      <w:lvlText w:val="•"/>
      <w:lvlJc w:val="left"/>
      <w:pPr>
        <w:ind w:left="720" w:hanging="360"/>
      </w:pPr>
      <w:rPr>
        <w:rFonts w:hint="default" w:ascii="Arial" w:hAnsi="Aria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38878BF"/>
    <w:multiLevelType w:val="hybridMultilevel"/>
    <w:tmpl w:val="7A488F80"/>
    <w:lvl w:ilvl="0" w:tplc="F23206E2">
      <w:start w:val="4"/>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3A08E5F"/>
    <w:multiLevelType w:val="multilevel"/>
    <w:tmpl w:val="DCC4CF5A"/>
    <w:lvl w:ilvl="0">
      <w:start w:val="1"/>
      <w:numFmt w:val="decimal"/>
      <w:lvlText w:val="%1."/>
      <w:lvlJc w:val="left"/>
      <w:pPr>
        <w:ind w:left="720" w:hanging="360"/>
      </w:pPr>
    </w:lvl>
    <w:lvl w:ilvl="1">
      <w:start w:val="1"/>
      <w:numFmt w:val="decimal"/>
      <w:lvlText w:val="%1.%2"/>
      <w:lvlJc w:val="left"/>
      <w:pPr>
        <w:ind w:left="564" w:hanging="564"/>
      </w:pPr>
      <w:rPr>
        <w:rFonts w:hint="default" w:ascii="Arial" w:hAnsi="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C0093B"/>
    <w:multiLevelType w:val="multilevel"/>
    <w:tmpl w:val="A5703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4A1A2F"/>
    <w:multiLevelType w:val="hybridMultilevel"/>
    <w:tmpl w:val="5640326E"/>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FD27F81"/>
    <w:multiLevelType w:val="hybridMultilevel"/>
    <w:tmpl w:val="B434A7D6"/>
    <w:lvl w:ilvl="0" w:tplc="08090003">
      <w:start w:val="1"/>
      <w:numFmt w:val="bullet"/>
      <w:lvlText w:val="o"/>
      <w:lvlJc w:val="left"/>
      <w:pPr>
        <w:ind w:left="1429" w:hanging="360"/>
      </w:pPr>
      <w:rPr>
        <w:rFonts w:hint="default" w:ascii="Courier New" w:hAnsi="Courier New" w:cs="Courier New"/>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3" w15:restartNumberingAfterBreak="0">
    <w:nsid w:val="22D50688"/>
    <w:multiLevelType w:val="hybridMultilevel"/>
    <w:tmpl w:val="5BF4336C"/>
    <w:lvl w:ilvl="0" w:tplc="DAF2F818">
      <w:start w:val="18"/>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6704C26"/>
    <w:multiLevelType w:val="hybridMultilevel"/>
    <w:tmpl w:val="92DC6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04222C"/>
    <w:multiLevelType w:val="hybridMultilevel"/>
    <w:tmpl w:val="56B607B0"/>
    <w:lvl w:ilvl="0" w:tplc="3FDC3D22">
      <w:start w:val="1"/>
      <w:numFmt w:val="bullet"/>
      <w:lvlText w:val="-"/>
      <w:lvlJc w:val="left"/>
      <w:pPr>
        <w:ind w:left="720" w:hanging="360"/>
      </w:pPr>
      <w:rPr>
        <w:rFonts w:hint="default" w:ascii="Aptos" w:hAnsi="Aptos"/>
      </w:rPr>
    </w:lvl>
    <w:lvl w:ilvl="1" w:tplc="8FECF76E">
      <w:start w:val="1"/>
      <w:numFmt w:val="bullet"/>
      <w:lvlText w:val="o"/>
      <w:lvlJc w:val="left"/>
      <w:pPr>
        <w:ind w:left="1440" w:hanging="360"/>
      </w:pPr>
      <w:rPr>
        <w:rFonts w:hint="default" w:ascii="Courier New" w:hAnsi="Courier New"/>
      </w:rPr>
    </w:lvl>
    <w:lvl w:ilvl="2" w:tplc="F446D63C">
      <w:start w:val="1"/>
      <w:numFmt w:val="bullet"/>
      <w:lvlText w:val=""/>
      <w:lvlJc w:val="left"/>
      <w:pPr>
        <w:ind w:left="2160" w:hanging="360"/>
      </w:pPr>
      <w:rPr>
        <w:rFonts w:hint="default" w:ascii="Wingdings" w:hAnsi="Wingdings"/>
      </w:rPr>
    </w:lvl>
    <w:lvl w:ilvl="3" w:tplc="4EDE2394">
      <w:start w:val="1"/>
      <w:numFmt w:val="bullet"/>
      <w:lvlText w:val=""/>
      <w:lvlJc w:val="left"/>
      <w:pPr>
        <w:ind w:left="2880" w:hanging="360"/>
      </w:pPr>
      <w:rPr>
        <w:rFonts w:hint="default" w:ascii="Symbol" w:hAnsi="Symbol"/>
      </w:rPr>
    </w:lvl>
    <w:lvl w:ilvl="4" w:tplc="4D288BEE">
      <w:start w:val="1"/>
      <w:numFmt w:val="bullet"/>
      <w:lvlText w:val="o"/>
      <w:lvlJc w:val="left"/>
      <w:pPr>
        <w:ind w:left="3600" w:hanging="360"/>
      </w:pPr>
      <w:rPr>
        <w:rFonts w:hint="default" w:ascii="Courier New" w:hAnsi="Courier New"/>
      </w:rPr>
    </w:lvl>
    <w:lvl w:ilvl="5" w:tplc="90407D8E">
      <w:start w:val="1"/>
      <w:numFmt w:val="bullet"/>
      <w:lvlText w:val=""/>
      <w:lvlJc w:val="left"/>
      <w:pPr>
        <w:ind w:left="4320" w:hanging="360"/>
      </w:pPr>
      <w:rPr>
        <w:rFonts w:hint="default" w:ascii="Wingdings" w:hAnsi="Wingdings"/>
      </w:rPr>
    </w:lvl>
    <w:lvl w:ilvl="6" w:tplc="40823920">
      <w:start w:val="1"/>
      <w:numFmt w:val="bullet"/>
      <w:lvlText w:val=""/>
      <w:lvlJc w:val="left"/>
      <w:pPr>
        <w:ind w:left="5040" w:hanging="360"/>
      </w:pPr>
      <w:rPr>
        <w:rFonts w:hint="default" w:ascii="Symbol" w:hAnsi="Symbol"/>
      </w:rPr>
    </w:lvl>
    <w:lvl w:ilvl="7" w:tplc="0B762216">
      <w:start w:val="1"/>
      <w:numFmt w:val="bullet"/>
      <w:lvlText w:val="o"/>
      <w:lvlJc w:val="left"/>
      <w:pPr>
        <w:ind w:left="5760" w:hanging="360"/>
      </w:pPr>
      <w:rPr>
        <w:rFonts w:hint="default" w:ascii="Courier New" w:hAnsi="Courier New"/>
      </w:rPr>
    </w:lvl>
    <w:lvl w:ilvl="8" w:tplc="116E1A76">
      <w:start w:val="1"/>
      <w:numFmt w:val="bullet"/>
      <w:lvlText w:val=""/>
      <w:lvlJc w:val="left"/>
      <w:pPr>
        <w:ind w:left="6480" w:hanging="360"/>
      </w:pPr>
      <w:rPr>
        <w:rFonts w:hint="default" w:ascii="Wingdings" w:hAnsi="Wingdings"/>
      </w:rPr>
    </w:lvl>
  </w:abstractNum>
  <w:abstractNum w:abstractNumId="16" w15:restartNumberingAfterBreak="0">
    <w:nsid w:val="2A460D61"/>
    <w:multiLevelType w:val="hybridMultilevel"/>
    <w:tmpl w:val="DF5A41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AEF50A2"/>
    <w:multiLevelType w:val="hybridMultilevel"/>
    <w:tmpl w:val="96F6D40C"/>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18" w15:restartNumberingAfterBreak="0">
    <w:nsid w:val="2E5A5E6D"/>
    <w:multiLevelType w:val="hybridMultilevel"/>
    <w:tmpl w:val="F314D554"/>
    <w:lvl w:ilvl="0" w:tplc="25082AA8">
      <w:start w:val="5"/>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451C70"/>
    <w:multiLevelType w:val="hybridMultilevel"/>
    <w:tmpl w:val="7458F4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6E24CB0"/>
    <w:multiLevelType w:val="hybridMultilevel"/>
    <w:tmpl w:val="A4DAD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93773A4"/>
    <w:multiLevelType w:val="hybridMultilevel"/>
    <w:tmpl w:val="F51CE112"/>
    <w:lvl w:ilvl="0" w:tplc="32987658">
      <w:start w:val="1"/>
      <w:numFmt w:val="decimal"/>
      <w:lvlText w:val="%1."/>
      <w:lvlJc w:val="left"/>
      <w:pPr>
        <w:ind w:left="930" w:hanging="570"/>
      </w:pPr>
    </w:lvl>
    <w:lvl w:ilvl="1" w:tplc="8B42C4B6">
      <w:start w:val="1"/>
      <w:numFmt w:val="lowerLetter"/>
      <w:lvlText w:val="%2."/>
      <w:lvlJc w:val="left"/>
      <w:pPr>
        <w:ind w:left="1440" w:hanging="360"/>
      </w:pPr>
    </w:lvl>
    <w:lvl w:ilvl="2" w:tplc="FBEC5A6C">
      <w:start w:val="1"/>
      <w:numFmt w:val="lowerRoman"/>
      <w:lvlText w:val="%3."/>
      <w:lvlJc w:val="right"/>
      <w:pPr>
        <w:ind w:left="2160" w:hanging="180"/>
      </w:pPr>
    </w:lvl>
    <w:lvl w:ilvl="3" w:tplc="4BC05D22">
      <w:start w:val="1"/>
      <w:numFmt w:val="decimal"/>
      <w:lvlText w:val="%4."/>
      <w:lvlJc w:val="left"/>
      <w:pPr>
        <w:ind w:left="2880" w:hanging="360"/>
      </w:pPr>
    </w:lvl>
    <w:lvl w:ilvl="4" w:tplc="6ED66C3A">
      <w:start w:val="1"/>
      <w:numFmt w:val="lowerLetter"/>
      <w:lvlText w:val="%5."/>
      <w:lvlJc w:val="left"/>
      <w:pPr>
        <w:ind w:left="3600" w:hanging="360"/>
      </w:pPr>
    </w:lvl>
    <w:lvl w:ilvl="5" w:tplc="74A09AE6">
      <w:start w:val="1"/>
      <w:numFmt w:val="lowerRoman"/>
      <w:lvlText w:val="%6."/>
      <w:lvlJc w:val="right"/>
      <w:pPr>
        <w:ind w:left="4320" w:hanging="180"/>
      </w:pPr>
    </w:lvl>
    <w:lvl w:ilvl="6" w:tplc="03120AFC">
      <w:start w:val="1"/>
      <w:numFmt w:val="decimal"/>
      <w:lvlText w:val="%7."/>
      <w:lvlJc w:val="left"/>
      <w:pPr>
        <w:ind w:left="5040" w:hanging="360"/>
      </w:pPr>
    </w:lvl>
    <w:lvl w:ilvl="7" w:tplc="B3FC3DA6">
      <w:start w:val="1"/>
      <w:numFmt w:val="lowerLetter"/>
      <w:lvlText w:val="%8."/>
      <w:lvlJc w:val="left"/>
      <w:pPr>
        <w:ind w:left="5760" w:hanging="360"/>
      </w:pPr>
    </w:lvl>
    <w:lvl w:ilvl="8" w:tplc="7D8C0578">
      <w:start w:val="1"/>
      <w:numFmt w:val="lowerRoman"/>
      <w:lvlText w:val="%9."/>
      <w:lvlJc w:val="right"/>
      <w:pPr>
        <w:ind w:left="6480" w:hanging="180"/>
      </w:pPr>
    </w:lvl>
  </w:abstractNum>
  <w:abstractNum w:abstractNumId="22" w15:restartNumberingAfterBreak="0">
    <w:nsid w:val="3B4E66BB"/>
    <w:multiLevelType w:val="hybridMultilevel"/>
    <w:tmpl w:val="E36C5ADE"/>
    <w:lvl w:ilvl="0" w:tplc="78E2EA00">
      <w:start w:val="1"/>
      <w:numFmt w:val="bullet"/>
      <w:lvlText w:val=""/>
      <w:lvlJc w:val="left"/>
      <w:pPr>
        <w:ind w:left="1287" w:hanging="360"/>
      </w:pPr>
      <w:rPr>
        <w:rFonts w:hint="default" w:ascii="Symbol" w:hAnsi="Symbol"/>
      </w:rPr>
    </w:lvl>
    <w:lvl w:ilvl="1" w:tplc="A35EDF72">
      <w:start w:val="1"/>
      <w:numFmt w:val="bullet"/>
      <w:lvlText w:val="o"/>
      <w:lvlJc w:val="left"/>
      <w:pPr>
        <w:ind w:left="1440" w:hanging="360"/>
      </w:pPr>
      <w:rPr>
        <w:rFonts w:hint="default" w:ascii="Courier New" w:hAnsi="Courier New"/>
      </w:rPr>
    </w:lvl>
    <w:lvl w:ilvl="2" w:tplc="B7E090E0">
      <w:start w:val="1"/>
      <w:numFmt w:val="bullet"/>
      <w:lvlText w:val=""/>
      <w:lvlJc w:val="left"/>
      <w:pPr>
        <w:ind w:left="2160" w:hanging="360"/>
      </w:pPr>
      <w:rPr>
        <w:rFonts w:hint="default" w:ascii="Wingdings" w:hAnsi="Wingdings"/>
      </w:rPr>
    </w:lvl>
    <w:lvl w:ilvl="3" w:tplc="6076F39A">
      <w:start w:val="1"/>
      <w:numFmt w:val="bullet"/>
      <w:lvlText w:val=""/>
      <w:lvlJc w:val="left"/>
      <w:pPr>
        <w:ind w:left="2880" w:hanging="360"/>
      </w:pPr>
      <w:rPr>
        <w:rFonts w:hint="default" w:ascii="Symbol" w:hAnsi="Symbol"/>
      </w:rPr>
    </w:lvl>
    <w:lvl w:ilvl="4" w:tplc="25EAE224">
      <w:start w:val="1"/>
      <w:numFmt w:val="bullet"/>
      <w:lvlText w:val="o"/>
      <w:lvlJc w:val="left"/>
      <w:pPr>
        <w:ind w:left="3600" w:hanging="360"/>
      </w:pPr>
      <w:rPr>
        <w:rFonts w:hint="default" w:ascii="Courier New" w:hAnsi="Courier New"/>
      </w:rPr>
    </w:lvl>
    <w:lvl w:ilvl="5" w:tplc="115C3AAC">
      <w:start w:val="1"/>
      <w:numFmt w:val="bullet"/>
      <w:lvlText w:val=""/>
      <w:lvlJc w:val="left"/>
      <w:pPr>
        <w:ind w:left="4320" w:hanging="360"/>
      </w:pPr>
      <w:rPr>
        <w:rFonts w:hint="default" w:ascii="Wingdings" w:hAnsi="Wingdings"/>
      </w:rPr>
    </w:lvl>
    <w:lvl w:ilvl="6" w:tplc="2D6049A2">
      <w:start w:val="1"/>
      <w:numFmt w:val="bullet"/>
      <w:lvlText w:val=""/>
      <w:lvlJc w:val="left"/>
      <w:pPr>
        <w:ind w:left="5040" w:hanging="360"/>
      </w:pPr>
      <w:rPr>
        <w:rFonts w:hint="default" w:ascii="Symbol" w:hAnsi="Symbol"/>
      </w:rPr>
    </w:lvl>
    <w:lvl w:ilvl="7" w:tplc="57C0D18E">
      <w:start w:val="1"/>
      <w:numFmt w:val="bullet"/>
      <w:lvlText w:val="o"/>
      <w:lvlJc w:val="left"/>
      <w:pPr>
        <w:ind w:left="5760" w:hanging="360"/>
      </w:pPr>
      <w:rPr>
        <w:rFonts w:hint="default" w:ascii="Courier New" w:hAnsi="Courier New"/>
      </w:rPr>
    </w:lvl>
    <w:lvl w:ilvl="8" w:tplc="F3BE87F2">
      <w:start w:val="1"/>
      <w:numFmt w:val="bullet"/>
      <w:lvlText w:val=""/>
      <w:lvlJc w:val="left"/>
      <w:pPr>
        <w:ind w:left="6480" w:hanging="360"/>
      </w:pPr>
      <w:rPr>
        <w:rFonts w:hint="default" w:ascii="Wingdings" w:hAnsi="Wingdings"/>
      </w:rPr>
    </w:lvl>
  </w:abstractNum>
  <w:abstractNum w:abstractNumId="23" w15:restartNumberingAfterBreak="0">
    <w:nsid w:val="3FD696FE"/>
    <w:multiLevelType w:val="hybridMultilevel"/>
    <w:tmpl w:val="0D524E4A"/>
    <w:lvl w:ilvl="0" w:tplc="0382EA1A">
      <w:start w:val="2"/>
      <w:numFmt w:val="decimal"/>
      <w:lvlText w:val="%1."/>
      <w:lvlJc w:val="left"/>
      <w:pPr>
        <w:ind w:left="930" w:hanging="570"/>
      </w:pPr>
    </w:lvl>
    <w:lvl w:ilvl="1" w:tplc="81BA4978">
      <w:start w:val="1"/>
      <w:numFmt w:val="lowerLetter"/>
      <w:lvlText w:val="%2."/>
      <w:lvlJc w:val="left"/>
      <w:pPr>
        <w:ind w:left="1440" w:hanging="360"/>
      </w:pPr>
    </w:lvl>
    <w:lvl w:ilvl="2" w:tplc="11CC08D0">
      <w:start w:val="1"/>
      <w:numFmt w:val="lowerRoman"/>
      <w:lvlText w:val="%3."/>
      <w:lvlJc w:val="right"/>
      <w:pPr>
        <w:ind w:left="2160" w:hanging="180"/>
      </w:pPr>
    </w:lvl>
    <w:lvl w:ilvl="3" w:tplc="6D605B30">
      <w:start w:val="1"/>
      <w:numFmt w:val="decimal"/>
      <w:lvlText w:val="%4."/>
      <w:lvlJc w:val="left"/>
      <w:pPr>
        <w:ind w:left="2880" w:hanging="360"/>
      </w:pPr>
    </w:lvl>
    <w:lvl w:ilvl="4" w:tplc="C606664C">
      <w:start w:val="1"/>
      <w:numFmt w:val="lowerLetter"/>
      <w:lvlText w:val="%5."/>
      <w:lvlJc w:val="left"/>
      <w:pPr>
        <w:ind w:left="3600" w:hanging="360"/>
      </w:pPr>
    </w:lvl>
    <w:lvl w:ilvl="5" w:tplc="EC1A2836">
      <w:start w:val="1"/>
      <w:numFmt w:val="lowerRoman"/>
      <w:lvlText w:val="%6."/>
      <w:lvlJc w:val="right"/>
      <w:pPr>
        <w:ind w:left="4320" w:hanging="180"/>
      </w:pPr>
    </w:lvl>
    <w:lvl w:ilvl="6" w:tplc="13E0ECDC">
      <w:start w:val="1"/>
      <w:numFmt w:val="decimal"/>
      <w:lvlText w:val="%7."/>
      <w:lvlJc w:val="left"/>
      <w:pPr>
        <w:ind w:left="5040" w:hanging="360"/>
      </w:pPr>
    </w:lvl>
    <w:lvl w:ilvl="7" w:tplc="455EB26E">
      <w:start w:val="1"/>
      <w:numFmt w:val="lowerLetter"/>
      <w:lvlText w:val="%8."/>
      <w:lvlJc w:val="left"/>
      <w:pPr>
        <w:ind w:left="5760" w:hanging="360"/>
      </w:pPr>
    </w:lvl>
    <w:lvl w:ilvl="8" w:tplc="B130218C">
      <w:start w:val="1"/>
      <w:numFmt w:val="lowerRoman"/>
      <w:lvlText w:val="%9."/>
      <w:lvlJc w:val="right"/>
      <w:pPr>
        <w:ind w:left="6480" w:hanging="180"/>
      </w:pPr>
    </w:lvl>
  </w:abstractNum>
  <w:abstractNum w:abstractNumId="24" w15:restartNumberingAfterBreak="0">
    <w:nsid w:val="42C376CA"/>
    <w:multiLevelType w:val="hybridMultilevel"/>
    <w:tmpl w:val="0B1C7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9C341D"/>
    <w:multiLevelType w:val="multilevel"/>
    <w:tmpl w:val="901AA36C"/>
    <w:lvl w:ilvl="0">
      <w:start w:val="2"/>
      <w:numFmt w:val="decimal"/>
      <w:lvlText w:val="%1."/>
      <w:lvlJc w:val="left"/>
      <w:pPr>
        <w:tabs>
          <w:tab w:val="num" w:pos="720"/>
        </w:tabs>
        <w:ind w:left="720" w:hanging="360"/>
      </w:pPr>
      <w:rPr>
        <w:b/>
        <w:bCs/>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CB185E"/>
    <w:multiLevelType w:val="hybridMultilevel"/>
    <w:tmpl w:val="DD301BC4"/>
    <w:lvl w:ilvl="0" w:tplc="00B2203A">
      <w:start w:val="27"/>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7472A2D"/>
    <w:multiLevelType w:val="hybridMultilevel"/>
    <w:tmpl w:val="5640326E"/>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A0C056F"/>
    <w:multiLevelType w:val="hybridMultilevel"/>
    <w:tmpl w:val="DBCEF816"/>
    <w:lvl w:ilvl="0" w:tplc="8026CB88">
      <w:start w:val="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AD1A6A"/>
    <w:multiLevelType w:val="multilevel"/>
    <w:tmpl w:val="F5BE11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7C06B5"/>
    <w:multiLevelType w:val="hybridMultilevel"/>
    <w:tmpl w:val="828CBB26"/>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31" w15:restartNumberingAfterBreak="0">
    <w:nsid w:val="54E469CB"/>
    <w:multiLevelType w:val="multilevel"/>
    <w:tmpl w:val="97564E4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2" w15:restartNumberingAfterBreak="0">
    <w:nsid w:val="5691CBA4"/>
    <w:multiLevelType w:val="hybridMultilevel"/>
    <w:tmpl w:val="5640326E"/>
    <w:lvl w:ilvl="0" w:tplc="15282442">
      <w:start w:val="2"/>
      <w:numFmt w:val="decimal"/>
      <w:lvlText w:val="%1."/>
      <w:lvlJc w:val="left"/>
      <w:pPr>
        <w:ind w:left="720" w:hanging="360"/>
      </w:pPr>
    </w:lvl>
    <w:lvl w:ilvl="1" w:tplc="55FE815C">
      <w:start w:val="1"/>
      <w:numFmt w:val="lowerLetter"/>
      <w:lvlText w:val="%2."/>
      <w:lvlJc w:val="left"/>
      <w:pPr>
        <w:ind w:left="1440" w:hanging="360"/>
      </w:pPr>
    </w:lvl>
    <w:lvl w:ilvl="2" w:tplc="4DF2A696">
      <w:start w:val="1"/>
      <w:numFmt w:val="lowerRoman"/>
      <w:lvlText w:val="%3."/>
      <w:lvlJc w:val="right"/>
      <w:pPr>
        <w:ind w:left="2160" w:hanging="180"/>
      </w:pPr>
    </w:lvl>
    <w:lvl w:ilvl="3" w:tplc="5ADC0F5E">
      <w:start w:val="1"/>
      <w:numFmt w:val="decimal"/>
      <w:lvlText w:val="%4."/>
      <w:lvlJc w:val="left"/>
      <w:pPr>
        <w:ind w:left="2880" w:hanging="360"/>
      </w:pPr>
    </w:lvl>
    <w:lvl w:ilvl="4" w:tplc="0F4645AE">
      <w:start w:val="1"/>
      <w:numFmt w:val="lowerLetter"/>
      <w:lvlText w:val="%5."/>
      <w:lvlJc w:val="left"/>
      <w:pPr>
        <w:ind w:left="3600" w:hanging="360"/>
      </w:pPr>
    </w:lvl>
    <w:lvl w:ilvl="5" w:tplc="97123CAC">
      <w:start w:val="1"/>
      <w:numFmt w:val="lowerRoman"/>
      <w:lvlText w:val="%6."/>
      <w:lvlJc w:val="right"/>
      <w:pPr>
        <w:ind w:left="4320" w:hanging="180"/>
      </w:pPr>
    </w:lvl>
    <w:lvl w:ilvl="6" w:tplc="07D854EA">
      <w:start w:val="1"/>
      <w:numFmt w:val="decimal"/>
      <w:lvlText w:val="%7."/>
      <w:lvlJc w:val="left"/>
      <w:pPr>
        <w:ind w:left="5040" w:hanging="360"/>
      </w:pPr>
    </w:lvl>
    <w:lvl w:ilvl="7" w:tplc="06DA3954">
      <w:start w:val="1"/>
      <w:numFmt w:val="lowerLetter"/>
      <w:lvlText w:val="%8."/>
      <w:lvlJc w:val="left"/>
      <w:pPr>
        <w:ind w:left="5760" w:hanging="360"/>
      </w:pPr>
    </w:lvl>
    <w:lvl w:ilvl="8" w:tplc="A686E98A">
      <w:start w:val="1"/>
      <w:numFmt w:val="lowerRoman"/>
      <w:lvlText w:val="%9."/>
      <w:lvlJc w:val="right"/>
      <w:pPr>
        <w:ind w:left="6480" w:hanging="180"/>
      </w:pPr>
    </w:lvl>
  </w:abstractNum>
  <w:abstractNum w:abstractNumId="33" w15:restartNumberingAfterBreak="0">
    <w:nsid w:val="587A05C7"/>
    <w:multiLevelType w:val="hybridMultilevel"/>
    <w:tmpl w:val="AFDE4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B6E4571"/>
    <w:multiLevelType w:val="hybridMultilevel"/>
    <w:tmpl w:val="69C4E7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5DE31592"/>
    <w:multiLevelType w:val="multilevel"/>
    <w:tmpl w:val="5EC2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9E6B82"/>
    <w:multiLevelType w:val="hybridMultilevel"/>
    <w:tmpl w:val="54FCB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94304C"/>
    <w:multiLevelType w:val="hybridMultilevel"/>
    <w:tmpl w:val="77FEB78E"/>
    <w:lvl w:ilvl="0" w:tplc="C4BAA82E">
      <w:start w:val="5"/>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19F4FC6"/>
    <w:multiLevelType w:val="hybridMultilevel"/>
    <w:tmpl w:val="43E2AA58"/>
    <w:lvl w:ilvl="0" w:tplc="80DA9A90">
      <w:start w:val="2"/>
      <w:numFmt w:val="decimal"/>
      <w:lvlText w:val="%1."/>
      <w:lvlJc w:val="left"/>
      <w:pPr>
        <w:ind w:left="720" w:hanging="360"/>
      </w:pPr>
    </w:lvl>
    <w:lvl w:ilvl="1" w:tplc="FEACD84C">
      <w:start w:val="1"/>
      <w:numFmt w:val="lowerLetter"/>
      <w:lvlText w:val="%2."/>
      <w:lvlJc w:val="left"/>
      <w:pPr>
        <w:ind w:left="1440" w:hanging="360"/>
      </w:pPr>
    </w:lvl>
    <w:lvl w:ilvl="2" w:tplc="8AD20B22">
      <w:start w:val="1"/>
      <w:numFmt w:val="lowerRoman"/>
      <w:lvlText w:val="%3."/>
      <w:lvlJc w:val="right"/>
      <w:pPr>
        <w:ind w:left="2160" w:hanging="180"/>
      </w:pPr>
    </w:lvl>
    <w:lvl w:ilvl="3" w:tplc="9370A19A">
      <w:start w:val="1"/>
      <w:numFmt w:val="decimal"/>
      <w:lvlText w:val="%4."/>
      <w:lvlJc w:val="left"/>
      <w:pPr>
        <w:ind w:left="2880" w:hanging="360"/>
      </w:pPr>
    </w:lvl>
    <w:lvl w:ilvl="4" w:tplc="0E1A81A8">
      <w:start w:val="1"/>
      <w:numFmt w:val="lowerLetter"/>
      <w:lvlText w:val="%5."/>
      <w:lvlJc w:val="left"/>
      <w:pPr>
        <w:ind w:left="3600" w:hanging="360"/>
      </w:pPr>
    </w:lvl>
    <w:lvl w:ilvl="5" w:tplc="7A4E812E">
      <w:start w:val="1"/>
      <w:numFmt w:val="lowerRoman"/>
      <w:lvlText w:val="%6."/>
      <w:lvlJc w:val="right"/>
      <w:pPr>
        <w:ind w:left="4320" w:hanging="180"/>
      </w:pPr>
    </w:lvl>
    <w:lvl w:ilvl="6" w:tplc="38466550">
      <w:start w:val="1"/>
      <w:numFmt w:val="decimal"/>
      <w:lvlText w:val="%7."/>
      <w:lvlJc w:val="left"/>
      <w:pPr>
        <w:ind w:left="5040" w:hanging="360"/>
      </w:pPr>
    </w:lvl>
    <w:lvl w:ilvl="7" w:tplc="20106C08">
      <w:start w:val="1"/>
      <w:numFmt w:val="lowerLetter"/>
      <w:lvlText w:val="%8."/>
      <w:lvlJc w:val="left"/>
      <w:pPr>
        <w:ind w:left="5760" w:hanging="360"/>
      </w:pPr>
    </w:lvl>
    <w:lvl w:ilvl="8" w:tplc="C778FDC2">
      <w:start w:val="1"/>
      <w:numFmt w:val="lowerRoman"/>
      <w:lvlText w:val="%9."/>
      <w:lvlJc w:val="right"/>
      <w:pPr>
        <w:ind w:left="6480" w:hanging="180"/>
      </w:pPr>
    </w:lvl>
  </w:abstractNum>
  <w:abstractNum w:abstractNumId="40" w15:restartNumberingAfterBreak="0">
    <w:nsid w:val="625C37CA"/>
    <w:multiLevelType w:val="hybridMultilevel"/>
    <w:tmpl w:val="2BCC9EFE"/>
    <w:lvl w:ilvl="0" w:tplc="011AC35C">
      <w:start w:val="1"/>
      <w:numFmt w:val="bullet"/>
      <w:lvlText w:val="•"/>
      <w:lvlJc w:val="left"/>
      <w:pPr>
        <w:tabs>
          <w:tab w:val="num" w:pos="720"/>
        </w:tabs>
        <w:ind w:left="720" w:hanging="360"/>
      </w:pPr>
      <w:rPr>
        <w:rFonts w:hint="default" w:ascii="Arial" w:hAnsi="Arial" w:cs="Times New Roman"/>
        <w:color w:val="auto"/>
      </w:rPr>
    </w:lvl>
    <w:lvl w:ilvl="1" w:tplc="5CEC2F32">
      <w:start w:val="1"/>
      <w:numFmt w:val="bullet"/>
      <w:lvlText w:val="•"/>
      <w:lvlJc w:val="left"/>
      <w:pPr>
        <w:tabs>
          <w:tab w:val="num" w:pos="1440"/>
        </w:tabs>
        <w:ind w:left="1440" w:hanging="360"/>
      </w:pPr>
      <w:rPr>
        <w:rFonts w:hint="default" w:ascii="Arial" w:hAnsi="Arial" w:cs="Times New Roman"/>
      </w:rPr>
    </w:lvl>
    <w:lvl w:ilvl="2" w:tplc="04B61FEE">
      <w:start w:val="1"/>
      <w:numFmt w:val="bullet"/>
      <w:lvlText w:val="•"/>
      <w:lvlJc w:val="left"/>
      <w:pPr>
        <w:tabs>
          <w:tab w:val="num" w:pos="2160"/>
        </w:tabs>
        <w:ind w:left="2160" w:hanging="360"/>
      </w:pPr>
      <w:rPr>
        <w:rFonts w:hint="default" w:ascii="Arial" w:hAnsi="Arial" w:cs="Times New Roman"/>
      </w:rPr>
    </w:lvl>
    <w:lvl w:ilvl="3" w:tplc="76E6E874">
      <w:start w:val="1"/>
      <w:numFmt w:val="bullet"/>
      <w:lvlText w:val="•"/>
      <w:lvlJc w:val="left"/>
      <w:pPr>
        <w:tabs>
          <w:tab w:val="num" w:pos="2880"/>
        </w:tabs>
        <w:ind w:left="2880" w:hanging="360"/>
      </w:pPr>
      <w:rPr>
        <w:rFonts w:hint="default" w:ascii="Arial" w:hAnsi="Arial" w:cs="Times New Roman"/>
      </w:rPr>
    </w:lvl>
    <w:lvl w:ilvl="4" w:tplc="60981EC4">
      <w:start w:val="1"/>
      <w:numFmt w:val="bullet"/>
      <w:lvlText w:val="•"/>
      <w:lvlJc w:val="left"/>
      <w:pPr>
        <w:tabs>
          <w:tab w:val="num" w:pos="3600"/>
        </w:tabs>
        <w:ind w:left="3600" w:hanging="360"/>
      </w:pPr>
      <w:rPr>
        <w:rFonts w:hint="default" w:ascii="Arial" w:hAnsi="Arial" w:cs="Times New Roman"/>
      </w:rPr>
    </w:lvl>
    <w:lvl w:ilvl="5" w:tplc="BF8280F0">
      <w:start w:val="1"/>
      <w:numFmt w:val="bullet"/>
      <w:lvlText w:val="•"/>
      <w:lvlJc w:val="left"/>
      <w:pPr>
        <w:tabs>
          <w:tab w:val="num" w:pos="4320"/>
        </w:tabs>
        <w:ind w:left="4320" w:hanging="360"/>
      </w:pPr>
      <w:rPr>
        <w:rFonts w:hint="default" w:ascii="Arial" w:hAnsi="Arial" w:cs="Times New Roman"/>
      </w:rPr>
    </w:lvl>
    <w:lvl w:ilvl="6" w:tplc="EEEA1178">
      <w:start w:val="1"/>
      <w:numFmt w:val="bullet"/>
      <w:lvlText w:val="•"/>
      <w:lvlJc w:val="left"/>
      <w:pPr>
        <w:tabs>
          <w:tab w:val="num" w:pos="5040"/>
        </w:tabs>
        <w:ind w:left="5040" w:hanging="360"/>
      </w:pPr>
      <w:rPr>
        <w:rFonts w:hint="default" w:ascii="Arial" w:hAnsi="Arial" w:cs="Times New Roman"/>
      </w:rPr>
    </w:lvl>
    <w:lvl w:ilvl="7" w:tplc="96A60BDA">
      <w:start w:val="1"/>
      <w:numFmt w:val="bullet"/>
      <w:lvlText w:val="•"/>
      <w:lvlJc w:val="left"/>
      <w:pPr>
        <w:tabs>
          <w:tab w:val="num" w:pos="5760"/>
        </w:tabs>
        <w:ind w:left="5760" w:hanging="360"/>
      </w:pPr>
      <w:rPr>
        <w:rFonts w:hint="default" w:ascii="Arial" w:hAnsi="Arial" w:cs="Times New Roman"/>
      </w:rPr>
    </w:lvl>
    <w:lvl w:ilvl="8" w:tplc="FAF090BE">
      <w:start w:val="1"/>
      <w:numFmt w:val="bullet"/>
      <w:lvlText w:val="•"/>
      <w:lvlJc w:val="left"/>
      <w:pPr>
        <w:tabs>
          <w:tab w:val="num" w:pos="6480"/>
        </w:tabs>
        <w:ind w:left="6480" w:hanging="360"/>
      </w:pPr>
      <w:rPr>
        <w:rFonts w:hint="default" w:ascii="Arial" w:hAnsi="Arial" w:cs="Times New Roman"/>
      </w:rPr>
    </w:lvl>
  </w:abstractNum>
  <w:abstractNum w:abstractNumId="41" w15:restartNumberingAfterBreak="0">
    <w:nsid w:val="632B2855"/>
    <w:multiLevelType w:val="hybridMultilevel"/>
    <w:tmpl w:val="1AE2B0C8"/>
    <w:lvl w:ilvl="0" w:tplc="D81EA400">
      <w:numFmt w:val="bullet"/>
      <w:lvlText w:val=""/>
      <w:lvlJc w:val="left"/>
      <w:pPr>
        <w:ind w:left="1547" w:hanging="360"/>
      </w:pPr>
      <w:rPr>
        <w:rFonts w:hint="default" w:ascii="Symbol" w:hAnsi="Symbol" w:eastAsia="Symbol" w:cs="Symbol"/>
        <w:b w:val="0"/>
        <w:bCs w:val="0"/>
        <w:i w:val="0"/>
        <w:iCs w:val="0"/>
        <w:spacing w:val="0"/>
        <w:w w:val="100"/>
        <w:sz w:val="24"/>
        <w:szCs w:val="24"/>
        <w:lang w:val="en-US" w:eastAsia="en-US" w:bidi="ar-SA"/>
      </w:rPr>
    </w:lvl>
    <w:lvl w:ilvl="1" w:tplc="046C04BE">
      <w:numFmt w:val="bullet"/>
      <w:lvlText w:val="•"/>
      <w:lvlJc w:val="left"/>
      <w:pPr>
        <w:ind w:left="2405" w:hanging="360"/>
      </w:pPr>
      <w:rPr>
        <w:rFonts w:hint="default"/>
        <w:lang w:val="en-US" w:eastAsia="en-US" w:bidi="ar-SA"/>
      </w:rPr>
    </w:lvl>
    <w:lvl w:ilvl="2" w:tplc="4FB8D0B0">
      <w:numFmt w:val="bullet"/>
      <w:lvlText w:val="•"/>
      <w:lvlJc w:val="left"/>
      <w:pPr>
        <w:ind w:left="3271" w:hanging="360"/>
      </w:pPr>
      <w:rPr>
        <w:rFonts w:hint="default"/>
        <w:lang w:val="en-US" w:eastAsia="en-US" w:bidi="ar-SA"/>
      </w:rPr>
    </w:lvl>
    <w:lvl w:ilvl="3" w:tplc="77BE4804">
      <w:numFmt w:val="bullet"/>
      <w:lvlText w:val="•"/>
      <w:lvlJc w:val="left"/>
      <w:pPr>
        <w:ind w:left="4137" w:hanging="360"/>
      </w:pPr>
      <w:rPr>
        <w:rFonts w:hint="default"/>
        <w:lang w:val="en-US" w:eastAsia="en-US" w:bidi="ar-SA"/>
      </w:rPr>
    </w:lvl>
    <w:lvl w:ilvl="4" w:tplc="3DE03EAA">
      <w:numFmt w:val="bullet"/>
      <w:lvlText w:val="•"/>
      <w:lvlJc w:val="left"/>
      <w:pPr>
        <w:ind w:left="5002" w:hanging="360"/>
      </w:pPr>
      <w:rPr>
        <w:rFonts w:hint="default"/>
        <w:lang w:val="en-US" w:eastAsia="en-US" w:bidi="ar-SA"/>
      </w:rPr>
    </w:lvl>
    <w:lvl w:ilvl="5" w:tplc="72DAA9A0">
      <w:numFmt w:val="bullet"/>
      <w:lvlText w:val="•"/>
      <w:lvlJc w:val="left"/>
      <w:pPr>
        <w:ind w:left="5868" w:hanging="360"/>
      </w:pPr>
      <w:rPr>
        <w:rFonts w:hint="default"/>
        <w:lang w:val="en-US" w:eastAsia="en-US" w:bidi="ar-SA"/>
      </w:rPr>
    </w:lvl>
    <w:lvl w:ilvl="6" w:tplc="E3805CD4">
      <w:numFmt w:val="bullet"/>
      <w:lvlText w:val="•"/>
      <w:lvlJc w:val="left"/>
      <w:pPr>
        <w:ind w:left="6734" w:hanging="360"/>
      </w:pPr>
      <w:rPr>
        <w:rFonts w:hint="default"/>
        <w:lang w:val="en-US" w:eastAsia="en-US" w:bidi="ar-SA"/>
      </w:rPr>
    </w:lvl>
    <w:lvl w:ilvl="7" w:tplc="BA40C36C">
      <w:numFmt w:val="bullet"/>
      <w:lvlText w:val="•"/>
      <w:lvlJc w:val="left"/>
      <w:pPr>
        <w:ind w:left="7599" w:hanging="360"/>
      </w:pPr>
      <w:rPr>
        <w:rFonts w:hint="default"/>
        <w:lang w:val="en-US" w:eastAsia="en-US" w:bidi="ar-SA"/>
      </w:rPr>
    </w:lvl>
    <w:lvl w:ilvl="8" w:tplc="795C5B66">
      <w:numFmt w:val="bullet"/>
      <w:lvlText w:val="•"/>
      <w:lvlJc w:val="left"/>
      <w:pPr>
        <w:ind w:left="8465" w:hanging="360"/>
      </w:pPr>
      <w:rPr>
        <w:rFonts w:hint="default"/>
        <w:lang w:val="en-US" w:eastAsia="en-US" w:bidi="ar-SA"/>
      </w:rPr>
    </w:lvl>
  </w:abstractNum>
  <w:abstractNum w:abstractNumId="42" w15:restartNumberingAfterBreak="0">
    <w:nsid w:val="650368E1"/>
    <w:multiLevelType w:val="hybridMultilevel"/>
    <w:tmpl w:val="867CA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8EE32D1"/>
    <w:multiLevelType w:val="hybridMultilevel"/>
    <w:tmpl w:val="79BCBC56"/>
    <w:lvl w:ilvl="0" w:tplc="DAF2F818">
      <w:start w:val="18"/>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9EA73D4"/>
    <w:multiLevelType w:val="multilevel"/>
    <w:tmpl w:val="DC380828"/>
    <w:lvl w:ilvl="0">
      <w:start w:val="1"/>
      <w:numFmt w:val="bullet"/>
      <w:lvlText w:val=""/>
      <w:lvlJc w:val="left"/>
      <w:pPr>
        <w:tabs>
          <w:tab w:val="num" w:pos="720"/>
        </w:tabs>
        <w:ind w:left="720" w:hanging="360"/>
      </w:pPr>
      <w:rPr>
        <w:rFonts w:hint="default" w:ascii="Symbol" w:hAnsi="Symbol"/>
        <w:b/>
        <w:bCs/>
      </w:rPr>
    </w:lvl>
    <w:lvl w:ilvl="1">
      <w:start w:val="1"/>
      <w:numFmt w:val="bullet"/>
      <w:lvlText w:val=""/>
      <w:lvlJc w:val="left"/>
      <w:pPr>
        <w:ind w:left="720" w:hanging="360"/>
      </w:pPr>
      <w:rPr>
        <w:rFonts w:hint="default" w:ascii="Symbol" w:hAnsi="Symbol"/>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FCD954E"/>
    <w:multiLevelType w:val="hybridMultilevel"/>
    <w:tmpl w:val="0464B232"/>
    <w:lvl w:ilvl="0" w:tplc="CB02808E">
      <w:start w:val="1"/>
      <w:numFmt w:val="bullet"/>
      <w:lvlText w:val=""/>
      <w:lvlJc w:val="left"/>
      <w:pPr>
        <w:ind w:left="720" w:hanging="360"/>
      </w:pPr>
      <w:rPr>
        <w:rFonts w:hint="default" w:ascii="Symbol" w:hAnsi="Symbol"/>
      </w:rPr>
    </w:lvl>
    <w:lvl w:ilvl="1" w:tplc="3A2042AA">
      <w:start w:val="1"/>
      <w:numFmt w:val="bullet"/>
      <w:lvlText w:val="o"/>
      <w:lvlJc w:val="left"/>
      <w:pPr>
        <w:ind w:left="1440" w:hanging="360"/>
      </w:pPr>
      <w:rPr>
        <w:rFonts w:hint="default" w:ascii="Courier New" w:hAnsi="Courier New"/>
      </w:rPr>
    </w:lvl>
    <w:lvl w:ilvl="2" w:tplc="E3F022FA">
      <w:start w:val="1"/>
      <w:numFmt w:val="bullet"/>
      <w:lvlText w:val=""/>
      <w:lvlJc w:val="left"/>
      <w:pPr>
        <w:ind w:left="2160" w:hanging="360"/>
      </w:pPr>
      <w:rPr>
        <w:rFonts w:hint="default" w:ascii="Wingdings" w:hAnsi="Wingdings"/>
      </w:rPr>
    </w:lvl>
    <w:lvl w:ilvl="3" w:tplc="50DA4482">
      <w:start w:val="1"/>
      <w:numFmt w:val="bullet"/>
      <w:lvlText w:val=""/>
      <w:lvlJc w:val="left"/>
      <w:pPr>
        <w:ind w:left="2880" w:hanging="360"/>
      </w:pPr>
      <w:rPr>
        <w:rFonts w:hint="default" w:ascii="Symbol" w:hAnsi="Symbol"/>
      </w:rPr>
    </w:lvl>
    <w:lvl w:ilvl="4" w:tplc="96FAA16E">
      <w:start w:val="1"/>
      <w:numFmt w:val="bullet"/>
      <w:lvlText w:val="o"/>
      <w:lvlJc w:val="left"/>
      <w:pPr>
        <w:ind w:left="3600" w:hanging="360"/>
      </w:pPr>
      <w:rPr>
        <w:rFonts w:hint="default" w:ascii="Courier New" w:hAnsi="Courier New"/>
      </w:rPr>
    </w:lvl>
    <w:lvl w:ilvl="5" w:tplc="7B862B40">
      <w:start w:val="1"/>
      <w:numFmt w:val="bullet"/>
      <w:lvlText w:val=""/>
      <w:lvlJc w:val="left"/>
      <w:pPr>
        <w:ind w:left="4320" w:hanging="360"/>
      </w:pPr>
      <w:rPr>
        <w:rFonts w:hint="default" w:ascii="Wingdings" w:hAnsi="Wingdings"/>
      </w:rPr>
    </w:lvl>
    <w:lvl w:ilvl="6" w:tplc="A0CEAC44">
      <w:start w:val="1"/>
      <w:numFmt w:val="bullet"/>
      <w:lvlText w:val=""/>
      <w:lvlJc w:val="left"/>
      <w:pPr>
        <w:ind w:left="5040" w:hanging="360"/>
      </w:pPr>
      <w:rPr>
        <w:rFonts w:hint="default" w:ascii="Symbol" w:hAnsi="Symbol"/>
      </w:rPr>
    </w:lvl>
    <w:lvl w:ilvl="7" w:tplc="23B4F3F2">
      <w:start w:val="1"/>
      <w:numFmt w:val="bullet"/>
      <w:lvlText w:val="o"/>
      <w:lvlJc w:val="left"/>
      <w:pPr>
        <w:ind w:left="5760" w:hanging="360"/>
      </w:pPr>
      <w:rPr>
        <w:rFonts w:hint="default" w:ascii="Courier New" w:hAnsi="Courier New"/>
      </w:rPr>
    </w:lvl>
    <w:lvl w:ilvl="8" w:tplc="3190C0FE">
      <w:start w:val="1"/>
      <w:numFmt w:val="bullet"/>
      <w:lvlText w:val=""/>
      <w:lvlJc w:val="left"/>
      <w:pPr>
        <w:ind w:left="6480" w:hanging="360"/>
      </w:pPr>
      <w:rPr>
        <w:rFonts w:hint="default" w:ascii="Wingdings" w:hAnsi="Wingdings"/>
      </w:rPr>
    </w:lvl>
  </w:abstractNum>
  <w:abstractNum w:abstractNumId="46" w15:restartNumberingAfterBreak="0">
    <w:nsid w:val="715F069E"/>
    <w:multiLevelType w:val="multilevel"/>
    <w:tmpl w:val="B9C8CA7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3D336B"/>
    <w:multiLevelType w:val="hybridMultilevel"/>
    <w:tmpl w:val="AE0E0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90A565F"/>
    <w:multiLevelType w:val="hybridMultilevel"/>
    <w:tmpl w:val="B9EABBA8"/>
    <w:lvl w:ilvl="0" w:tplc="EBCA68C4">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57381842">
    <w:abstractNumId w:val="3"/>
  </w:num>
  <w:num w:numId="2" w16cid:durableId="1510770">
    <w:abstractNumId w:val="46"/>
  </w:num>
  <w:num w:numId="3" w16cid:durableId="1531189044">
    <w:abstractNumId w:val="5"/>
  </w:num>
  <w:num w:numId="4" w16cid:durableId="462046802">
    <w:abstractNumId w:val="41"/>
  </w:num>
  <w:num w:numId="5" w16cid:durableId="589243040">
    <w:abstractNumId w:val="9"/>
  </w:num>
  <w:num w:numId="6" w16cid:durableId="685640050">
    <w:abstractNumId w:val="21"/>
  </w:num>
  <w:num w:numId="7" w16cid:durableId="78716869">
    <w:abstractNumId w:val="32"/>
  </w:num>
  <w:num w:numId="8" w16cid:durableId="838229075">
    <w:abstractNumId w:val="36"/>
  </w:num>
  <w:num w:numId="9" w16cid:durableId="973485094">
    <w:abstractNumId w:val="22"/>
  </w:num>
  <w:num w:numId="10" w16cid:durableId="852917025">
    <w:abstractNumId w:val="7"/>
  </w:num>
  <w:num w:numId="11" w16cid:durableId="420295453">
    <w:abstractNumId w:val="30"/>
  </w:num>
  <w:num w:numId="12" w16cid:durableId="1001086666">
    <w:abstractNumId w:val="14"/>
  </w:num>
  <w:num w:numId="13" w16cid:durableId="1057049610">
    <w:abstractNumId w:val="15"/>
  </w:num>
  <w:num w:numId="14" w16cid:durableId="1136871737">
    <w:abstractNumId w:val="34"/>
  </w:num>
  <w:num w:numId="15" w16cid:durableId="1337614988">
    <w:abstractNumId w:val="42"/>
  </w:num>
  <w:num w:numId="16" w16cid:durableId="1555509117">
    <w:abstractNumId w:val="1"/>
  </w:num>
  <w:num w:numId="17" w16cid:durableId="1718435551">
    <w:abstractNumId w:val="33"/>
  </w:num>
  <w:num w:numId="18" w16cid:durableId="1719932060">
    <w:abstractNumId w:val="38"/>
  </w:num>
  <w:num w:numId="19" w16cid:durableId="1748112284">
    <w:abstractNumId w:val="45"/>
  </w:num>
  <w:num w:numId="20" w16cid:durableId="1758673975">
    <w:abstractNumId w:val="25"/>
  </w:num>
  <w:num w:numId="21" w16cid:durableId="1829125225">
    <w:abstractNumId w:val="40"/>
  </w:num>
  <w:num w:numId="22" w16cid:durableId="1867060122">
    <w:abstractNumId w:val="20"/>
  </w:num>
  <w:num w:numId="23" w16cid:durableId="1880243407">
    <w:abstractNumId w:val="39"/>
  </w:num>
  <w:num w:numId="24" w16cid:durableId="191965630">
    <w:abstractNumId w:val="18"/>
  </w:num>
  <w:num w:numId="25" w16cid:durableId="1959874174">
    <w:abstractNumId w:val="4"/>
  </w:num>
  <w:num w:numId="26" w16cid:durableId="2019648492">
    <w:abstractNumId w:val="13"/>
  </w:num>
  <w:num w:numId="27" w16cid:durableId="2030522305">
    <w:abstractNumId w:val="31"/>
  </w:num>
  <w:num w:numId="28" w16cid:durableId="2119912075">
    <w:abstractNumId w:val="12"/>
  </w:num>
  <w:num w:numId="29" w16cid:durableId="2122457536">
    <w:abstractNumId w:val="48"/>
  </w:num>
  <w:num w:numId="30" w16cid:durableId="245067786">
    <w:abstractNumId w:val="6"/>
  </w:num>
  <w:num w:numId="31" w16cid:durableId="251401271">
    <w:abstractNumId w:val="17"/>
  </w:num>
  <w:num w:numId="32" w16cid:durableId="294919045">
    <w:abstractNumId w:val="44"/>
  </w:num>
  <w:num w:numId="33" w16cid:durableId="35081353">
    <w:abstractNumId w:val="0"/>
  </w:num>
  <w:num w:numId="34" w16cid:durableId="474875488">
    <w:abstractNumId w:val="24"/>
  </w:num>
  <w:num w:numId="35" w16cid:durableId="588000343">
    <w:abstractNumId w:val="29"/>
  </w:num>
  <w:num w:numId="36" w16cid:durableId="596452300">
    <w:abstractNumId w:val="11"/>
  </w:num>
  <w:num w:numId="37" w16cid:durableId="606691558">
    <w:abstractNumId w:val="19"/>
  </w:num>
  <w:num w:numId="38" w16cid:durableId="626548906">
    <w:abstractNumId w:val="35"/>
  </w:num>
  <w:num w:numId="39" w16cid:durableId="699277824">
    <w:abstractNumId w:val="16"/>
  </w:num>
  <w:num w:numId="40" w16cid:durableId="707602513">
    <w:abstractNumId w:val="43"/>
  </w:num>
  <w:num w:numId="41" w16cid:durableId="726994050">
    <w:abstractNumId w:val="47"/>
  </w:num>
  <w:num w:numId="42" w16cid:durableId="753016177">
    <w:abstractNumId w:val="28"/>
  </w:num>
  <w:num w:numId="43" w16cid:durableId="758215152">
    <w:abstractNumId w:val="37"/>
  </w:num>
  <w:num w:numId="44" w16cid:durableId="794830442">
    <w:abstractNumId w:val="8"/>
  </w:num>
  <w:num w:numId="45" w16cid:durableId="821431238">
    <w:abstractNumId w:val="10"/>
  </w:num>
  <w:num w:numId="46" w16cid:durableId="894244397">
    <w:abstractNumId w:val="26"/>
  </w:num>
  <w:num w:numId="47" w16cid:durableId="923757258">
    <w:abstractNumId w:val="27"/>
  </w:num>
  <w:num w:numId="48" w16cid:durableId="944074094">
    <w:abstractNumId w:val="2"/>
  </w:num>
  <w:num w:numId="49" w16cid:durableId="986083612">
    <w:abstractNumId w:val="23"/>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9C"/>
    <w:rsid w:val="00000162"/>
    <w:rsid w:val="00000ADF"/>
    <w:rsid w:val="00000F0B"/>
    <w:rsid w:val="000016E0"/>
    <w:rsid w:val="00001F65"/>
    <w:rsid w:val="00003662"/>
    <w:rsid w:val="00003D3D"/>
    <w:rsid w:val="00003E12"/>
    <w:rsid w:val="0000553C"/>
    <w:rsid w:val="00005D68"/>
    <w:rsid w:val="00006537"/>
    <w:rsid w:val="00007513"/>
    <w:rsid w:val="000101F5"/>
    <w:rsid w:val="00012C39"/>
    <w:rsid w:val="00013AE3"/>
    <w:rsid w:val="00014EF9"/>
    <w:rsid w:val="00017FB5"/>
    <w:rsid w:val="000201C1"/>
    <w:rsid w:val="00020270"/>
    <w:rsid w:val="000219BF"/>
    <w:rsid w:val="00022C37"/>
    <w:rsid w:val="00024B06"/>
    <w:rsid w:val="00027065"/>
    <w:rsid w:val="000271DE"/>
    <w:rsid w:val="00027E47"/>
    <w:rsid w:val="000304A5"/>
    <w:rsid w:val="00032384"/>
    <w:rsid w:val="000330EB"/>
    <w:rsid w:val="00033407"/>
    <w:rsid w:val="0003432A"/>
    <w:rsid w:val="00036C74"/>
    <w:rsid w:val="0003779C"/>
    <w:rsid w:val="00037CB6"/>
    <w:rsid w:val="000400EA"/>
    <w:rsid w:val="00041951"/>
    <w:rsid w:val="000421A2"/>
    <w:rsid w:val="00044B03"/>
    <w:rsid w:val="00044B30"/>
    <w:rsid w:val="00045C46"/>
    <w:rsid w:val="0004652C"/>
    <w:rsid w:val="0004654F"/>
    <w:rsid w:val="00047A9E"/>
    <w:rsid w:val="00051D97"/>
    <w:rsid w:val="00055A27"/>
    <w:rsid w:val="00056667"/>
    <w:rsid w:val="00057B19"/>
    <w:rsid w:val="000591E2"/>
    <w:rsid w:val="000614EC"/>
    <w:rsid w:val="000620C6"/>
    <w:rsid w:val="00063D09"/>
    <w:rsid w:val="0006402D"/>
    <w:rsid w:val="00066593"/>
    <w:rsid w:val="000670AD"/>
    <w:rsid w:val="0006760A"/>
    <w:rsid w:val="00067ECF"/>
    <w:rsid w:val="00074EE3"/>
    <w:rsid w:val="00076457"/>
    <w:rsid w:val="000838B9"/>
    <w:rsid w:val="00084E77"/>
    <w:rsid w:val="00086951"/>
    <w:rsid w:val="00087228"/>
    <w:rsid w:val="0008756F"/>
    <w:rsid w:val="00091502"/>
    <w:rsid w:val="000917E1"/>
    <w:rsid w:val="00094578"/>
    <w:rsid w:val="000948B7"/>
    <w:rsid w:val="0009584F"/>
    <w:rsid w:val="000967E2"/>
    <w:rsid w:val="000A073D"/>
    <w:rsid w:val="000A2F30"/>
    <w:rsid w:val="000A3B77"/>
    <w:rsid w:val="000A5F6C"/>
    <w:rsid w:val="000A6D4F"/>
    <w:rsid w:val="000A7028"/>
    <w:rsid w:val="000A7AE2"/>
    <w:rsid w:val="000B1012"/>
    <w:rsid w:val="000B1AF1"/>
    <w:rsid w:val="000B2206"/>
    <w:rsid w:val="000B265E"/>
    <w:rsid w:val="000B4292"/>
    <w:rsid w:val="000B56A5"/>
    <w:rsid w:val="000B6D8D"/>
    <w:rsid w:val="000B7BBE"/>
    <w:rsid w:val="000C3354"/>
    <w:rsid w:val="000C3376"/>
    <w:rsid w:val="000C48AD"/>
    <w:rsid w:val="000C606C"/>
    <w:rsid w:val="000D3BDD"/>
    <w:rsid w:val="000D3C8E"/>
    <w:rsid w:val="000D4941"/>
    <w:rsid w:val="000D6589"/>
    <w:rsid w:val="000D6B0F"/>
    <w:rsid w:val="000D6EFC"/>
    <w:rsid w:val="000D779C"/>
    <w:rsid w:val="000E0498"/>
    <w:rsid w:val="000E20D6"/>
    <w:rsid w:val="000E381E"/>
    <w:rsid w:val="000E4C96"/>
    <w:rsid w:val="000E5413"/>
    <w:rsid w:val="000E6C99"/>
    <w:rsid w:val="000E72AE"/>
    <w:rsid w:val="000F09B7"/>
    <w:rsid w:val="000F1492"/>
    <w:rsid w:val="000F2B7C"/>
    <w:rsid w:val="000F42E7"/>
    <w:rsid w:val="000F4463"/>
    <w:rsid w:val="000F52B0"/>
    <w:rsid w:val="000F549F"/>
    <w:rsid w:val="000F5721"/>
    <w:rsid w:val="000F6E63"/>
    <w:rsid w:val="000F7328"/>
    <w:rsid w:val="000F7B48"/>
    <w:rsid w:val="00100D24"/>
    <w:rsid w:val="00101979"/>
    <w:rsid w:val="001032F4"/>
    <w:rsid w:val="0010346F"/>
    <w:rsid w:val="00103D31"/>
    <w:rsid w:val="00103D52"/>
    <w:rsid w:val="00104CA9"/>
    <w:rsid w:val="001055DE"/>
    <w:rsid w:val="00105BED"/>
    <w:rsid w:val="00106204"/>
    <w:rsid w:val="0011176F"/>
    <w:rsid w:val="00111B79"/>
    <w:rsid w:val="0011256B"/>
    <w:rsid w:val="00112A8B"/>
    <w:rsid w:val="00116E48"/>
    <w:rsid w:val="00117963"/>
    <w:rsid w:val="00117B64"/>
    <w:rsid w:val="0012426A"/>
    <w:rsid w:val="00124AFC"/>
    <w:rsid w:val="0012670C"/>
    <w:rsid w:val="001268E8"/>
    <w:rsid w:val="00130293"/>
    <w:rsid w:val="00130DAF"/>
    <w:rsid w:val="001312AF"/>
    <w:rsid w:val="00135210"/>
    <w:rsid w:val="0013688F"/>
    <w:rsid w:val="001369E2"/>
    <w:rsid w:val="001410AE"/>
    <w:rsid w:val="0014372D"/>
    <w:rsid w:val="00147012"/>
    <w:rsid w:val="0015055D"/>
    <w:rsid w:val="00154D35"/>
    <w:rsid w:val="00157E91"/>
    <w:rsid w:val="0016013C"/>
    <w:rsid w:val="001606F0"/>
    <w:rsid w:val="001610E1"/>
    <w:rsid w:val="001616CF"/>
    <w:rsid w:val="001631C5"/>
    <w:rsid w:val="00163283"/>
    <w:rsid w:val="00164137"/>
    <w:rsid w:val="001650F2"/>
    <w:rsid w:val="001673DC"/>
    <w:rsid w:val="00170C3A"/>
    <w:rsid w:val="00171F88"/>
    <w:rsid w:val="00172DAC"/>
    <w:rsid w:val="00176A58"/>
    <w:rsid w:val="001808CB"/>
    <w:rsid w:val="00181862"/>
    <w:rsid w:val="00185C9B"/>
    <w:rsid w:val="00185ED2"/>
    <w:rsid w:val="001919E3"/>
    <w:rsid w:val="00192A52"/>
    <w:rsid w:val="00194B9D"/>
    <w:rsid w:val="001A2D75"/>
    <w:rsid w:val="001A3B10"/>
    <w:rsid w:val="001A4505"/>
    <w:rsid w:val="001A6D4A"/>
    <w:rsid w:val="001A78D2"/>
    <w:rsid w:val="001A7AE1"/>
    <w:rsid w:val="001A7B59"/>
    <w:rsid w:val="001B0A08"/>
    <w:rsid w:val="001B0AAE"/>
    <w:rsid w:val="001B0B8C"/>
    <w:rsid w:val="001B0F95"/>
    <w:rsid w:val="001B2A34"/>
    <w:rsid w:val="001B35BD"/>
    <w:rsid w:val="001B4D27"/>
    <w:rsid w:val="001B50DD"/>
    <w:rsid w:val="001B6FF4"/>
    <w:rsid w:val="001C23EA"/>
    <w:rsid w:val="001C2784"/>
    <w:rsid w:val="001C2EE3"/>
    <w:rsid w:val="001C4414"/>
    <w:rsid w:val="001C70B1"/>
    <w:rsid w:val="001D02F0"/>
    <w:rsid w:val="001D13A9"/>
    <w:rsid w:val="001D2EA0"/>
    <w:rsid w:val="001D2EC7"/>
    <w:rsid w:val="001D3C93"/>
    <w:rsid w:val="001D4924"/>
    <w:rsid w:val="001D5093"/>
    <w:rsid w:val="001D5A8C"/>
    <w:rsid w:val="001D7DA0"/>
    <w:rsid w:val="001E2378"/>
    <w:rsid w:val="001E50C7"/>
    <w:rsid w:val="001E55FC"/>
    <w:rsid w:val="001E79C6"/>
    <w:rsid w:val="001E7BE9"/>
    <w:rsid w:val="001F11BA"/>
    <w:rsid w:val="001F1A46"/>
    <w:rsid w:val="001F2066"/>
    <w:rsid w:val="001F2FA8"/>
    <w:rsid w:val="001F542C"/>
    <w:rsid w:val="001F7522"/>
    <w:rsid w:val="001F7556"/>
    <w:rsid w:val="0020221E"/>
    <w:rsid w:val="00204CFF"/>
    <w:rsid w:val="00206D4E"/>
    <w:rsid w:val="00207C64"/>
    <w:rsid w:val="002109B9"/>
    <w:rsid w:val="00212F8E"/>
    <w:rsid w:val="00214FF2"/>
    <w:rsid w:val="0021612C"/>
    <w:rsid w:val="002162A8"/>
    <w:rsid w:val="00217857"/>
    <w:rsid w:val="00217F88"/>
    <w:rsid w:val="002202EE"/>
    <w:rsid w:val="00220584"/>
    <w:rsid w:val="00221271"/>
    <w:rsid w:val="00227225"/>
    <w:rsid w:val="002379E2"/>
    <w:rsid w:val="002415A5"/>
    <w:rsid w:val="00241997"/>
    <w:rsid w:val="00241FC0"/>
    <w:rsid w:val="00251325"/>
    <w:rsid w:val="00251DB0"/>
    <w:rsid w:val="00253623"/>
    <w:rsid w:val="00253C25"/>
    <w:rsid w:val="00254DF3"/>
    <w:rsid w:val="00255A4F"/>
    <w:rsid w:val="00256DAE"/>
    <w:rsid w:val="0026078C"/>
    <w:rsid w:val="00260F29"/>
    <w:rsid w:val="00261E05"/>
    <w:rsid w:val="00261F24"/>
    <w:rsid w:val="00262C55"/>
    <w:rsid w:val="00265EA6"/>
    <w:rsid w:val="00270566"/>
    <w:rsid w:val="00270B1A"/>
    <w:rsid w:val="00273B62"/>
    <w:rsid w:val="00281E44"/>
    <w:rsid w:val="0028404B"/>
    <w:rsid w:val="0028486B"/>
    <w:rsid w:val="00285F61"/>
    <w:rsid w:val="00286F39"/>
    <w:rsid w:val="002910D8"/>
    <w:rsid w:val="002925FD"/>
    <w:rsid w:val="00292FF3"/>
    <w:rsid w:val="002974DA"/>
    <w:rsid w:val="002979AD"/>
    <w:rsid w:val="00297ACD"/>
    <w:rsid w:val="002A06D2"/>
    <w:rsid w:val="002A0755"/>
    <w:rsid w:val="002A18EE"/>
    <w:rsid w:val="002A1DDE"/>
    <w:rsid w:val="002A2745"/>
    <w:rsid w:val="002A3626"/>
    <w:rsid w:val="002A3A6A"/>
    <w:rsid w:val="002A3DC7"/>
    <w:rsid w:val="002A3F86"/>
    <w:rsid w:val="002A4040"/>
    <w:rsid w:val="002B07D3"/>
    <w:rsid w:val="002B1517"/>
    <w:rsid w:val="002B2447"/>
    <w:rsid w:val="002B2B03"/>
    <w:rsid w:val="002B323F"/>
    <w:rsid w:val="002C07A1"/>
    <w:rsid w:val="002C0CD8"/>
    <w:rsid w:val="002C0D54"/>
    <w:rsid w:val="002C22AF"/>
    <w:rsid w:val="002C2DA2"/>
    <w:rsid w:val="002C5D43"/>
    <w:rsid w:val="002D01CB"/>
    <w:rsid w:val="002D0321"/>
    <w:rsid w:val="002D0572"/>
    <w:rsid w:val="002D0EDB"/>
    <w:rsid w:val="002D3C3A"/>
    <w:rsid w:val="002D65EF"/>
    <w:rsid w:val="002D6B1D"/>
    <w:rsid w:val="002D79D5"/>
    <w:rsid w:val="002D7C62"/>
    <w:rsid w:val="002E0C93"/>
    <w:rsid w:val="002E23BD"/>
    <w:rsid w:val="002F26DC"/>
    <w:rsid w:val="002F51B6"/>
    <w:rsid w:val="00300F72"/>
    <w:rsid w:val="00301A8F"/>
    <w:rsid w:val="0030311C"/>
    <w:rsid w:val="00304099"/>
    <w:rsid w:val="00304A2B"/>
    <w:rsid w:val="00306491"/>
    <w:rsid w:val="00307A60"/>
    <w:rsid w:val="00310861"/>
    <w:rsid w:val="00310941"/>
    <w:rsid w:val="00311F8F"/>
    <w:rsid w:val="00313E6E"/>
    <w:rsid w:val="00314398"/>
    <w:rsid w:val="00314630"/>
    <w:rsid w:val="00314817"/>
    <w:rsid w:val="00322567"/>
    <w:rsid w:val="0032518E"/>
    <w:rsid w:val="003254CC"/>
    <w:rsid w:val="00326930"/>
    <w:rsid w:val="0033295E"/>
    <w:rsid w:val="00334BEC"/>
    <w:rsid w:val="00334CA5"/>
    <w:rsid w:val="003364B4"/>
    <w:rsid w:val="0034109D"/>
    <w:rsid w:val="0034232F"/>
    <w:rsid w:val="00343339"/>
    <w:rsid w:val="00344C9A"/>
    <w:rsid w:val="00350667"/>
    <w:rsid w:val="0035185F"/>
    <w:rsid w:val="00353EEC"/>
    <w:rsid w:val="00354CEB"/>
    <w:rsid w:val="00355A02"/>
    <w:rsid w:val="00355CC2"/>
    <w:rsid w:val="003567B6"/>
    <w:rsid w:val="003606E6"/>
    <w:rsid w:val="0036132B"/>
    <w:rsid w:val="00361B54"/>
    <w:rsid w:val="00361DA9"/>
    <w:rsid w:val="00362BE4"/>
    <w:rsid w:val="003655EF"/>
    <w:rsid w:val="00371ED3"/>
    <w:rsid w:val="00372520"/>
    <w:rsid w:val="00372882"/>
    <w:rsid w:val="00374671"/>
    <w:rsid w:val="00374A3A"/>
    <w:rsid w:val="00375FA4"/>
    <w:rsid w:val="003808EE"/>
    <w:rsid w:val="00382391"/>
    <w:rsid w:val="00383A57"/>
    <w:rsid w:val="00383CD2"/>
    <w:rsid w:val="00384526"/>
    <w:rsid w:val="003848AE"/>
    <w:rsid w:val="0038662B"/>
    <w:rsid w:val="00386B76"/>
    <w:rsid w:val="00387CDD"/>
    <w:rsid w:val="00387F53"/>
    <w:rsid w:val="003904FF"/>
    <w:rsid w:val="00390DD8"/>
    <w:rsid w:val="0039139F"/>
    <w:rsid w:val="0039143E"/>
    <w:rsid w:val="003935ED"/>
    <w:rsid w:val="00394341"/>
    <w:rsid w:val="0039524B"/>
    <w:rsid w:val="003972CC"/>
    <w:rsid w:val="003A2082"/>
    <w:rsid w:val="003A2C16"/>
    <w:rsid w:val="003A2C66"/>
    <w:rsid w:val="003A2CCA"/>
    <w:rsid w:val="003A3BE1"/>
    <w:rsid w:val="003A40A5"/>
    <w:rsid w:val="003A44DD"/>
    <w:rsid w:val="003A47B2"/>
    <w:rsid w:val="003A51B9"/>
    <w:rsid w:val="003A5832"/>
    <w:rsid w:val="003A7D9B"/>
    <w:rsid w:val="003B0FC4"/>
    <w:rsid w:val="003B1041"/>
    <w:rsid w:val="003B3ED1"/>
    <w:rsid w:val="003B72D4"/>
    <w:rsid w:val="003C1607"/>
    <w:rsid w:val="003C2E8E"/>
    <w:rsid w:val="003C4561"/>
    <w:rsid w:val="003C5004"/>
    <w:rsid w:val="003C51E9"/>
    <w:rsid w:val="003C736E"/>
    <w:rsid w:val="003D0AA0"/>
    <w:rsid w:val="003D1C96"/>
    <w:rsid w:val="003D25A8"/>
    <w:rsid w:val="003D2F0D"/>
    <w:rsid w:val="003D3BDA"/>
    <w:rsid w:val="003D3D5A"/>
    <w:rsid w:val="003D641E"/>
    <w:rsid w:val="003D679B"/>
    <w:rsid w:val="003D7AB4"/>
    <w:rsid w:val="003E52B4"/>
    <w:rsid w:val="003E5D02"/>
    <w:rsid w:val="003E74C7"/>
    <w:rsid w:val="003F081D"/>
    <w:rsid w:val="003F1462"/>
    <w:rsid w:val="003F20A6"/>
    <w:rsid w:val="003F3BA8"/>
    <w:rsid w:val="003F405C"/>
    <w:rsid w:val="003F433D"/>
    <w:rsid w:val="003F5619"/>
    <w:rsid w:val="003F578C"/>
    <w:rsid w:val="003F5944"/>
    <w:rsid w:val="003F603B"/>
    <w:rsid w:val="00401943"/>
    <w:rsid w:val="00402E9A"/>
    <w:rsid w:val="00405E9B"/>
    <w:rsid w:val="00406FDA"/>
    <w:rsid w:val="004078BF"/>
    <w:rsid w:val="00410ACC"/>
    <w:rsid w:val="00410BF3"/>
    <w:rsid w:val="004128EC"/>
    <w:rsid w:val="00415688"/>
    <w:rsid w:val="00416BA7"/>
    <w:rsid w:val="00416C85"/>
    <w:rsid w:val="00420E9D"/>
    <w:rsid w:val="00421548"/>
    <w:rsid w:val="00422C9C"/>
    <w:rsid w:val="00425345"/>
    <w:rsid w:val="00431CB0"/>
    <w:rsid w:val="004321BF"/>
    <w:rsid w:val="00434916"/>
    <w:rsid w:val="00434B61"/>
    <w:rsid w:val="00434DA4"/>
    <w:rsid w:val="0043624D"/>
    <w:rsid w:val="004366FF"/>
    <w:rsid w:val="00436E70"/>
    <w:rsid w:val="0043715B"/>
    <w:rsid w:val="00437468"/>
    <w:rsid w:val="00442454"/>
    <w:rsid w:val="00442F08"/>
    <w:rsid w:val="00443B02"/>
    <w:rsid w:val="0044497A"/>
    <w:rsid w:val="00445461"/>
    <w:rsid w:val="00451DE0"/>
    <w:rsid w:val="00453740"/>
    <w:rsid w:val="00454EF6"/>
    <w:rsid w:val="00456364"/>
    <w:rsid w:val="0045736E"/>
    <w:rsid w:val="00461B47"/>
    <w:rsid w:val="004622CD"/>
    <w:rsid w:val="004626EC"/>
    <w:rsid w:val="004628E5"/>
    <w:rsid w:val="00463467"/>
    <w:rsid w:val="00463916"/>
    <w:rsid w:val="00467588"/>
    <w:rsid w:val="004676D5"/>
    <w:rsid w:val="00470FB6"/>
    <w:rsid w:val="00471410"/>
    <w:rsid w:val="00471D52"/>
    <w:rsid w:val="00474E2F"/>
    <w:rsid w:val="00474EA8"/>
    <w:rsid w:val="0048015A"/>
    <w:rsid w:val="0048139B"/>
    <w:rsid w:val="004832BA"/>
    <w:rsid w:val="00485ABF"/>
    <w:rsid w:val="00485CDE"/>
    <w:rsid w:val="0048647C"/>
    <w:rsid w:val="00487393"/>
    <w:rsid w:val="0048786B"/>
    <w:rsid w:val="004908A8"/>
    <w:rsid w:val="00491476"/>
    <w:rsid w:val="0049725E"/>
    <w:rsid w:val="004977E6"/>
    <w:rsid w:val="004979B4"/>
    <w:rsid w:val="004A13EB"/>
    <w:rsid w:val="004A3543"/>
    <w:rsid w:val="004A3BE0"/>
    <w:rsid w:val="004A4F0C"/>
    <w:rsid w:val="004A5388"/>
    <w:rsid w:val="004A7BE5"/>
    <w:rsid w:val="004B0011"/>
    <w:rsid w:val="004B0B72"/>
    <w:rsid w:val="004B0CEF"/>
    <w:rsid w:val="004B0F28"/>
    <w:rsid w:val="004B10AF"/>
    <w:rsid w:val="004B310E"/>
    <w:rsid w:val="004B4BA4"/>
    <w:rsid w:val="004B5AC8"/>
    <w:rsid w:val="004B72D0"/>
    <w:rsid w:val="004C0B05"/>
    <w:rsid w:val="004C22DF"/>
    <w:rsid w:val="004C4960"/>
    <w:rsid w:val="004C49CC"/>
    <w:rsid w:val="004C7FDF"/>
    <w:rsid w:val="004D1169"/>
    <w:rsid w:val="004D2295"/>
    <w:rsid w:val="004D3464"/>
    <w:rsid w:val="004D3C11"/>
    <w:rsid w:val="004D4A0C"/>
    <w:rsid w:val="004D4D14"/>
    <w:rsid w:val="004D6495"/>
    <w:rsid w:val="004D7601"/>
    <w:rsid w:val="004D7817"/>
    <w:rsid w:val="004E3C2C"/>
    <w:rsid w:val="004E3DF3"/>
    <w:rsid w:val="004E483F"/>
    <w:rsid w:val="004E56E7"/>
    <w:rsid w:val="004E6A91"/>
    <w:rsid w:val="004F12A9"/>
    <w:rsid w:val="004F1AD0"/>
    <w:rsid w:val="004F25AC"/>
    <w:rsid w:val="004F2BAD"/>
    <w:rsid w:val="0050108A"/>
    <w:rsid w:val="005019B6"/>
    <w:rsid w:val="00501CA1"/>
    <w:rsid w:val="0050327D"/>
    <w:rsid w:val="00504534"/>
    <w:rsid w:val="00506FBA"/>
    <w:rsid w:val="00514519"/>
    <w:rsid w:val="0051749C"/>
    <w:rsid w:val="00517D7F"/>
    <w:rsid w:val="005217C7"/>
    <w:rsid w:val="00524684"/>
    <w:rsid w:val="005247B2"/>
    <w:rsid w:val="00533BBC"/>
    <w:rsid w:val="00534207"/>
    <w:rsid w:val="00534AC8"/>
    <w:rsid w:val="0053530E"/>
    <w:rsid w:val="00545DFD"/>
    <w:rsid w:val="005477D0"/>
    <w:rsid w:val="005510E0"/>
    <w:rsid w:val="00552731"/>
    <w:rsid w:val="0055345E"/>
    <w:rsid w:val="00554644"/>
    <w:rsid w:val="005556AD"/>
    <w:rsid w:val="00555A56"/>
    <w:rsid w:val="00556E6A"/>
    <w:rsid w:val="00560A07"/>
    <w:rsid w:val="005613CA"/>
    <w:rsid w:val="00561609"/>
    <w:rsid w:val="00562B60"/>
    <w:rsid w:val="0056475D"/>
    <w:rsid w:val="0056763D"/>
    <w:rsid w:val="00567641"/>
    <w:rsid w:val="00570210"/>
    <w:rsid w:val="00570731"/>
    <w:rsid w:val="0057087E"/>
    <w:rsid w:val="0057166F"/>
    <w:rsid w:val="00571A1F"/>
    <w:rsid w:val="00572E71"/>
    <w:rsid w:val="00575A32"/>
    <w:rsid w:val="00575F21"/>
    <w:rsid w:val="00576044"/>
    <w:rsid w:val="00576890"/>
    <w:rsid w:val="0058373B"/>
    <w:rsid w:val="00583809"/>
    <w:rsid w:val="005853BB"/>
    <w:rsid w:val="00586025"/>
    <w:rsid w:val="00586E6A"/>
    <w:rsid w:val="00587E5A"/>
    <w:rsid w:val="00590598"/>
    <w:rsid w:val="005906AD"/>
    <w:rsid w:val="00590D6B"/>
    <w:rsid w:val="00592F69"/>
    <w:rsid w:val="0059323B"/>
    <w:rsid w:val="00594A99"/>
    <w:rsid w:val="005960EA"/>
    <w:rsid w:val="005A07C6"/>
    <w:rsid w:val="005A1AB2"/>
    <w:rsid w:val="005A1BE8"/>
    <w:rsid w:val="005A1D02"/>
    <w:rsid w:val="005A1FD1"/>
    <w:rsid w:val="005A311F"/>
    <w:rsid w:val="005A34F4"/>
    <w:rsid w:val="005A350D"/>
    <w:rsid w:val="005A38BF"/>
    <w:rsid w:val="005A5126"/>
    <w:rsid w:val="005B0917"/>
    <w:rsid w:val="005B0B53"/>
    <w:rsid w:val="005B4061"/>
    <w:rsid w:val="005B4487"/>
    <w:rsid w:val="005B475D"/>
    <w:rsid w:val="005B4E46"/>
    <w:rsid w:val="005C0821"/>
    <w:rsid w:val="005C11DD"/>
    <w:rsid w:val="005C1CCD"/>
    <w:rsid w:val="005C301C"/>
    <w:rsid w:val="005C5112"/>
    <w:rsid w:val="005C52EB"/>
    <w:rsid w:val="005C571E"/>
    <w:rsid w:val="005C5C8B"/>
    <w:rsid w:val="005C755F"/>
    <w:rsid w:val="005C77DE"/>
    <w:rsid w:val="005D1275"/>
    <w:rsid w:val="005D22D6"/>
    <w:rsid w:val="005D2944"/>
    <w:rsid w:val="005D34C5"/>
    <w:rsid w:val="005D37EE"/>
    <w:rsid w:val="005D3C68"/>
    <w:rsid w:val="005D4C3C"/>
    <w:rsid w:val="005D5E9D"/>
    <w:rsid w:val="005D7855"/>
    <w:rsid w:val="005E0F45"/>
    <w:rsid w:val="005E22DC"/>
    <w:rsid w:val="005F07BA"/>
    <w:rsid w:val="005F0C87"/>
    <w:rsid w:val="005F255D"/>
    <w:rsid w:val="005F2CA8"/>
    <w:rsid w:val="005F4B59"/>
    <w:rsid w:val="005F500C"/>
    <w:rsid w:val="005F6158"/>
    <w:rsid w:val="005F66D8"/>
    <w:rsid w:val="005F6EAB"/>
    <w:rsid w:val="005F7171"/>
    <w:rsid w:val="005F755B"/>
    <w:rsid w:val="005F7D78"/>
    <w:rsid w:val="006022B9"/>
    <w:rsid w:val="00602A63"/>
    <w:rsid w:val="006054E0"/>
    <w:rsid w:val="00606868"/>
    <w:rsid w:val="00606A5F"/>
    <w:rsid w:val="0060700E"/>
    <w:rsid w:val="0061044C"/>
    <w:rsid w:val="0061070A"/>
    <w:rsid w:val="006107AB"/>
    <w:rsid w:val="00611A6D"/>
    <w:rsid w:val="00611BA3"/>
    <w:rsid w:val="006125DE"/>
    <w:rsid w:val="0061297E"/>
    <w:rsid w:val="00616BBC"/>
    <w:rsid w:val="00620013"/>
    <w:rsid w:val="006213B0"/>
    <w:rsid w:val="00622F58"/>
    <w:rsid w:val="00623840"/>
    <w:rsid w:val="00626938"/>
    <w:rsid w:val="00627860"/>
    <w:rsid w:val="00630272"/>
    <w:rsid w:val="006333CA"/>
    <w:rsid w:val="00633D2B"/>
    <w:rsid w:val="006342A6"/>
    <w:rsid w:val="00634E44"/>
    <w:rsid w:val="00634FF9"/>
    <w:rsid w:val="006362F7"/>
    <w:rsid w:val="00640F57"/>
    <w:rsid w:val="006414B2"/>
    <w:rsid w:val="006416CB"/>
    <w:rsid w:val="00651528"/>
    <w:rsid w:val="00651A04"/>
    <w:rsid w:val="00652E85"/>
    <w:rsid w:val="006540D6"/>
    <w:rsid w:val="00656981"/>
    <w:rsid w:val="006572BB"/>
    <w:rsid w:val="00660190"/>
    <w:rsid w:val="006602B3"/>
    <w:rsid w:val="00664E01"/>
    <w:rsid w:val="006668C2"/>
    <w:rsid w:val="006675BF"/>
    <w:rsid w:val="00667FA6"/>
    <w:rsid w:val="00670071"/>
    <w:rsid w:val="00671210"/>
    <w:rsid w:val="006747A0"/>
    <w:rsid w:val="00682FFB"/>
    <w:rsid w:val="00683C3C"/>
    <w:rsid w:val="006866B7"/>
    <w:rsid w:val="006940F8"/>
    <w:rsid w:val="0069533E"/>
    <w:rsid w:val="00695984"/>
    <w:rsid w:val="006963D8"/>
    <w:rsid w:val="00696B53"/>
    <w:rsid w:val="006A372D"/>
    <w:rsid w:val="006B24F7"/>
    <w:rsid w:val="006C240F"/>
    <w:rsid w:val="006C28EB"/>
    <w:rsid w:val="006C50D3"/>
    <w:rsid w:val="006C7050"/>
    <w:rsid w:val="006C7368"/>
    <w:rsid w:val="006D057D"/>
    <w:rsid w:val="006D0691"/>
    <w:rsid w:val="006D140A"/>
    <w:rsid w:val="006D161D"/>
    <w:rsid w:val="006D1E3A"/>
    <w:rsid w:val="006D20B1"/>
    <w:rsid w:val="006D21DA"/>
    <w:rsid w:val="006D2E48"/>
    <w:rsid w:val="006D564F"/>
    <w:rsid w:val="006D5F2A"/>
    <w:rsid w:val="006D7B8E"/>
    <w:rsid w:val="006E0344"/>
    <w:rsid w:val="006E2184"/>
    <w:rsid w:val="006E2685"/>
    <w:rsid w:val="006E2770"/>
    <w:rsid w:val="006E39B1"/>
    <w:rsid w:val="006E3D01"/>
    <w:rsid w:val="006E4589"/>
    <w:rsid w:val="006E465A"/>
    <w:rsid w:val="006E4B72"/>
    <w:rsid w:val="006E67AB"/>
    <w:rsid w:val="006E6C53"/>
    <w:rsid w:val="006F0457"/>
    <w:rsid w:val="006F0A28"/>
    <w:rsid w:val="006F1D5F"/>
    <w:rsid w:val="006F215F"/>
    <w:rsid w:val="006F3F04"/>
    <w:rsid w:val="006F4832"/>
    <w:rsid w:val="006F6112"/>
    <w:rsid w:val="0070157A"/>
    <w:rsid w:val="0070168A"/>
    <w:rsid w:val="00701793"/>
    <w:rsid w:val="00701E30"/>
    <w:rsid w:val="00701F60"/>
    <w:rsid w:val="007027E6"/>
    <w:rsid w:val="00703E31"/>
    <w:rsid w:val="0070478B"/>
    <w:rsid w:val="0070575C"/>
    <w:rsid w:val="007111BB"/>
    <w:rsid w:val="0071481A"/>
    <w:rsid w:val="00715906"/>
    <w:rsid w:val="00715AE2"/>
    <w:rsid w:val="00717425"/>
    <w:rsid w:val="00717E99"/>
    <w:rsid w:val="00720F74"/>
    <w:rsid w:val="00722096"/>
    <w:rsid w:val="007224AA"/>
    <w:rsid w:val="00722DE5"/>
    <w:rsid w:val="00722E4F"/>
    <w:rsid w:val="00724516"/>
    <w:rsid w:val="00724916"/>
    <w:rsid w:val="00726DB6"/>
    <w:rsid w:val="007275C3"/>
    <w:rsid w:val="00727EBD"/>
    <w:rsid w:val="00727F00"/>
    <w:rsid w:val="007316FF"/>
    <w:rsid w:val="00731E7B"/>
    <w:rsid w:val="0073347F"/>
    <w:rsid w:val="00734404"/>
    <w:rsid w:val="00737549"/>
    <w:rsid w:val="00743CC3"/>
    <w:rsid w:val="00745544"/>
    <w:rsid w:val="00751257"/>
    <w:rsid w:val="00751EEC"/>
    <w:rsid w:val="00754736"/>
    <w:rsid w:val="0075475B"/>
    <w:rsid w:val="0075516A"/>
    <w:rsid w:val="0075621B"/>
    <w:rsid w:val="00756BBF"/>
    <w:rsid w:val="00757B55"/>
    <w:rsid w:val="00760553"/>
    <w:rsid w:val="00760C37"/>
    <w:rsid w:val="007611C9"/>
    <w:rsid w:val="00763062"/>
    <w:rsid w:val="00764DFE"/>
    <w:rsid w:val="0076639B"/>
    <w:rsid w:val="00766711"/>
    <w:rsid w:val="00766BB6"/>
    <w:rsid w:val="007673DF"/>
    <w:rsid w:val="00770232"/>
    <w:rsid w:val="00770E45"/>
    <w:rsid w:val="00771582"/>
    <w:rsid w:val="0077238D"/>
    <w:rsid w:val="00772459"/>
    <w:rsid w:val="00772867"/>
    <w:rsid w:val="00772918"/>
    <w:rsid w:val="0077300A"/>
    <w:rsid w:val="00780DAC"/>
    <w:rsid w:val="00782661"/>
    <w:rsid w:val="007833A5"/>
    <w:rsid w:val="00786B65"/>
    <w:rsid w:val="00786F6D"/>
    <w:rsid w:val="0078BA29"/>
    <w:rsid w:val="0079423B"/>
    <w:rsid w:val="00796D00"/>
    <w:rsid w:val="007973E7"/>
    <w:rsid w:val="007A1613"/>
    <w:rsid w:val="007A1775"/>
    <w:rsid w:val="007A19BD"/>
    <w:rsid w:val="007A2AAE"/>
    <w:rsid w:val="007A3551"/>
    <w:rsid w:val="007A3D5D"/>
    <w:rsid w:val="007A42A5"/>
    <w:rsid w:val="007A4BA2"/>
    <w:rsid w:val="007A518F"/>
    <w:rsid w:val="007A572B"/>
    <w:rsid w:val="007A5DDD"/>
    <w:rsid w:val="007B02A0"/>
    <w:rsid w:val="007B19EE"/>
    <w:rsid w:val="007B34B0"/>
    <w:rsid w:val="007B36AC"/>
    <w:rsid w:val="007C13E4"/>
    <w:rsid w:val="007C211F"/>
    <w:rsid w:val="007C295B"/>
    <w:rsid w:val="007C3359"/>
    <w:rsid w:val="007C33F4"/>
    <w:rsid w:val="007C3A93"/>
    <w:rsid w:val="007C40EE"/>
    <w:rsid w:val="007C4C7B"/>
    <w:rsid w:val="007C520C"/>
    <w:rsid w:val="007C7E58"/>
    <w:rsid w:val="007D0921"/>
    <w:rsid w:val="007D3514"/>
    <w:rsid w:val="007D45A7"/>
    <w:rsid w:val="007D51F8"/>
    <w:rsid w:val="007D5659"/>
    <w:rsid w:val="007D5A16"/>
    <w:rsid w:val="007D5AFA"/>
    <w:rsid w:val="007D609D"/>
    <w:rsid w:val="007D6274"/>
    <w:rsid w:val="007D7255"/>
    <w:rsid w:val="007D79DD"/>
    <w:rsid w:val="007E0E58"/>
    <w:rsid w:val="007E5650"/>
    <w:rsid w:val="007E5A77"/>
    <w:rsid w:val="007E6497"/>
    <w:rsid w:val="007E65E5"/>
    <w:rsid w:val="007E7704"/>
    <w:rsid w:val="007F63A3"/>
    <w:rsid w:val="007F6D4D"/>
    <w:rsid w:val="007F7A04"/>
    <w:rsid w:val="0080167C"/>
    <w:rsid w:val="008019F7"/>
    <w:rsid w:val="00803068"/>
    <w:rsid w:val="0080392B"/>
    <w:rsid w:val="008059E5"/>
    <w:rsid w:val="0080697F"/>
    <w:rsid w:val="00810272"/>
    <w:rsid w:val="00810C1F"/>
    <w:rsid w:val="008110DC"/>
    <w:rsid w:val="008118CA"/>
    <w:rsid w:val="0081548B"/>
    <w:rsid w:val="0081557D"/>
    <w:rsid w:val="00815871"/>
    <w:rsid w:val="00815CA7"/>
    <w:rsid w:val="008161CB"/>
    <w:rsid w:val="00820DCE"/>
    <w:rsid w:val="00822455"/>
    <w:rsid w:val="00823935"/>
    <w:rsid w:val="00824F48"/>
    <w:rsid w:val="00827975"/>
    <w:rsid w:val="00831B00"/>
    <w:rsid w:val="00832DEB"/>
    <w:rsid w:val="008330C4"/>
    <w:rsid w:val="0083417D"/>
    <w:rsid w:val="0083637A"/>
    <w:rsid w:val="0083751B"/>
    <w:rsid w:val="008430B0"/>
    <w:rsid w:val="008439A9"/>
    <w:rsid w:val="00845B3B"/>
    <w:rsid w:val="00846235"/>
    <w:rsid w:val="0085015D"/>
    <w:rsid w:val="00850A54"/>
    <w:rsid w:val="00850BDA"/>
    <w:rsid w:val="008513A0"/>
    <w:rsid w:val="00852E05"/>
    <w:rsid w:val="00853DA9"/>
    <w:rsid w:val="008544B4"/>
    <w:rsid w:val="00854AAD"/>
    <w:rsid w:val="00855F9F"/>
    <w:rsid w:val="008560BE"/>
    <w:rsid w:val="00860BCB"/>
    <w:rsid w:val="008614AB"/>
    <w:rsid w:val="00861B8C"/>
    <w:rsid w:val="008625D3"/>
    <w:rsid w:val="00862BBF"/>
    <w:rsid w:val="00862CB3"/>
    <w:rsid w:val="008643B3"/>
    <w:rsid w:val="00864EFB"/>
    <w:rsid w:val="008651CB"/>
    <w:rsid w:val="00865B5C"/>
    <w:rsid w:val="0086690E"/>
    <w:rsid w:val="0087193E"/>
    <w:rsid w:val="00872850"/>
    <w:rsid w:val="00873B68"/>
    <w:rsid w:val="0087609A"/>
    <w:rsid w:val="008761E5"/>
    <w:rsid w:val="008767EA"/>
    <w:rsid w:val="00876861"/>
    <w:rsid w:val="00877814"/>
    <w:rsid w:val="00877C1C"/>
    <w:rsid w:val="008805D5"/>
    <w:rsid w:val="0088139C"/>
    <w:rsid w:val="0088175D"/>
    <w:rsid w:val="00882615"/>
    <w:rsid w:val="008849A2"/>
    <w:rsid w:val="00887A64"/>
    <w:rsid w:val="008937D7"/>
    <w:rsid w:val="00893F7C"/>
    <w:rsid w:val="00896B5C"/>
    <w:rsid w:val="00897763"/>
    <w:rsid w:val="008A133A"/>
    <w:rsid w:val="008A1CF5"/>
    <w:rsid w:val="008A4465"/>
    <w:rsid w:val="008A4AE1"/>
    <w:rsid w:val="008A6C53"/>
    <w:rsid w:val="008A73CE"/>
    <w:rsid w:val="008B0327"/>
    <w:rsid w:val="008B2156"/>
    <w:rsid w:val="008B2921"/>
    <w:rsid w:val="008B34F1"/>
    <w:rsid w:val="008B48C5"/>
    <w:rsid w:val="008B5FCE"/>
    <w:rsid w:val="008B6324"/>
    <w:rsid w:val="008B6828"/>
    <w:rsid w:val="008B6A86"/>
    <w:rsid w:val="008B7E6A"/>
    <w:rsid w:val="008C0E4E"/>
    <w:rsid w:val="008C0FDA"/>
    <w:rsid w:val="008C3B68"/>
    <w:rsid w:val="008C3CA2"/>
    <w:rsid w:val="008C515C"/>
    <w:rsid w:val="008C7CAF"/>
    <w:rsid w:val="008D0F48"/>
    <w:rsid w:val="008D0F4C"/>
    <w:rsid w:val="008D3638"/>
    <w:rsid w:val="008D3F05"/>
    <w:rsid w:val="008D4350"/>
    <w:rsid w:val="008D5705"/>
    <w:rsid w:val="008D74B5"/>
    <w:rsid w:val="008E08FF"/>
    <w:rsid w:val="008E0D81"/>
    <w:rsid w:val="008E416C"/>
    <w:rsid w:val="008E4C39"/>
    <w:rsid w:val="008E7FFD"/>
    <w:rsid w:val="008F0510"/>
    <w:rsid w:val="008F3224"/>
    <w:rsid w:val="008F5CB1"/>
    <w:rsid w:val="008F78A7"/>
    <w:rsid w:val="009002DD"/>
    <w:rsid w:val="00903503"/>
    <w:rsid w:val="00903E43"/>
    <w:rsid w:val="0090401A"/>
    <w:rsid w:val="009042BE"/>
    <w:rsid w:val="00904DC0"/>
    <w:rsid w:val="00905177"/>
    <w:rsid w:val="00905243"/>
    <w:rsid w:val="00905B1A"/>
    <w:rsid w:val="0090630C"/>
    <w:rsid w:val="00907066"/>
    <w:rsid w:val="00910C1F"/>
    <w:rsid w:val="00910F3C"/>
    <w:rsid w:val="0091158C"/>
    <w:rsid w:val="00911F76"/>
    <w:rsid w:val="00912CAF"/>
    <w:rsid w:val="00912EDE"/>
    <w:rsid w:val="00915F69"/>
    <w:rsid w:val="00915FFD"/>
    <w:rsid w:val="009211C0"/>
    <w:rsid w:val="009213AF"/>
    <w:rsid w:val="0092194E"/>
    <w:rsid w:val="00922188"/>
    <w:rsid w:val="00923F46"/>
    <w:rsid w:val="00924650"/>
    <w:rsid w:val="00925819"/>
    <w:rsid w:val="00926342"/>
    <w:rsid w:val="009267EE"/>
    <w:rsid w:val="009270CA"/>
    <w:rsid w:val="00932B80"/>
    <w:rsid w:val="00933FE3"/>
    <w:rsid w:val="0093450C"/>
    <w:rsid w:val="009352E8"/>
    <w:rsid w:val="00937952"/>
    <w:rsid w:val="00937BB7"/>
    <w:rsid w:val="00941AD6"/>
    <w:rsid w:val="00942699"/>
    <w:rsid w:val="00942E96"/>
    <w:rsid w:val="00942F55"/>
    <w:rsid w:val="009454D6"/>
    <w:rsid w:val="00946B38"/>
    <w:rsid w:val="009471AD"/>
    <w:rsid w:val="0094751C"/>
    <w:rsid w:val="00947687"/>
    <w:rsid w:val="0094794E"/>
    <w:rsid w:val="009514DD"/>
    <w:rsid w:val="009556D0"/>
    <w:rsid w:val="00956BE9"/>
    <w:rsid w:val="00960C8E"/>
    <w:rsid w:val="00962442"/>
    <w:rsid w:val="00962577"/>
    <w:rsid w:val="0096455A"/>
    <w:rsid w:val="00967374"/>
    <w:rsid w:val="0096776F"/>
    <w:rsid w:val="0097089F"/>
    <w:rsid w:val="009708F9"/>
    <w:rsid w:val="009729B1"/>
    <w:rsid w:val="00972DD7"/>
    <w:rsid w:val="009747C0"/>
    <w:rsid w:val="00975027"/>
    <w:rsid w:val="00976CA9"/>
    <w:rsid w:val="00976F25"/>
    <w:rsid w:val="00977519"/>
    <w:rsid w:val="00980334"/>
    <w:rsid w:val="00982005"/>
    <w:rsid w:val="00985288"/>
    <w:rsid w:val="0098631E"/>
    <w:rsid w:val="00986504"/>
    <w:rsid w:val="00986E5D"/>
    <w:rsid w:val="0099056B"/>
    <w:rsid w:val="00990E36"/>
    <w:rsid w:val="009913E9"/>
    <w:rsid w:val="009922BB"/>
    <w:rsid w:val="009935D3"/>
    <w:rsid w:val="00993FBD"/>
    <w:rsid w:val="00995AA8"/>
    <w:rsid w:val="00996820"/>
    <w:rsid w:val="009A0AE6"/>
    <w:rsid w:val="009A4297"/>
    <w:rsid w:val="009A6921"/>
    <w:rsid w:val="009A6F51"/>
    <w:rsid w:val="009A71A7"/>
    <w:rsid w:val="009B0667"/>
    <w:rsid w:val="009B1114"/>
    <w:rsid w:val="009B284A"/>
    <w:rsid w:val="009B3DC6"/>
    <w:rsid w:val="009B5402"/>
    <w:rsid w:val="009B5C83"/>
    <w:rsid w:val="009B7CDD"/>
    <w:rsid w:val="009C327B"/>
    <w:rsid w:val="009C3848"/>
    <w:rsid w:val="009C399C"/>
    <w:rsid w:val="009C46A4"/>
    <w:rsid w:val="009C4FBD"/>
    <w:rsid w:val="009C6DCE"/>
    <w:rsid w:val="009D0333"/>
    <w:rsid w:val="009D1400"/>
    <w:rsid w:val="009D274B"/>
    <w:rsid w:val="009D2C9F"/>
    <w:rsid w:val="009D5B8F"/>
    <w:rsid w:val="009D617C"/>
    <w:rsid w:val="009D6865"/>
    <w:rsid w:val="009D6B76"/>
    <w:rsid w:val="009E05A3"/>
    <w:rsid w:val="009E093E"/>
    <w:rsid w:val="009E0CF4"/>
    <w:rsid w:val="009E1088"/>
    <w:rsid w:val="009E43A5"/>
    <w:rsid w:val="009F03EB"/>
    <w:rsid w:val="009F0A50"/>
    <w:rsid w:val="009F1579"/>
    <w:rsid w:val="009F5DE5"/>
    <w:rsid w:val="009F7A06"/>
    <w:rsid w:val="009F7A85"/>
    <w:rsid w:val="00A023F3"/>
    <w:rsid w:val="00A02894"/>
    <w:rsid w:val="00A041DC"/>
    <w:rsid w:val="00A0599E"/>
    <w:rsid w:val="00A10103"/>
    <w:rsid w:val="00A101A1"/>
    <w:rsid w:val="00A10C55"/>
    <w:rsid w:val="00A118BB"/>
    <w:rsid w:val="00A118DD"/>
    <w:rsid w:val="00A1353A"/>
    <w:rsid w:val="00A147E7"/>
    <w:rsid w:val="00A16689"/>
    <w:rsid w:val="00A171D8"/>
    <w:rsid w:val="00A17D58"/>
    <w:rsid w:val="00A2262D"/>
    <w:rsid w:val="00A22B41"/>
    <w:rsid w:val="00A248C9"/>
    <w:rsid w:val="00A25647"/>
    <w:rsid w:val="00A3105F"/>
    <w:rsid w:val="00A311B5"/>
    <w:rsid w:val="00A31500"/>
    <w:rsid w:val="00A31E78"/>
    <w:rsid w:val="00A339D6"/>
    <w:rsid w:val="00A3509B"/>
    <w:rsid w:val="00A35140"/>
    <w:rsid w:val="00A35165"/>
    <w:rsid w:val="00A3628B"/>
    <w:rsid w:val="00A36D97"/>
    <w:rsid w:val="00A40D34"/>
    <w:rsid w:val="00A40FB6"/>
    <w:rsid w:val="00A41350"/>
    <w:rsid w:val="00A41AAF"/>
    <w:rsid w:val="00A43E9C"/>
    <w:rsid w:val="00A441AB"/>
    <w:rsid w:val="00A46962"/>
    <w:rsid w:val="00A5018F"/>
    <w:rsid w:val="00A50597"/>
    <w:rsid w:val="00A52317"/>
    <w:rsid w:val="00A526C7"/>
    <w:rsid w:val="00A55F82"/>
    <w:rsid w:val="00A562BC"/>
    <w:rsid w:val="00A56EDB"/>
    <w:rsid w:val="00A62347"/>
    <w:rsid w:val="00A62C37"/>
    <w:rsid w:val="00A62E5C"/>
    <w:rsid w:val="00A636D3"/>
    <w:rsid w:val="00A63700"/>
    <w:rsid w:val="00A65D74"/>
    <w:rsid w:val="00A65F54"/>
    <w:rsid w:val="00A665CB"/>
    <w:rsid w:val="00A66A31"/>
    <w:rsid w:val="00A67A41"/>
    <w:rsid w:val="00A704F6"/>
    <w:rsid w:val="00A71CB6"/>
    <w:rsid w:val="00A72966"/>
    <w:rsid w:val="00A74772"/>
    <w:rsid w:val="00A75F53"/>
    <w:rsid w:val="00A76BF7"/>
    <w:rsid w:val="00A7754E"/>
    <w:rsid w:val="00A84373"/>
    <w:rsid w:val="00A852C9"/>
    <w:rsid w:val="00A90242"/>
    <w:rsid w:val="00A90D90"/>
    <w:rsid w:val="00A90EED"/>
    <w:rsid w:val="00A91505"/>
    <w:rsid w:val="00A9297D"/>
    <w:rsid w:val="00A93418"/>
    <w:rsid w:val="00A942B4"/>
    <w:rsid w:val="00A944C2"/>
    <w:rsid w:val="00A94C35"/>
    <w:rsid w:val="00A9564B"/>
    <w:rsid w:val="00A97B3B"/>
    <w:rsid w:val="00AA0248"/>
    <w:rsid w:val="00AA0D04"/>
    <w:rsid w:val="00AA1054"/>
    <w:rsid w:val="00AA36A1"/>
    <w:rsid w:val="00AA3822"/>
    <w:rsid w:val="00AA43EA"/>
    <w:rsid w:val="00AA45E4"/>
    <w:rsid w:val="00AA4A6D"/>
    <w:rsid w:val="00AA5BD4"/>
    <w:rsid w:val="00AA6D76"/>
    <w:rsid w:val="00AA7509"/>
    <w:rsid w:val="00AA7792"/>
    <w:rsid w:val="00AB02F9"/>
    <w:rsid w:val="00AB0D12"/>
    <w:rsid w:val="00AB2748"/>
    <w:rsid w:val="00AB3A38"/>
    <w:rsid w:val="00AB3D60"/>
    <w:rsid w:val="00AB3DEB"/>
    <w:rsid w:val="00AB40AC"/>
    <w:rsid w:val="00AB5C08"/>
    <w:rsid w:val="00AB6777"/>
    <w:rsid w:val="00AC1328"/>
    <w:rsid w:val="00AC16C3"/>
    <w:rsid w:val="00AC61BD"/>
    <w:rsid w:val="00AC6A96"/>
    <w:rsid w:val="00AC765B"/>
    <w:rsid w:val="00AD01D9"/>
    <w:rsid w:val="00AD03E2"/>
    <w:rsid w:val="00AD1743"/>
    <w:rsid w:val="00AD5CCC"/>
    <w:rsid w:val="00AD63C8"/>
    <w:rsid w:val="00AD795D"/>
    <w:rsid w:val="00AE0BC1"/>
    <w:rsid w:val="00AE134E"/>
    <w:rsid w:val="00AE1C9D"/>
    <w:rsid w:val="00AE2252"/>
    <w:rsid w:val="00AE406B"/>
    <w:rsid w:val="00AE7073"/>
    <w:rsid w:val="00AE7599"/>
    <w:rsid w:val="00AF2880"/>
    <w:rsid w:val="00AF3D63"/>
    <w:rsid w:val="00AF4592"/>
    <w:rsid w:val="00AF52EB"/>
    <w:rsid w:val="00AF7AF8"/>
    <w:rsid w:val="00B03367"/>
    <w:rsid w:val="00B04327"/>
    <w:rsid w:val="00B07064"/>
    <w:rsid w:val="00B07A2C"/>
    <w:rsid w:val="00B11A16"/>
    <w:rsid w:val="00B14674"/>
    <w:rsid w:val="00B1534E"/>
    <w:rsid w:val="00B16AF9"/>
    <w:rsid w:val="00B16CBF"/>
    <w:rsid w:val="00B1708A"/>
    <w:rsid w:val="00B20CE8"/>
    <w:rsid w:val="00B20FD8"/>
    <w:rsid w:val="00B21DE1"/>
    <w:rsid w:val="00B2391C"/>
    <w:rsid w:val="00B258B0"/>
    <w:rsid w:val="00B2748B"/>
    <w:rsid w:val="00B3052C"/>
    <w:rsid w:val="00B30B6D"/>
    <w:rsid w:val="00B32D58"/>
    <w:rsid w:val="00B33EBD"/>
    <w:rsid w:val="00B36229"/>
    <w:rsid w:val="00B4266A"/>
    <w:rsid w:val="00B439A7"/>
    <w:rsid w:val="00B4422E"/>
    <w:rsid w:val="00B47A06"/>
    <w:rsid w:val="00B50543"/>
    <w:rsid w:val="00B519DD"/>
    <w:rsid w:val="00B55AFB"/>
    <w:rsid w:val="00B56CCA"/>
    <w:rsid w:val="00B60E47"/>
    <w:rsid w:val="00B61305"/>
    <w:rsid w:val="00B62CCA"/>
    <w:rsid w:val="00B646B5"/>
    <w:rsid w:val="00B65863"/>
    <w:rsid w:val="00B67158"/>
    <w:rsid w:val="00B677A2"/>
    <w:rsid w:val="00B67BEB"/>
    <w:rsid w:val="00B701E2"/>
    <w:rsid w:val="00B71ACE"/>
    <w:rsid w:val="00B7272D"/>
    <w:rsid w:val="00B73096"/>
    <w:rsid w:val="00B74C26"/>
    <w:rsid w:val="00B74E6D"/>
    <w:rsid w:val="00B75524"/>
    <w:rsid w:val="00B77496"/>
    <w:rsid w:val="00B77BB4"/>
    <w:rsid w:val="00B80EB3"/>
    <w:rsid w:val="00B82861"/>
    <w:rsid w:val="00B83CA5"/>
    <w:rsid w:val="00B8413C"/>
    <w:rsid w:val="00B866A2"/>
    <w:rsid w:val="00B878D4"/>
    <w:rsid w:val="00B87956"/>
    <w:rsid w:val="00B87A08"/>
    <w:rsid w:val="00B87B1D"/>
    <w:rsid w:val="00B9222B"/>
    <w:rsid w:val="00B947C9"/>
    <w:rsid w:val="00B9563A"/>
    <w:rsid w:val="00BA1A2D"/>
    <w:rsid w:val="00BA2AE2"/>
    <w:rsid w:val="00BA543C"/>
    <w:rsid w:val="00BA5D1B"/>
    <w:rsid w:val="00BA726B"/>
    <w:rsid w:val="00BA7D3B"/>
    <w:rsid w:val="00BB05A4"/>
    <w:rsid w:val="00BB100D"/>
    <w:rsid w:val="00BB109B"/>
    <w:rsid w:val="00BB208E"/>
    <w:rsid w:val="00BB46D7"/>
    <w:rsid w:val="00BB4E3C"/>
    <w:rsid w:val="00BB59BD"/>
    <w:rsid w:val="00BB5A4A"/>
    <w:rsid w:val="00BB62AF"/>
    <w:rsid w:val="00BB6BA0"/>
    <w:rsid w:val="00BC1AE6"/>
    <w:rsid w:val="00BC1D69"/>
    <w:rsid w:val="00BC2306"/>
    <w:rsid w:val="00BC2838"/>
    <w:rsid w:val="00BC2BE0"/>
    <w:rsid w:val="00BC4CF7"/>
    <w:rsid w:val="00BD226C"/>
    <w:rsid w:val="00BD2D6D"/>
    <w:rsid w:val="00BD5DFE"/>
    <w:rsid w:val="00BD66E7"/>
    <w:rsid w:val="00BD6A3C"/>
    <w:rsid w:val="00BD7035"/>
    <w:rsid w:val="00BE0122"/>
    <w:rsid w:val="00BE23D9"/>
    <w:rsid w:val="00BE2BB4"/>
    <w:rsid w:val="00BE3149"/>
    <w:rsid w:val="00BE3E91"/>
    <w:rsid w:val="00BE47FF"/>
    <w:rsid w:val="00BE569C"/>
    <w:rsid w:val="00BE5AC5"/>
    <w:rsid w:val="00BE6AF6"/>
    <w:rsid w:val="00BE7AE6"/>
    <w:rsid w:val="00BF05D0"/>
    <w:rsid w:val="00C00A4B"/>
    <w:rsid w:val="00C00C84"/>
    <w:rsid w:val="00C0121D"/>
    <w:rsid w:val="00C026C3"/>
    <w:rsid w:val="00C02882"/>
    <w:rsid w:val="00C050DD"/>
    <w:rsid w:val="00C06013"/>
    <w:rsid w:val="00C060CD"/>
    <w:rsid w:val="00C062CE"/>
    <w:rsid w:val="00C113F6"/>
    <w:rsid w:val="00C11B7F"/>
    <w:rsid w:val="00C11E6D"/>
    <w:rsid w:val="00C145BA"/>
    <w:rsid w:val="00C146CC"/>
    <w:rsid w:val="00C16CAF"/>
    <w:rsid w:val="00C17B87"/>
    <w:rsid w:val="00C22031"/>
    <w:rsid w:val="00C24108"/>
    <w:rsid w:val="00C249ED"/>
    <w:rsid w:val="00C259A3"/>
    <w:rsid w:val="00C2728C"/>
    <w:rsid w:val="00C317D0"/>
    <w:rsid w:val="00C32802"/>
    <w:rsid w:val="00C3316D"/>
    <w:rsid w:val="00C343E7"/>
    <w:rsid w:val="00C345A9"/>
    <w:rsid w:val="00C3478F"/>
    <w:rsid w:val="00C37683"/>
    <w:rsid w:val="00C42A39"/>
    <w:rsid w:val="00C44C9F"/>
    <w:rsid w:val="00C51500"/>
    <w:rsid w:val="00C51968"/>
    <w:rsid w:val="00C51F0B"/>
    <w:rsid w:val="00C5298A"/>
    <w:rsid w:val="00C543D8"/>
    <w:rsid w:val="00C56290"/>
    <w:rsid w:val="00C5685E"/>
    <w:rsid w:val="00C56962"/>
    <w:rsid w:val="00C63EA4"/>
    <w:rsid w:val="00C644EF"/>
    <w:rsid w:val="00C66491"/>
    <w:rsid w:val="00C70485"/>
    <w:rsid w:val="00C71A03"/>
    <w:rsid w:val="00C71D0E"/>
    <w:rsid w:val="00C71FFE"/>
    <w:rsid w:val="00C73701"/>
    <w:rsid w:val="00C74088"/>
    <w:rsid w:val="00C75611"/>
    <w:rsid w:val="00C773F6"/>
    <w:rsid w:val="00C80AC9"/>
    <w:rsid w:val="00C82911"/>
    <w:rsid w:val="00C82D42"/>
    <w:rsid w:val="00C87163"/>
    <w:rsid w:val="00C876D6"/>
    <w:rsid w:val="00C87ADA"/>
    <w:rsid w:val="00C9179B"/>
    <w:rsid w:val="00C92E5A"/>
    <w:rsid w:val="00C937E6"/>
    <w:rsid w:val="00C93A19"/>
    <w:rsid w:val="00C93CEA"/>
    <w:rsid w:val="00C9437B"/>
    <w:rsid w:val="00C95055"/>
    <w:rsid w:val="00C96BE1"/>
    <w:rsid w:val="00CA1DE6"/>
    <w:rsid w:val="00CA2720"/>
    <w:rsid w:val="00CA3983"/>
    <w:rsid w:val="00CA3B70"/>
    <w:rsid w:val="00CA5B94"/>
    <w:rsid w:val="00CA6917"/>
    <w:rsid w:val="00CB1902"/>
    <w:rsid w:val="00CB1F9C"/>
    <w:rsid w:val="00CB279A"/>
    <w:rsid w:val="00CB37AC"/>
    <w:rsid w:val="00CB3D97"/>
    <w:rsid w:val="00CB5166"/>
    <w:rsid w:val="00CB5553"/>
    <w:rsid w:val="00CB6CC9"/>
    <w:rsid w:val="00CB7FCF"/>
    <w:rsid w:val="00CC53AD"/>
    <w:rsid w:val="00CC614D"/>
    <w:rsid w:val="00CC7DA2"/>
    <w:rsid w:val="00CD0049"/>
    <w:rsid w:val="00CD03E7"/>
    <w:rsid w:val="00CD1E33"/>
    <w:rsid w:val="00CD32AF"/>
    <w:rsid w:val="00CD34F5"/>
    <w:rsid w:val="00CD357D"/>
    <w:rsid w:val="00CD5D47"/>
    <w:rsid w:val="00CD65BD"/>
    <w:rsid w:val="00CE2D77"/>
    <w:rsid w:val="00CE380A"/>
    <w:rsid w:val="00CE3C75"/>
    <w:rsid w:val="00CE3D27"/>
    <w:rsid w:val="00CE5512"/>
    <w:rsid w:val="00CE6BE7"/>
    <w:rsid w:val="00CE745A"/>
    <w:rsid w:val="00CE7F69"/>
    <w:rsid w:val="00CF0E0B"/>
    <w:rsid w:val="00CF28A4"/>
    <w:rsid w:val="00CF3500"/>
    <w:rsid w:val="00CF4964"/>
    <w:rsid w:val="00CF50AE"/>
    <w:rsid w:val="00CF57C7"/>
    <w:rsid w:val="00CF73E7"/>
    <w:rsid w:val="00CF7C2B"/>
    <w:rsid w:val="00D02ACE"/>
    <w:rsid w:val="00D04364"/>
    <w:rsid w:val="00D0534C"/>
    <w:rsid w:val="00D0547B"/>
    <w:rsid w:val="00D0743C"/>
    <w:rsid w:val="00D119C4"/>
    <w:rsid w:val="00D11BFC"/>
    <w:rsid w:val="00D129EE"/>
    <w:rsid w:val="00D14013"/>
    <w:rsid w:val="00D152BB"/>
    <w:rsid w:val="00D159E0"/>
    <w:rsid w:val="00D17521"/>
    <w:rsid w:val="00D17CBC"/>
    <w:rsid w:val="00D20049"/>
    <w:rsid w:val="00D21585"/>
    <w:rsid w:val="00D21D22"/>
    <w:rsid w:val="00D23D26"/>
    <w:rsid w:val="00D25B3E"/>
    <w:rsid w:val="00D27A73"/>
    <w:rsid w:val="00D341FD"/>
    <w:rsid w:val="00D34DDA"/>
    <w:rsid w:val="00D36F1E"/>
    <w:rsid w:val="00D40235"/>
    <w:rsid w:val="00D4090F"/>
    <w:rsid w:val="00D42285"/>
    <w:rsid w:val="00D42587"/>
    <w:rsid w:val="00D427C2"/>
    <w:rsid w:val="00D4414B"/>
    <w:rsid w:val="00D50052"/>
    <w:rsid w:val="00D506A9"/>
    <w:rsid w:val="00D54389"/>
    <w:rsid w:val="00D56295"/>
    <w:rsid w:val="00D56F89"/>
    <w:rsid w:val="00D60255"/>
    <w:rsid w:val="00D60A68"/>
    <w:rsid w:val="00D62002"/>
    <w:rsid w:val="00D62569"/>
    <w:rsid w:val="00D6285D"/>
    <w:rsid w:val="00D62B4B"/>
    <w:rsid w:val="00D672EA"/>
    <w:rsid w:val="00D704B7"/>
    <w:rsid w:val="00D704EC"/>
    <w:rsid w:val="00D712BB"/>
    <w:rsid w:val="00D71D2E"/>
    <w:rsid w:val="00D73875"/>
    <w:rsid w:val="00D74C10"/>
    <w:rsid w:val="00D757F0"/>
    <w:rsid w:val="00D759DF"/>
    <w:rsid w:val="00D75C49"/>
    <w:rsid w:val="00D76174"/>
    <w:rsid w:val="00D7684F"/>
    <w:rsid w:val="00D77E70"/>
    <w:rsid w:val="00D81480"/>
    <w:rsid w:val="00D83989"/>
    <w:rsid w:val="00D84A01"/>
    <w:rsid w:val="00D87A89"/>
    <w:rsid w:val="00D9127E"/>
    <w:rsid w:val="00D9241E"/>
    <w:rsid w:val="00D93616"/>
    <w:rsid w:val="00D96A73"/>
    <w:rsid w:val="00D96E8C"/>
    <w:rsid w:val="00DA316F"/>
    <w:rsid w:val="00DA6E75"/>
    <w:rsid w:val="00DA715B"/>
    <w:rsid w:val="00DB07E0"/>
    <w:rsid w:val="00DB12E1"/>
    <w:rsid w:val="00DB1849"/>
    <w:rsid w:val="00DB2166"/>
    <w:rsid w:val="00DB3E02"/>
    <w:rsid w:val="00DB4417"/>
    <w:rsid w:val="00DB5CD6"/>
    <w:rsid w:val="00DB6AD0"/>
    <w:rsid w:val="00DB77D3"/>
    <w:rsid w:val="00DB79B5"/>
    <w:rsid w:val="00DC0B6A"/>
    <w:rsid w:val="00DC1BAE"/>
    <w:rsid w:val="00DC3636"/>
    <w:rsid w:val="00DC3BB7"/>
    <w:rsid w:val="00DC3C82"/>
    <w:rsid w:val="00DC3E7D"/>
    <w:rsid w:val="00DC5575"/>
    <w:rsid w:val="00DC60DA"/>
    <w:rsid w:val="00DC64A7"/>
    <w:rsid w:val="00DD0DAA"/>
    <w:rsid w:val="00DD0E32"/>
    <w:rsid w:val="00DD3B7C"/>
    <w:rsid w:val="00DD42C8"/>
    <w:rsid w:val="00DD4AD0"/>
    <w:rsid w:val="00DD550F"/>
    <w:rsid w:val="00DD6AFA"/>
    <w:rsid w:val="00DE30F4"/>
    <w:rsid w:val="00DE39D4"/>
    <w:rsid w:val="00DE3ABF"/>
    <w:rsid w:val="00DE649C"/>
    <w:rsid w:val="00DF2EED"/>
    <w:rsid w:val="00DF6826"/>
    <w:rsid w:val="00DF6F3B"/>
    <w:rsid w:val="00E01D29"/>
    <w:rsid w:val="00E01ECD"/>
    <w:rsid w:val="00E05A59"/>
    <w:rsid w:val="00E103C6"/>
    <w:rsid w:val="00E12586"/>
    <w:rsid w:val="00E16467"/>
    <w:rsid w:val="00E16C96"/>
    <w:rsid w:val="00E217FC"/>
    <w:rsid w:val="00E21B58"/>
    <w:rsid w:val="00E247B1"/>
    <w:rsid w:val="00E253DB"/>
    <w:rsid w:val="00E25608"/>
    <w:rsid w:val="00E25C03"/>
    <w:rsid w:val="00E268B8"/>
    <w:rsid w:val="00E30380"/>
    <w:rsid w:val="00E30B1E"/>
    <w:rsid w:val="00E368A3"/>
    <w:rsid w:val="00E41F2D"/>
    <w:rsid w:val="00E43398"/>
    <w:rsid w:val="00E45690"/>
    <w:rsid w:val="00E510E3"/>
    <w:rsid w:val="00E51B58"/>
    <w:rsid w:val="00E54DAC"/>
    <w:rsid w:val="00E555A3"/>
    <w:rsid w:val="00E5576F"/>
    <w:rsid w:val="00E56CAC"/>
    <w:rsid w:val="00E57335"/>
    <w:rsid w:val="00E5752A"/>
    <w:rsid w:val="00E60271"/>
    <w:rsid w:val="00E60530"/>
    <w:rsid w:val="00E621FC"/>
    <w:rsid w:val="00E62922"/>
    <w:rsid w:val="00E62943"/>
    <w:rsid w:val="00E64A33"/>
    <w:rsid w:val="00E70044"/>
    <w:rsid w:val="00E71E16"/>
    <w:rsid w:val="00E72015"/>
    <w:rsid w:val="00E729E6"/>
    <w:rsid w:val="00E72DA3"/>
    <w:rsid w:val="00E72EE2"/>
    <w:rsid w:val="00E7349E"/>
    <w:rsid w:val="00E7543E"/>
    <w:rsid w:val="00E76B44"/>
    <w:rsid w:val="00E77491"/>
    <w:rsid w:val="00E77821"/>
    <w:rsid w:val="00E8103E"/>
    <w:rsid w:val="00E8174F"/>
    <w:rsid w:val="00E82374"/>
    <w:rsid w:val="00E83A53"/>
    <w:rsid w:val="00E83F5A"/>
    <w:rsid w:val="00E84DD7"/>
    <w:rsid w:val="00E86152"/>
    <w:rsid w:val="00E867FF"/>
    <w:rsid w:val="00E87215"/>
    <w:rsid w:val="00E87A3A"/>
    <w:rsid w:val="00E908A0"/>
    <w:rsid w:val="00E90BF5"/>
    <w:rsid w:val="00E90E5E"/>
    <w:rsid w:val="00E96888"/>
    <w:rsid w:val="00EA040E"/>
    <w:rsid w:val="00EA0E36"/>
    <w:rsid w:val="00EA19EA"/>
    <w:rsid w:val="00EA4073"/>
    <w:rsid w:val="00EA457B"/>
    <w:rsid w:val="00EA56D4"/>
    <w:rsid w:val="00EA5E23"/>
    <w:rsid w:val="00EB12DD"/>
    <w:rsid w:val="00EB2A64"/>
    <w:rsid w:val="00EB3872"/>
    <w:rsid w:val="00EB4505"/>
    <w:rsid w:val="00EB4E1D"/>
    <w:rsid w:val="00EB54FF"/>
    <w:rsid w:val="00EB5B21"/>
    <w:rsid w:val="00EB603B"/>
    <w:rsid w:val="00EB6944"/>
    <w:rsid w:val="00EB707D"/>
    <w:rsid w:val="00EC252E"/>
    <w:rsid w:val="00EC272C"/>
    <w:rsid w:val="00EC305E"/>
    <w:rsid w:val="00EC32E8"/>
    <w:rsid w:val="00EC4304"/>
    <w:rsid w:val="00EC4CE9"/>
    <w:rsid w:val="00EC5BAC"/>
    <w:rsid w:val="00EC6592"/>
    <w:rsid w:val="00EC6F4F"/>
    <w:rsid w:val="00ED1E48"/>
    <w:rsid w:val="00ED4059"/>
    <w:rsid w:val="00ED48AE"/>
    <w:rsid w:val="00EE2599"/>
    <w:rsid w:val="00EE2B5A"/>
    <w:rsid w:val="00EE64C8"/>
    <w:rsid w:val="00EF27B0"/>
    <w:rsid w:val="00EF38A5"/>
    <w:rsid w:val="00EF6A1D"/>
    <w:rsid w:val="00EF6EE2"/>
    <w:rsid w:val="00F00479"/>
    <w:rsid w:val="00F021A4"/>
    <w:rsid w:val="00F021E1"/>
    <w:rsid w:val="00F10323"/>
    <w:rsid w:val="00F10B58"/>
    <w:rsid w:val="00F12955"/>
    <w:rsid w:val="00F12EF6"/>
    <w:rsid w:val="00F13458"/>
    <w:rsid w:val="00F14B4E"/>
    <w:rsid w:val="00F169C3"/>
    <w:rsid w:val="00F203B4"/>
    <w:rsid w:val="00F2186C"/>
    <w:rsid w:val="00F22B48"/>
    <w:rsid w:val="00F2480E"/>
    <w:rsid w:val="00F24B89"/>
    <w:rsid w:val="00F25DB8"/>
    <w:rsid w:val="00F25FED"/>
    <w:rsid w:val="00F26C69"/>
    <w:rsid w:val="00F3134D"/>
    <w:rsid w:val="00F336B4"/>
    <w:rsid w:val="00F354D6"/>
    <w:rsid w:val="00F35925"/>
    <w:rsid w:val="00F370C7"/>
    <w:rsid w:val="00F40180"/>
    <w:rsid w:val="00F407CC"/>
    <w:rsid w:val="00F40820"/>
    <w:rsid w:val="00F41E53"/>
    <w:rsid w:val="00F420F7"/>
    <w:rsid w:val="00F42645"/>
    <w:rsid w:val="00F42EBD"/>
    <w:rsid w:val="00F446C1"/>
    <w:rsid w:val="00F45A8F"/>
    <w:rsid w:val="00F45B42"/>
    <w:rsid w:val="00F46763"/>
    <w:rsid w:val="00F47656"/>
    <w:rsid w:val="00F50764"/>
    <w:rsid w:val="00F50E8C"/>
    <w:rsid w:val="00F51B30"/>
    <w:rsid w:val="00F53B7C"/>
    <w:rsid w:val="00F54041"/>
    <w:rsid w:val="00F54AA0"/>
    <w:rsid w:val="00F55000"/>
    <w:rsid w:val="00F5500B"/>
    <w:rsid w:val="00F55E11"/>
    <w:rsid w:val="00F5731A"/>
    <w:rsid w:val="00F57BFB"/>
    <w:rsid w:val="00F57E14"/>
    <w:rsid w:val="00F61D82"/>
    <w:rsid w:val="00F62E90"/>
    <w:rsid w:val="00F63857"/>
    <w:rsid w:val="00F65758"/>
    <w:rsid w:val="00F65E14"/>
    <w:rsid w:val="00F66C88"/>
    <w:rsid w:val="00F67B8C"/>
    <w:rsid w:val="00F702AD"/>
    <w:rsid w:val="00F72E53"/>
    <w:rsid w:val="00F7322C"/>
    <w:rsid w:val="00F7499B"/>
    <w:rsid w:val="00F74A05"/>
    <w:rsid w:val="00F7760A"/>
    <w:rsid w:val="00F77678"/>
    <w:rsid w:val="00F7796C"/>
    <w:rsid w:val="00F810F4"/>
    <w:rsid w:val="00F81AC6"/>
    <w:rsid w:val="00F8324F"/>
    <w:rsid w:val="00F83579"/>
    <w:rsid w:val="00F83A53"/>
    <w:rsid w:val="00F84AA6"/>
    <w:rsid w:val="00F8593B"/>
    <w:rsid w:val="00F862D9"/>
    <w:rsid w:val="00F8658D"/>
    <w:rsid w:val="00F8680B"/>
    <w:rsid w:val="00F8770E"/>
    <w:rsid w:val="00F91008"/>
    <w:rsid w:val="00F91E2F"/>
    <w:rsid w:val="00F934AC"/>
    <w:rsid w:val="00FA001B"/>
    <w:rsid w:val="00FA04C2"/>
    <w:rsid w:val="00FA2A72"/>
    <w:rsid w:val="00FA494A"/>
    <w:rsid w:val="00FA6492"/>
    <w:rsid w:val="00FA6BE1"/>
    <w:rsid w:val="00FA7F53"/>
    <w:rsid w:val="00FB6255"/>
    <w:rsid w:val="00FBDB85"/>
    <w:rsid w:val="00FC20AB"/>
    <w:rsid w:val="00FC4CE2"/>
    <w:rsid w:val="00FC6EC1"/>
    <w:rsid w:val="00FD2D83"/>
    <w:rsid w:val="00FD71D1"/>
    <w:rsid w:val="00FD7D44"/>
    <w:rsid w:val="00FD7F8F"/>
    <w:rsid w:val="00FE0918"/>
    <w:rsid w:val="00FE2E65"/>
    <w:rsid w:val="00FE36A8"/>
    <w:rsid w:val="00FE4692"/>
    <w:rsid w:val="00FE4AAC"/>
    <w:rsid w:val="00FE51FD"/>
    <w:rsid w:val="00FE5F63"/>
    <w:rsid w:val="00FE749D"/>
    <w:rsid w:val="00FE78BD"/>
    <w:rsid w:val="00FF0AF8"/>
    <w:rsid w:val="00FF22BC"/>
    <w:rsid w:val="00FF7098"/>
    <w:rsid w:val="00FF70F0"/>
    <w:rsid w:val="01260181"/>
    <w:rsid w:val="019DE85B"/>
    <w:rsid w:val="01A88405"/>
    <w:rsid w:val="020C19A2"/>
    <w:rsid w:val="025DD5D9"/>
    <w:rsid w:val="0297463B"/>
    <w:rsid w:val="02C205EC"/>
    <w:rsid w:val="03585071"/>
    <w:rsid w:val="0375D65C"/>
    <w:rsid w:val="03CA90CB"/>
    <w:rsid w:val="03E3349E"/>
    <w:rsid w:val="03F0A2A4"/>
    <w:rsid w:val="0485A26C"/>
    <w:rsid w:val="0496D575"/>
    <w:rsid w:val="04CDDC9E"/>
    <w:rsid w:val="04D72CA5"/>
    <w:rsid w:val="05175EBE"/>
    <w:rsid w:val="05274D3F"/>
    <w:rsid w:val="05644734"/>
    <w:rsid w:val="05770F84"/>
    <w:rsid w:val="05E8D556"/>
    <w:rsid w:val="06155A3B"/>
    <w:rsid w:val="0634EBC5"/>
    <w:rsid w:val="069527E2"/>
    <w:rsid w:val="06B7DD25"/>
    <w:rsid w:val="06FD55CB"/>
    <w:rsid w:val="0724E096"/>
    <w:rsid w:val="07680075"/>
    <w:rsid w:val="07765561"/>
    <w:rsid w:val="079E3357"/>
    <w:rsid w:val="07E0137D"/>
    <w:rsid w:val="07F30564"/>
    <w:rsid w:val="08041B53"/>
    <w:rsid w:val="081BD0EE"/>
    <w:rsid w:val="083B9B7A"/>
    <w:rsid w:val="08DA5B05"/>
    <w:rsid w:val="08F1CD35"/>
    <w:rsid w:val="0934615C"/>
    <w:rsid w:val="096A18D9"/>
    <w:rsid w:val="097608F7"/>
    <w:rsid w:val="0991A245"/>
    <w:rsid w:val="099E4CA9"/>
    <w:rsid w:val="09AB7826"/>
    <w:rsid w:val="09CC30F1"/>
    <w:rsid w:val="0A245F11"/>
    <w:rsid w:val="0A405775"/>
    <w:rsid w:val="0A58FC5F"/>
    <w:rsid w:val="0A7F35AA"/>
    <w:rsid w:val="0ACB965A"/>
    <w:rsid w:val="0AE0AED2"/>
    <w:rsid w:val="0B57F34E"/>
    <w:rsid w:val="0BD17729"/>
    <w:rsid w:val="0C319120"/>
    <w:rsid w:val="0C3F9449"/>
    <w:rsid w:val="0C4F2EB8"/>
    <w:rsid w:val="0C6AF341"/>
    <w:rsid w:val="0CF4C7C7"/>
    <w:rsid w:val="0D4014F8"/>
    <w:rsid w:val="0D424DF7"/>
    <w:rsid w:val="0DB7B651"/>
    <w:rsid w:val="0DBE5983"/>
    <w:rsid w:val="0E19D2A0"/>
    <w:rsid w:val="0E4EDBAF"/>
    <w:rsid w:val="0E65D46F"/>
    <w:rsid w:val="0E68B005"/>
    <w:rsid w:val="0E83C3A7"/>
    <w:rsid w:val="0EE4478E"/>
    <w:rsid w:val="0F6F66EC"/>
    <w:rsid w:val="0F75F53F"/>
    <w:rsid w:val="0F7ADF3A"/>
    <w:rsid w:val="0FEF69C1"/>
    <w:rsid w:val="0FFC514A"/>
    <w:rsid w:val="100374A3"/>
    <w:rsid w:val="10195108"/>
    <w:rsid w:val="10323BD9"/>
    <w:rsid w:val="10495805"/>
    <w:rsid w:val="1084E06B"/>
    <w:rsid w:val="10C4796B"/>
    <w:rsid w:val="10D3AB6E"/>
    <w:rsid w:val="10E25DA8"/>
    <w:rsid w:val="10F4DE99"/>
    <w:rsid w:val="111F3083"/>
    <w:rsid w:val="112BB13A"/>
    <w:rsid w:val="11775CDE"/>
    <w:rsid w:val="11A6C6D5"/>
    <w:rsid w:val="11B2E430"/>
    <w:rsid w:val="11B705B1"/>
    <w:rsid w:val="11F639AA"/>
    <w:rsid w:val="1225C42D"/>
    <w:rsid w:val="122DE9CF"/>
    <w:rsid w:val="122E18E9"/>
    <w:rsid w:val="122FACC3"/>
    <w:rsid w:val="1254AF31"/>
    <w:rsid w:val="12AC79CE"/>
    <w:rsid w:val="12E4D5FF"/>
    <w:rsid w:val="13046683"/>
    <w:rsid w:val="130B6F68"/>
    <w:rsid w:val="131C3503"/>
    <w:rsid w:val="131D4E3C"/>
    <w:rsid w:val="132576DC"/>
    <w:rsid w:val="1339AF62"/>
    <w:rsid w:val="13402D84"/>
    <w:rsid w:val="136C2847"/>
    <w:rsid w:val="137AA3FD"/>
    <w:rsid w:val="137C4443"/>
    <w:rsid w:val="13C336E6"/>
    <w:rsid w:val="14459BA4"/>
    <w:rsid w:val="144FA7CF"/>
    <w:rsid w:val="14509D87"/>
    <w:rsid w:val="154BBC0D"/>
    <w:rsid w:val="15BD7D5A"/>
    <w:rsid w:val="15D0FC69"/>
    <w:rsid w:val="16679E1E"/>
    <w:rsid w:val="16ABA00C"/>
    <w:rsid w:val="16CA517E"/>
    <w:rsid w:val="16CDBB4A"/>
    <w:rsid w:val="16F70522"/>
    <w:rsid w:val="17074F03"/>
    <w:rsid w:val="174E09F5"/>
    <w:rsid w:val="174E6CEF"/>
    <w:rsid w:val="1779107A"/>
    <w:rsid w:val="17798413"/>
    <w:rsid w:val="178A40B9"/>
    <w:rsid w:val="17DCA48F"/>
    <w:rsid w:val="17DD8E2C"/>
    <w:rsid w:val="1828C574"/>
    <w:rsid w:val="18378C2E"/>
    <w:rsid w:val="1897D08D"/>
    <w:rsid w:val="189F8DE8"/>
    <w:rsid w:val="18B5ED83"/>
    <w:rsid w:val="18DB50B9"/>
    <w:rsid w:val="190AEBF6"/>
    <w:rsid w:val="192E187D"/>
    <w:rsid w:val="1971F9B4"/>
    <w:rsid w:val="198FAB43"/>
    <w:rsid w:val="19A68898"/>
    <w:rsid w:val="19D9BFB5"/>
    <w:rsid w:val="1A0D9FC5"/>
    <w:rsid w:val="1A299896"/>
    <w:rsid w:val="1A3ADCB7"/>
    <w:rsid w:val="1A57081A"/>
    <w:rsid w:val="1AA9B304"/>
    <w:rsid w:val="1AA9D851"/>
    <w:rsid w:val="1AC1D92C"/>
    <w:rsid w:val="1B137575"/>
    <w:rsid w:val="1B2AF666"/>
    <w:rsid w:val="1B2F8EBD"/>
    <w:rsid w:val="1B5781A1"/>
    <w:rsid w:val="1B870DE0"/>
    <w:rsid w:val="1BA66316"/>
    <w:rsid w:val="1BBD1B9D"/>
    <w:rsid w:val="1BC85B39"/>
    <w:rsid w:val="1C43AC46"/>
    <w:rsid w:val="1C5CB2E0"/>
    <w:rsid w:val="1CB61520"/>
    <w:rsid w:val="1D24BDC1"/>
    <w:rsid w:val="1D4301E9"/>
    <w:rsid w:val="1D93BE3F"/>
    <w:rsid w:val="1D96C1A0"/>
    <w:rsid w:val="1DDC6BFD"/>
    <w:rsid w:val="1EF01E68"/>
    <w:rsid w:val="1F0EA3E5"/>
    <w:rsid w:val="1F2A7704"/>
    <w:rsid w:val="1F65EE22"/>
    <w:rsid w:val="1FC3645A"/>
    <w:rsid w:val="2018D049"/>
    <w:rsid w:val="2041C610"/>
    <w:rsid w:val="205824F9"/>
    <w:rsid w:val="2069A126"/>
    <w:rsid w:val="20887BDD"/>
    <w:rsid w:val="20D8B414"/>
    <w:rsid w:val="20ED8FFE"/>
    <w:rsid w:val="20EF42EC"/>
    <w:rsid w:val="213BAA68"/>
    <w:rsid w:val="213DCBE7"/>
    <w:rsid w:val="213FB4A1"/>
    <w:rsid w:val="2153E7AF"/>
    <w:rsid w:val="2176B251"/>
    <w:rsid w:val="219A261F"/>
    <w:rsid w:val="21AF9B6B"/>
    <w:rsid w:val="21DD8F22"/>
    <w:rsid w:val="221B810C"/>
    <w:rsid w:val="2249BEFF"/>
    <w:rsid w:val="22529F08"/>
    <w:rsid w:val="22574FFF"/>
    <w:rsid w:val="225F7948"/>
    <w:rsid w:val="22882B3C"/>
    <w:rsid w:val="22A978C4"/>
    <w:rsid w:val="22A9A8CE"/>
    <w:rsid w:val="22D25E98"/>
    <w:rsid w:val="23292BBE"/>
    <w:rsid w:val="234465A9"/>
    <w:rsid w:val="235E3845"/>
    <w:rsid w:val="23A89536"/>
    <w:rsid w:val="23B97E90"/>
    <w:rsid w:val="24B2835D"/>
    <w:rsid w:val="24C4162B"/>
    <w:rsid w:val="24D9E6EF"/>
    <w:rsid w:val="251F9FA0"/>
    <w:rsid w:val="2530AA78"/>
    <w:rsid w:val="25CAA5C2"/>
    <w:rsid w:val="25CDC308"/>
    <w:rsid w:val="25E8D97D"/>
    <w:rsid w:val="2607545C"/>
    <w:rsid w:val="261916A1"/>
    <w:rsid w:val="26205956"/>
    <w:rsid w:val="269DF869"/>
    <w:rsid w:val="26C16B8C"/>
    <w:rsid w:val="272E3E90"/>
    <w:rsid w:val="2767AF41"/>
    <w:rsid w:val="2782F0C2"/>
    <w:rsid w:val="27B8909D"/>
    <w:rsid w:val="27BC5A5B"/>
    <w:rsid w:val="27E4835B"/>
    <w:rsid w:val="27EE0084"/>
    <w:rsid w:val="2801FCD6"/>
    <w:rsid w:val="2825ACBC"/>
    <w:rsid w:val="2829DC25"/>
    <w:rsid w:val="282E6421"/>
    <w:rsid w:val="287D9140"/>
    <w:rsid w:val="2893A0FC"/>
    <w:rsid w:val="28F7D4AF"/>
    <w:rsid w:val="292F50AC"/>
    <w:rsid w:val="294DE20F"/>
    <w:rsid w:val="297587F0"/>
    <w:rsid w:val="299BFD75"/>
    <w:rsid w:val="29D0EFD3"/>
    <w:rsid w:val="2A393AA2"/>
    <w:rsid w:val="2A3D17FE"/>
    <w:rsid w:val="2A8FFD3A"/>
    <w:rsid w:val="2A90330B"/>
    <w:rsid w:val="2AA36E08"/>
    <w:rsid w:val="2AD64441"/>
    <w:rsid w:val="2AEABB22"/>
    <w:rsid w:val="2AFA11FA"/>
    <w:rsid w:val="2AFB4A3F"/>
    <w:rsid w:val="2B0F14E8"/>
    <w:rsid w:val="2B3A8A15"/>
    <w:rsid w:val="2B6449E4"/>
    <w:rsid w:val="2B8DD77F"/>
    <w:rsid w:val="2BE9AF32"/>
    <w:rsid w:val="2BEAC5BC"/>
    <w:rsid w:val="2BEEF5CD"/>
    <w:rsid w:val="2C2E687B"/>
    <w:rsid w:val="2C69D666"/>
    <w:rsid w:val="2C70B2D1"/>
    <w:rsid w:val="2CD1F33F"/>
    <w:rsid w:val="2D493E7E"/>
    <w:rsid w:val="2D49C2DC"/>
    <w:rsid w:val="2E26A821"/>
    <w:rsid w:val="2E39721C"/>
    <w:rsid w:val="2EC30537"/>
    <w:rsid w:val="2EC43EAD"/>
    <w:rsid w:val="2F0D2462"/>
    <w:rsid w:val="2F7687F1"/>
    <w:rsid w:val="2FAE5617"/>
    <w:rsid w:val="2FEBB476"/>
    <w:rsid w:val="302C74FB"/>
    <w:rsid w:val="3063DF1F"/>
    <w:rsid w:val="30ACBB06"/>
    <w:rsid w:val="30C6933E"/>
    <w:rsid w:val="30D399FF"/>
    <w:rsid w:val="30EC2ECA"/>
    <w:rsid w:val="31042213"/>
    <w:rsid w:val="314D234B"/>
    <w:rsid w:val="3198BEC1"/>
    <w:rsid w:val="31A59E22"/>
    <w:rsid w:val="321635DA"/>
    <w:rsid w:val="32442911"/>
    <w:rsid w:val="325335B5"/>
    <w:rsid w:val="325909A0"/>
    <w:rsid w:val="3261C9BD"/>
    <w:rsid w:val="32664CC7"/>
    <w:rsid w:val="3280DF21"/>
    <w:rsid w:val="32ADC8A2"/>
    <w:rsid w:val="32D577D9"/>
    <w:rsid w:val="32EC6371"/>
    <w:rsid w:val="3314FED2"/>
    <w:rsid w:val="33B3E5B6"/>
    <w:rsid w:val="33EDD8A5"/>
    <w:rsid w:val="343E789A"/>
    <w:rsid w:val="34AE1E80"/>
    <w:rsid w:val="350E3CF8"/>
    <w:rsid w:val="353D64C2"/>
    <w:rsid w:val="354C2692"/>
    <w:rsid w:val="3575ABC2"/>
    <w:rsid w:val="35774E2D"/>
    <w:rsid w:val="357D3717"/>
    <w:rsid w:val="35CB9375"/>
    <w:rsid w:val="35CE41D3"/>
    <w:rsid w:val="35F6EFCD"/>
    <w:rsid w:val="360C4CB1"/>
    <w:rsid w:val="364228C4"/>
    <w:rsid w:val="36720385"/>
    <w:rsid w:val="3685CAB0"/>
    <w:rsid w:val="368B40FE"/>
    <w:rsid w:val="36C2C74F"/>
    <w:rsid w:val="370951DB"/>
    <w:rsid w:val="3736F551"/>
    <w:rsid w:val="379243EC"/>
    <w:rsid w:val="37980FC4"/>
    <w:rsid w:val="379D4CDC"/>
    <w:rsid w:val="37A19063"/>
    <w:rsid w:val="37D3E662"/>
    <w:rsid w:val="37E14FBE"/>
    <w:rsid w:val="37EC35DE"/>
    <w:rsid w:val="380C9F28"/>
    <w:rsid w:val="382CD1FD"/>
    <w:rsid w:val="386B5356"/>
    <w:rsid w:val="387CD1F0"/>
    <w:rsid w:val="387E43E6"/>
    <w:rsid w:val="38AC42A9"/>
    <w:rsid w:val="38E06B48"/>
    <w:rsid w:val="3901567E"/>
    <w:rsid w:val="3938A7DD"/>
    <w:rsid w:val="394C630F"/>
    <w:rsid w:val="398C69EA"/>
    <w:rsid w:val="39E2EC17"/>
    <w:rsid w:val="39EC83F0"/>
    <w:rsid w:val="3A03EFC3"/>
    <w:rsid w:val="3A46AB15"/>
    <w:rsid w:val="3A85A67B"/>
    <w:rsid w:val="3AD30740"/>
    <w:rsid w:val="3B0A488E"/>
    <w:rsid w:val="3B342D57"/>
    <w:rsid w:val="3B5274F1"/>
    <w:rsid w:val="3B52E9FE"/>
    <w:rsid w:val="3B6A787E"/>
    <w:rsid w:val="3B9506BB"/>
    <w:rsid w:val="3BD745DD"/>
    <w:rsid w:val="3BDB9BE0"/>
    <w:rsid w:val="3BE33918"/>
    <w:rsid w:val="3BFC6BC9"/>
    <w:rsid w:val="3C16B024"/>
    <w:rsid w:val="3C271CA2"/>
    <w:rsid w:val="3C47C409"/>
    <w:rsid w:val="3C82EBEF"/>
    <w:rsid w:val="3CDFE91D"/>
    <w:rsid w:val="3D0426B1"/>
    <w:rsid w:val="3D1DC426"/>
    <w:rsid w:val="3D3F8409"/>
    <w:rsid w:val="3D955277"/>
    <w:rsid w:val="3E026CA9"/>
    <w:rsid w:val="3E2F87FA"/>
    <w:rsid w:val="3E9E933F"/>
    <w:rsid w:val="3EFF26E9"/>
    <w:rsid w:val="3F0E5C1A"/>
    <w:rsid w:val="3F626C65"/>
    <w:rsid w:val="3F70107E"/>
    <w:rsid w:val="3F85465E"/>
    <w:rsid w:val="3FA2EF86"/>
    <w:rsid w:val="3FE2128E"/>
    <w:rsid w:val="40471C97"/>
    <w:rsid w:val="40A7E50E"/>
    <w:rsid w:val="40AA16B5"/>
    <w:rsid w:val="40BBE6C8"/>
    <w:rsid w:val="40D2FE40"/>
    <w:rsid w:val="40FF7107"/>
    <w:rsid w:val="4185784F"/>
    <w:rsid w:val="41E8ED60"/>
    <w:rsid w:val="421BFF51"/>
    <w:rsid w:val="4224A1E7"/>
    <w:rsid w:val="423BDDFE"/>
    <w:rsid w:val="423CF430"/>
    <w:rsid w:val="4297C39B"/>
    <w:rsid w:val="42EF635A"/>
    <w:rsid w:val="433678C5"/>
    <w:rsid w:val="438D71AA"/>
    <w:rsid w:val="43E6E328"/>
    <w:rsid w:val="43E9E39C"/>
    <w:rsid w:val="4414F159"/>
    <w:rsid w:val="4432C274"/>
    <w:rsid w:val="446B5022"/>
    <w:rsid w:val="44844EFD"/>
    <w:rsid w:val="44A8AC8E"/>
    <w:rsid w:val="44C6E903"/>
    <w:rsid w:val="44F3EB79"/>
    <w:rsid w:val="44FD9499"/>
    <w:rsid w:val="451AE6B9"/>
    <w:rsid w:val="45395AF4"/>
    <w:rsid w:val="454A89B5"/>
    <w:rsid w:val="45B98C16"/>
    <w:rsid w:val="45D6C6B7"/>
    <w:rsid w:val="460A83A0"/>
    <w:rsid w:val="4643BFDA"/>
    <w:rsid w:val="46623DC4"/>
    <w:rsid w:val="46645136"/>
    <w:rsid w:val="46DB360E"/>
    <w:rsid w:val="46E3FCCD"/>
    <w:rsid w:val="47889765"/>
    <w:rsid w:val="47E5EAAA"/>
    <w:rsid w:val="47E87608"/>
    <w:rsid w:val="483AACDE"/>
    <w:rsid w:val="48409B34"/>
    <w:rsid w:val="48BADDBE"/>
    <w:rsid w:val="48D02309"/>
    <w:rsid w:val="48DC3716"/>
    <w:rsid w:val="48DDAE9E"/>
    <w:rsid w:val="48F63EE9"/>
    <w:rsid w:val="4900AFCF"/>
    <w:rsid w:val="491ED78F"/>
    <w:rsid w:val="491ED87A"/>
    <w:rsid w:val="4947908B"/>
    <w:rsid w:val="495CE292"/>
    <w:rsid w:val="495F87E3"/>
    <w:rsid w:val="4965FEE4"/>
    <w:rsid w:val="49805929"/>
    <w:rsid w:val="49B6B7AC"/>
    <w:rsid w:val="49F03453"/>
    <w:rsid w:val="4A2805CF"/>
    <w:rsid w:val="4A2C790D"/>
    <w:rsid w:val="4A313BA3"/>
    <w:rsid w:val="4A50A4B1"/>
    <w:rsid w:val="4A525DF1"/>
    <w:rsid w:val="4A547EDA"/>
    <w:rsid w:val="4A667584"/>
    <w:rsid w:val="4A6DAECA"/>
    <w:rsid w:val="4A98A484"/>
    <w:rsid w:val="4AA8012A"/>
    <w:rsid w:val="4B0BC446"/>
    <w:rsid w:val="4B28D112"/>
    <w:rsid w:val="4B8C34E2"/>
    <w:rsid w:val="4B8CA720"/>
    <w:rsid w:val="4BAA1477"/>
    <w:rsid w:val="4BB5C368"/>
    <w:rsid w:val="4BE38D80"/>
    <w:rsid w:val="4C288B7E"/>
    <w:rsid w:val="4C3F632F"/>
    <w:rsid w:val="4C714CEC"/>
    <w:rsid w:val="4CBB8830"/>
    <w:rsid w:val="4CC54CB1"/>
    <w:rsid w:val="4CDA0EFB"/>
    <w:rsid w:val="4D4BEFD8"/>
    <w:rsid w:val="4D519787"/>
    <w:rsid w:val="4D712564"/>
    <w:rsid w:val="4D813321"/>
    <w:rsid w:val="4D87F6BC"/>
    <w:rsid w:val="4DE581B0"/>
    <w:rsid w:val="4E0FE4DE"/>
    <w:rsid w:val="4E11D1E2"/>
    <w:rsid w:val="4E3429B2"/>
    <w:rsid w:val="4E7C9288"/>
    <w:rsid w:val="4EBB83F3"/>
    <w:rsid w:val="4EC1F0DB"/>
    <w:rsid w:val="4F3EC9AB"/>
    <w:rsid w:val="4F89835F"/>
    <w:rsid w:val="4F9C77B5"/>
    <w:rsid w:val="4FC8B2D5"/>
    <w:rsid w:val="4FECC40D"/>
    <w:rsid w:val="4FF8DC4F"/>
    <w:rsid w:val="5015E9CB"/>
    <w:rsid w:val="5063F6B4"/>
    <w:rsid w:val="5089282C"/>
    <w:rsid w:val="50B510DE"/>
    <w:rsid w:val="50C3A366"/>
    <w:rsid w:val="51116BA5"/>
    <w:rsid w:val="5119AEB0"/>
    <w:rsid w:val="516F8C81"/>
    <w:rsid w:val="5173D474"/>
    <w:rsid w:val="51DD710B"/>
    <w:rsid w:val="520DB009"/>
    <w:rsid w:val="521B3064"/>
    <w:rsid w:val="5238FA7D"/>
    <w:rsid w:val="525A811C"/>
    <w:rsid w:val="52CDF3E9"/>
    <w:rsid w:val="52EF27A9"/>
    <w:rsid w:val="530A1F0B"/>
    <w:rsid w:val="5348E501"/>
    <w:rsid w:val="539BA753"/>
    <w:rsid w:val="53C392D2"/>
    <w:rsid w:val="53DBEB62"/>
    <w:rsid w:val="53E69E44"/>
    <w:rsid w:val="5411155C"/>
    <w:rsid w:val="548D6E65"/>
    <w:rsid w:val="550630BC"/>
    <w:rsid w:val="5543E347"/>
    <w:rsid w:val="555C3801"/>
    <w:rsid w:val="55A8F927"/>
    <w:rsid w:val="55C7AB6E"/>
    <w:rsid w:val="55DF1C5F"/>
    <w:rsid w:val="55F69FF5"/>
    <w:rsid w:val="55FB75F8"/>
    <w:rsid w:val="565B0844"/>
    <w:rsid w:val="5674CDC5"/>
    <w:rsid w:val="56B6BC62"/>
    <w:rsid w:val="56E1E95C"/>
    <w:rsid w:val="57099E20"/>
    <w:rsid w:val="576E34BD"/>
    <w:rsid w:val="57F97AE9"/>
    <w:rsid w:val="58391C73"/>
    <w:rsid w:val="587CF5FC"/>
    <w:rsid w:val="58A6C298"/>
    <w:rsid w:val="58CD5E60"/>
    <w:rsid w:val="59386732"/>
    <w:rsid w:val="595B4014"/>
    <w:rsid w:val="595EB136"/>
    <w:rsid w:val="59DE60A3"/>
    <w:rsid w:val="59DEA229"/>
    <w:rsid w:val="59E23670"/>
    <w:rsid w:val="5A08F21C"/>
    <w:rsid w:val="5A0FEFC4"/>
    <w:rsid w:val="5A124DF9"/>
    <w:rsid w:val="5A2E67A2"/>
    <w:rsid w:val="5A861768"/>
    <w:rsid w:val="5AAC41B4"/>
    <w:rsid w:val="5B5055A9"/>
    <w:rsid w:val="5B70B3AC"/>
    <w:rsid w:val="5BF2AC93"/>
    <w:rsid w:val="5BFBC2CD"/>
    <w:rsid w:val="5C029318"/>
    <w:rsid w:val="5C0972E7"/>
    <w:rsid w:val="5C0AB89E"/>
    <w:rsid w:val="5C214B32"/>
    <w:rsid w:val="5C64D4E2"/>
    <w:rsid w:val="5C99EEFB"/>
    <w:rsid w:val="5CACCC6E"/>
    <w:rsid w:val="5D44A44D"/>
    <w:rsid w:val="5D61BC72"/>
    <w:rsid w:val="5DB75099"/>
    <w:rsid w:val="5E0CA476"/>
    <w:rsid w:val="5E10503D"/>
    <w:rsid w:val="5E628476"/>
    <w:rsid w:val="5E96D8BA"/>
    <w:rsid w:val="5EF7BC60"/>
    <w:rsid w:val="5EF9FB35"/>
    <w:rsid w:val="5FA3286F"/>
    <w:rsid w:val="5FD94DBF"/>
    <w:rsid w:val="5FDA0A98"/>
    <w:rsid w:val="5FF63425"/>
    <w:rsid w:val="5FFAEB59"/>
    <w:rsid w:val="602AC51B"/>
    <w:rsid w:val="603132FC"/>
    <w:rsid w:val="60372407"/>
    <w:rsid w:val="60C6C5EC"/>
    <w:rsid w:val="61C4F344"/>
    <w:rsid w:val="62165F36"/>
    <w:rsid w:val="6268C5F0"/>
    <w:rsid w:val="62C57154"/>
    <w:rsid w:val="62DDD266"/>
    <w:rsid w:val="63001469"/>
    <w:rsid w:val="63345D80"/>
    <w:rsid w:val="6334F79D"/>
    <w:rsid w:val="633CD48D"/>
    <w:rsid w:val="638CBCC3"/>
    <w:rsid w:val="63AE023C"/>
    <w:rsid w:val="63E1AA08"/>
    <w:rsid w:val="63F626A8"/>
    <w:rsid w:val="64363BE3"/>
    <w:rsid w:val="644162D9"/>
    <w:rsid w:val="644733EE"/>
    <w:rsid w:val="6499E8A4"/>
    <w:rsid w:val="64CBE879"/>
    <w:rsid w:val="64CBEDDE"/>
    <w:rsid w:val="6521EFF9"/>
    <w:rsid w:val="65633810"/>
    <w:rsid w:val="65952404"/>
    <w:rsid w:val="6595D013"/>
    <w:rsid w:val="65BD4644"/>
    <w:rsid w:val="65DDD1E9"/>
    <w:rsid w:val="6602ACCD"/>
    <w:rsid w:val="6620F692"/>
    <w:rsid w:val="665EE276"/>
    <w:rsid w:val="6669198F"/>
    <w:rsid w:val="67231EB4"/>
    <w:rsid w:val="672C1A9C"/>
    <w:rsid w:val="67350747"/>
    <w:rsid w:val="67428BDD"/>
    <w:rsid w:val="67583E23"/>
    <w:rsid w:val="67ADC623"/>
    <w:rsid w:val="67CD8BBF"/>
    <w:rsid w:val="67FB631E"/>
    <w:rsid w:val="680B3672"/>
    <w:rsid w:val="6873A0FE"/>
    <w:rsid w:val="68935DAC"/>
    <w:rsid w:val="689CB93D"/>
    <w:rsid w:val="689D8230"/>
    <w:rsid w:val="68EC973B"/>
    <w:rsid w:val="68F17E15"/>
    <w:rsid w:val="698E17CB"/>
    <w:rsid w:val="6997B46A"/>
    <w:rsid w:val="699C4CF1"/>
    <w:rsid w:val="69A4681D"/>
    <w:rsid w:val="69CC94CF"/>
    <w:rsid w:val="69DFE2CF"/>
    <w:rsid w:val="6A12E579"/>
    <w:rsid w:val="6A1B7B78"/>
    <w:rsid w:val="6A4AF651"/>
    <w:rsid w:val="6A9C22F6"/>
    <w:rsid w:val="6AC8266D"/>
    <w:rsid w:val="6AD0993A"/>
    <w:rsid w:val="6AE21BF9"/>
    <w:rsid w:val="6BCA68D8"/>
    <w:rsid w:val="6BCC3C01"/>
    <w:rsid w:val="6BD30E92"/>
    <w:rsid w:val="6C815405"/>
    <w:rsid w:val="6CD9407B"/>
    <w:rsid w:val="6CD97F6C"/>
    <w:rsid w:val="6CDBBBC3"/>
    <w:rsid w:val="6D3226D1"/>
    <w:rsid w:val="6D3F45B2"/>
    <w:rsid w:val="6D404207"/>
    <w:rsid w:val="6D7D0A76"/>
    <w:rsid w:val="6D988DB3"/>
    <w:rsid w:val="6E2454DD"/>
    <w:rsid w:val="6E610263"/>
    <w:rsid w:val="6E6C45E6"/>
    <w:rsid w:val="6EE05775"/>
    <w:rsid w:val="6F5AC8ED"/>
    <w:rsid w:val="6F6A402B"/>
    <w:rsid w:val="6F7E7C74"/>
    <w:rsid w:val="6F862AE2"/>
    <w:rsid w:val="6FA98712"/>
    <w:rsid w:val="6FADE3CB"/>
    <w:rsid w:val="6FBD514D"/>
    <w:rsid w:val="6FC65FD5"/>
    <w:rsid w:val="7024DA46"/>
    <w:rsid w:val="703C7CEA"/>
    <w:rsid w:val="706EAA1B"/>
    <w:rsid w:val="70933128"/>
    <w:rsid w:val="70FDA024"/>
    <w:rsid w:val="7173EB39"/>
    <w:rsid w:val="719B13DE"/>
    <w:rsid w:val="7218D8E8"/>
    <w:rsid w:val="72287865"/>
    <w:rsid w:val="7237E854"/>
    <w:rsid w:val="73F3D76C"/>
    <w:rsid w:val="74419278"/>
    <w:rsid w:val="747650A3"/>
    <w:rsid w:val="74768261"/>
    <w:rsid w:val="7488B9C1"/>
    <w:rsid w:val="74A79966"/>
    <w:rsid w:val="74D74AFB"/>
    <w:rsid w:val="74F0009E"/>
    <w:rsid w:val="750E02C2"/>
    <w:rsid w:val="751EC74C"/>
    <w:rsid w:val="7526DBAC"/>
    <w:rsid w:val="7529C7AB"/>
    <w:rsid w:val="767A2C2C"/>
    <w:rsid w:val="776E3C10"/>
    <w:rsid w:val="77878A65"/>
    <w:rsid w:val="778B7969"/>
    <w:rsid w:val="7859DA5E"/>
    <w:rsid w:val="786490BA"/>
    <w:rsid w:val="78D50FFC"/>
    <w:rsid w:val="78F533FE"/>
    <w:rsid w:val="79073A02"/>
    <w:rsid w:val="791E6C39"/>
    <w:rsid w:val="7943EB9A"/>
    <w:rsid w:val="79861248"/>
    <w:rsid w:val="7991EB61"/>
    <w:rsid w:val="79B2C888"/>
    <w:rsid w:val="7A0EDA2A"/>
    <w:rsid w:val="7A1A93C0"/>
    <w:rsid w:val="7A4A622B"/>
    <w:rsid w:val="7A9C1FF4"/>
    <w:rsid w:val="7AB290DC"/>
    <w:rsid w:val="7AC62740"/>
    <w:rsid w:val="7AE38309"/>
    <w:rsid w:val="7AE47E05"/>
    <w:rsid w:val="7AFB0AEE"/>
    <w:rsid w:val="7B7DC5E5"/>
    <w:rsid w:val="7B9CAD6F"/>
    <w:rsid w:val="7BEC418E"/>
    <w:rsid w:val="7BFC03F0"/>
    <w:rsid w:val="7C2BB96F"/>
    <w:rsid w:val="7C46C27F"/>
    <w:rsid w:val="7C69A274"/>
    <w:rsid w:val="7C9E172B"/>
    <w:rsid w:val="7CD35514"/>
    <w:rsid w:val="7CDC529A"/>
    <w:rsid w:val="7CEED3F2"/>
    <w:rsid w:val="7CEF1C4E"/>
    <w:rsid w:val="7D0768B1"/>
    <w:rsid w:val="7D1AF6EF"/>
    <w:rsid w:val="7D1CF54E"/>
    <w:rsid w:val="7D2090E4"/>
    <w:rsid w:val="7D4B0F8F"/>
    <w:rsid w:val="7D5A4FCB"/>
    <w:rsid w:val="7D646C0D"/>
    <w:rsid w:val="7D6CB63B"/>
    <w:rsid w:val="7D7F61B4"/>
    <w:rsid w:val="7D83052D"/>
    <w:rsid w:val="7D846523"/>
    <w:rsid w:val="7DD04102"/>
    <w:rsid w:val="7E5F36FF"/>
    <w:rsid w:val="7EA593B1"/>
    <w:rsid w:val="7EDCB167"/>
    <w:rsid w:val="7EE10B65"/>
    <w:rsid w:val="7F17E36A"/>
    <w:rsid w:val="7F77A05F"/>
    <w:rsid w:val="7F884A89"/>
    <w:rsid w:val="7FAED086"/>
    <w:rsid w:val="7FB341D9"/>
    <w:rsid w:val="7FD236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40C4"/>
  <w15:docId w15:val="{BAE4D81A-C08A-41EA-AE74-FB755BE61E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59BD"/>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E64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E649C"/>
    <w:rPr>
      <w:rFonts w:ascii="Tahoma" w:hAnsi="Tahoma" w:cs="Tahoma"/>
      <w:sz w:val="16"/>
      <w:szCs w:val="16"/>
    </w:rPr>
  </w:style>
  <w:style w:type="table" w:styleId="TableGrid">
    <w:name w:val="Table Grid"/>
    <w:basedOn w:val="TableNormal"/>
    <w:uiPriority w:val="59"/>
    <w:rsid w:val="00DE64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Colorful List - Accent 11,Bullet 1"/>
    <w:basedOn w:val="Normal"/>
    <w:link w:val="ListParagraphChar"/>
    <w:uiPriority w:val="34"/>
    <w:qFormat/>
    <w:rsid w:val="00DE649C"/>
    <w:pPr>
      <w:spacing w:after="0" w:line="240" w:lineRule="auto"/>
      <w:ind w:left="720"/>
      <w:contextualSpacing/>
    </w:pPr>
    <w:rPr>
      <w:rFonts w:ascii="Arial" w:hAnsi="Arial" w:eastAsia="Times New Roman" w:cs="Times New Roman"/>
      <w:szCs w:val="24"/>
      <w:lang w:eastAsia="en-GB"/>
    </w:rPr>
  </w:style>
  <w:style w:type="paragraph" w:styleId="FootnoteText">
    <w:name w:val="footnote text"/>
    <w:basedOn w:val="Normal"/>
    <w:link w:val="FootnoteTextChar"/>
    <w:uiPriority w:val="99"/>
    <w:semiHidden/>
    <w:unhideWhenUsed/>
    <w:rsid w:val="00DE649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E649C"/>
    <w:rPr>
      <w:sz w:val="20"/>
      <w:szCs w:val="20"/>
    </w:rPr>
  </w:style>
  <w:style w:type="character" w:styleId="FootnoteReference">
    <w:name w:val="footnote reference"/>
    <w:basedOn w:val="DefaultParagraphFont"/>
    <w:uiPriority w:val="99"/>
    <w:semiHidden/>
    <w:unhideWhenUsed/>
    <w:rsid w:val="00DE649C"/>
    <w:rPr>
      <w:vertAlign w:val="superscript"/>
    </w:rPr>
  </w:style>
  <w:style w:type="paragraph" w:styleId="Header">
    <w:name w:val="header"/>
    <w:basedOn w:val="Normal"/>
    <w:link w:val="HeaderChar"/>
    <w:uiPriority w:val="99"/>
    <w:unhideWhenUsed/>
    <w:rsid w:val="00DE64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E649C"/>
  </w:style>
  <w:style w:type="paragraph" w:styleId="Footer">
    <w:name w:val="footer"/>
    <w:basedOn w:val="Normal"/>
    <w:link w:val="FooterChar"/>
    <w:uiPriority w:val="99"/>
    <w:unhideWhenUsed/>
    <w:rsid w:val="00DE64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649C"/>
  </w:style>
  <w:style w:type="paragraph" w:styleId="stp" w:customStyle="1">
    <w:name w:val="stp"/>
    <w:rsid w:val="006022B9"/>
  </w:style>
  <w:style w:type="character" w:styleId="Heading1Char" w:customStyle="1">
    <w:name w:val="Heading 1 Char"/>
    <w:basedOn w:val="DefaultParagraphFont"/>
    <w:link w:val="Heading1"/>
    <w:uiPriority w:val="9"/>
    <w:rsid w:val="00BB59BD"/>
    <w:rPr>
      <w:rFonts w:asciiTheme="majorHAnsi" w:hAnsiTheme="majorHAnsi" w:eastAsiaTheme="majorEastAsia" w:cstheme="majorBidi"/>
      <w:b/>
      <w:bCs/>
      <w:color w:val="365F91" w:themeColor="accent1" w:themeShade="BF"/>
      <w:sz w:val="28"/>
      <w:szCs w:val="28"/>
    </w:rPr>
  </w:style>
  <w:style w:type="paragraph" w:styleId="NoSpacing">
    <w:name w:val="No Spacing"/>
    <w:uiPriority w:val="1"/>
    <w:qFormat/>
    <w:rsid w:val="00BB59BD"/>
    <w:pPr>
      <w:spacing w:after="0" w:line="240" w:lineRule="auto"/>
    </w:pPr>
  </w:style>
  <w:style w:type="table" w:styleId="TableGrid1" w:customStyle="1">
    <w:name w:val="Table Grid1"/>
    <w:basedOn w:val="TableNormal"/>
    <w:next w:val="TableGrid"/>
    <w:uiPriority w:val="59"/>
    <w:rsid w:val="005A34F4"/>
    <w:pPr>
      <w:spacing w:after="0" w:line="240" w:lineRule="auto"/>
    </w:pPr>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uiPriority w:val="1"/>
    <w:rsid w:val="360C4CB1"/>
    <w:pPr>
      <w:spacing w:beforeAutospacing="1" w:afterAutospacing="1" w:line="240" w:lineRule="auto"/>
    </w:pPr>
    <w:rPr>
      <w:rFonts w:eastAsiaTheme="minorEastAsia"/>
      <w:sz w:val="24"/>
      <w:szCs w:val="24"/>
      <w:lang w:eastAsia="en-GB"/>
    </w:rPr>
  </w:style>
  <w:style w:type="character" w:styleId="contentpasted0" w:customStyle="1">
    <w:name w:val="contentpasted0"/>
    <w:basedOn w:val="DefaultParagraphFont"/>
    <w:uiPriority w:val="1"/>
    <w:rsid w:val="360C4CB1"/>
    <w:rPr>
      <w:rFonts w:asciiTheme="minorHAnsi" w:hAnsiTheme="minorHAnsi" w:eastAsiaTheme="minorEastAsia" w:cstheme="minorBidi"/>
      <w:sz w:val="22"/>
      <w:szCs w:val="22"/>
    </w:rPr>
  </w:style>
  <w:style w:type="paragraph" w:styleId="Default" w:customStyle="1">
    <w:name w:val="Default"/>
    <w:basedOn w:val="Normal"/>
    <w:rsid w:val="360C4CB1"/>
    <w:pPr>
      <w:spacing w:after="0" w:line="240" w:lineRule="auto"/>
    </w:pPr>
    <w:rPr>
      <w:rFonts w:eastAsiaTheme="minorEastAsia"/>
      <w:color w:val="000000" w:themeColor="text1"/>
      <w:sz w:val="24"/>
      <w:szCs w:val="24"/>
    </w:rPr>
  </w:style>
  <w:style w:type="character" w:styleId="ListParagraphChar" w:customStyle="1">
    <w:name w:val="List Paragraph Char"/>
    <w:aliases w:val="F5 List Paragraph Char,List Paragraph1 Char,Dot pt Char,No Spacing1 Char,List Paragraph Char Char Char Char,Indicator Text Char,Numbered Para 1 Char,Bullet Points Char,MAIN CONTENT Char,List Paragraph12 Char,Bullet Style Char"/>
    <w:basedOn w:val="DefaultParagraphFont"/>
    <w:link w:val="ListParagraph"/>
    <w:uiPriority w:val="34"/>
    <w:rsid w:val="00D62B4B"/>
    <w:rPr>
      <w:rFonts w:ascii="Arial" w:hAnsi="Arial" w:eastAsia="Times New Roman" w:cs="Times New Roman"/>
      <w:szCs w:val="24"/>
      <w:lang w:eastAsia="en-GB"/>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Numberlist" w:customStyle="1">
    <w:name w:val="Number list"/>
    <w:basedOn w:val="ListParagraph"/>
    <w:link w:val="NumberlistChar"/>
    <w:qFormat/>
    <w:rsid w:val="003A47B2"/>
    <w:pPr>
      <w:numPr>
        <w:numId w:val="8"/>
      </w:numPr>
      <w:spacing w:after="200" w:line="276" w:lineRule="auto"/>
    </w:pPr>
    <w:rPr>
      <w:rFonts w:cs="Arial"/>
      <w:sz w:val="24"/>
    </w:rPr>
  </w:style>
  <w:style w:type="character" w:styleId="NumberlistChar" w:customStyle="1">
    <w:name w:val="Number list Char"/>
    <w:basedOn w:val="ListParagraphChar"/>
    <w:link w:val="Numberlist"/>
    <w:rsid w:val="003A47B2"/>
    <w:rPr>
      <w:rFonts w:ascii="Arial" w:hAnsi="Arial" w:eastAsia="Times New Roman" w:cs="Arial"/>
      <w:sz w:val="24"/>
      <w:szCs w:val="24"/>
      <w:lang w:eastAsia="en-GB"/>
    </w:rPr>
  </w:style>
  <w:style w:type="paragraph" w:styleId="PlainText">
    <w:name w:val="Plain Text"/>
    <w:basedOn w:val="Normal"/>
    <w:link w:val="PlainTextChar"/>
    <w:uiPriority w:val="99"/>
    <w:unhideWhenUsed/>
    <w:rsid w:val="001F7522"/>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1F7522"/>
    <w:rPr>
      <w:rFonts w:ascii="Calibri" w:hAnsi="Calibri"/>
      <w:szCs w:val="21"/>
    </w:rPr>
  </w:style>
  <w:style w:type="paragraph" w:styleId="CommentSubject">
    <w:name w:val="Comment Subject"/>
    <w:basedOn w:val="CommentText"/>
    <w:next w:val="CommentText"/>
    <w:link w:val="CommentSubjectChar"/>
    <w:uiPriority w:val="99"/>
    <w:semiHidden/>
    <w:unhideWhenUsed/>
    <w:rsid w:val="002D01CB"/>
    <w:rPr>
      <w:b/>
      <w:bCs/>
    </w:rPr>
  </w:style>
  <w:style w:type="character" w:styleId="CommentSubjectChar" w:customStyle="1">
    <w:name w:val="Comment Subject Char"/>
    <w:basedOn w:val="CommentTextChar"/>
    <w:link w:val="CommentSubject"/>
    <w:uiPriority w:val="99"/>
    <w:semiHidden/>
    <w:rsid w:val="002D01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6511">
      <w:bodyDiv w:val="1"/>
      <w:marLeft w:val="0"/>
      <w:marRight w:val="0"/>
      <w:marTop w:val="0"/>
      <w:marBottom w:val="0"/>
      <w:divBdr>
        <w:top w:val="none" w:sz="0" w:space="0" w:color="auto"/>
        <w:left w:val="none" w:sz="0" w:space="0" w:color="auto"/>
        <w:bottom w:val="none" w:sz="0" w:space="0" w:color="auto"/>
        <w:right w:val="none" w:sz="0" w:space="0" w:color="auto"/>
      </w:divBdr>
    </w:div>
    <w:div w:id="1131047998">
      <w:bodyDiv w:val="1"/>
      <w:marLeft w:val="0"/>
      <w:marRight w:val="0"/>
      <w:marTop w:val="0"/>
      <w:marBottom w:val="0"/>
      <w:divBdr>
        <w:top w:val="none" w:sz="0" w:space="0" w:color="auto"/>
        <w:left w:val="none" w:sz="0" w:space="0" w:color="auto"/>
        <w:bottom w:val="none" w:sz="0" w:space="0" w:color="auto"/>
        <w:right w:val="none" w:sz="0" w:space="0" w:color="auto"/>
      </w:divBdr>
    </w:div>
    <w:div w:id="1240099783">
      <w:bodyDiv w:val="1"/>
      <w:marLeft w:val="0"/>
      <w:marRight w:val="0"/>
      <w:marTop w:val="0"/>
      <w:marBottom w:val="0"/>
      <w:divBdr>
        <w:top w:val="none" w:sz="0" w:space="0" w:color="auto"/>
        <w:left w:val="none" w:sz="0" w:space="0" w:color="auto"/>
        <w:bottom w:val="none" w:sz="0" w:space="0" w:color="auto"/>
        <w:right w:val="none" w:sz="0" w:space="0" w:color="auto"/>
      </w:divBdr>
    </w:div>
    <w:div w:id="1599018996">
      <w:bodyDiv w:val="1"/>
      <w:marLeft w:val="0"/>
      <w:marRight w:val="0"/>
      <w:marTop w:val="0"/>
      <w:marBottom w:val="0"/>
      <w:divBdr>
        <w:top w:val="none" w:sz="0" w:space="0" w:color="auto"/>
        <w:left w:val="none" w:sz="0" w:space="0" w:color="auto"/>
        <w:bottom w:val="none" w:sz="0" w:space="0" w:color="auto"/>
        <w:right w:val="none" w:sz="0" w:space="0" w:color="auto"/>
      </w:divBdr>
    </w:div>
    <w:div w:id="20080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0B09-08B9-411E-9290-A9A29872A4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E13D223-DE75-4BE6-A950-519C2104F42A}">
  <ds:schemaRefs>
    <ds:schemaRef ds:uri="http://schemas.microsoft.com/sharepoint/v3/contenttype/forms"/>
  </ds:schemaRefs>
</ds:datastoreItem>
</file>

<file path=customXml/itemProps3.xml><?xml version="1.0" encoding="utf-8"?>
<ds:datastoreItem xmlns:ds="http://schemas.openxmlformats.org/officeDocument/2006/customXml" ds:itemID="{0EBC9541-2D5F-4E1B-95B7-4CA5CD86F490}"/>
</file>

<file path=customXml/itemProps4.xml><?xml version="1.0" encoding="utf-8"?>
<ds:datastoreItem xmlns:ds="http://schemas.openxmlformats.org/officeDocument/2006/customXml" ds:itemID="{0FF878DB-B13C-4463-BB1D-A88FAB45830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Brown Catherine (CSRCCG)</dc:creator>
  <keywords/>
  <lastModifiedBy>MOORE, Rachael (NHS LANCASHIRE AND SOUTH CUMBRIA ICB - 00R)</lastModifiedBy>
  <revision>257</revision>
  <lastPrinted>2017-03-16T04:21:00.0000000Z</lastPrinted>
  <dcterms:created xsi:type="dcterms:W3CDTF">2026-01-16T08:32:00.0000000Z</dcterms:created>
  <dcterms:modified xsi:type="dcterms:W3CDTF">2026-05-22T09:26:45.7294924Z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y fmtid="{D5CDD505-2E9C-101B-9397-08002B2CF9AE}" pid="9" name="_dlc_DocIdItemGuid">
    <vt:lpwstr>33d8cf24-84d5-476b-b96f-dceee33e0db7</vt:lpwstr>
  </property>
  <property fmtid="{D5CDD505-2E9C-101B-9397-08002B2CF9AE}" pid="10" name="Order">
    <vt:r8>19900</vt:r8>
  </property>
  <property fmtid="{D5CDD505-2E9C-101B-9397-08002B2CF9AE}" pid="11" name="TriggerFlowInfo">
    <vt:lpwstr/>
  </property>
  <property fmtid="{D5CDD505-2E9C-101B-9397-08002B2CF9AE}" pid="12" name="ComplianceAssetId">
    <vt:lpwstr/>
  </property>
  <property fmtid="{D5CDD505-2E9C-101B-9397-08002B2CF9AE}" pid="13" name="docLang">
    <vt:lpwstr>en</vt:lpwstr>
  </property>
</Properties>
</file>