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34"/>
        <w:gridCol w:w="3118"/>
        <w:gridCol w:w="3261"/>
        <w:gridCol w:w="850"/>
        <w:gridCol w:w="2517"/>
        <w:gridCol w:w="2674"/>
      </w:tblGrid>
      <w:tr w:rsidR="00D712DF" w:rsidRPr="00DB5A1C" w14:paraId="61F3930E" w14:textId="77777777" w:rsidTr="00DB150B">
        <w:trPr>
          <w:tblHeader/>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0613E5D5" w14:textId="192153CB" w:rsidR="00D712DF" w:rsidRPr="00DB5A1C" w:rsidRDefault="00D712DF" w:rsidP="55E3A9ED">
            <w:pPr>
              <w:jc w:val="center"/>
              <w:rPr>
                <w:rFonts w:ascii="Arial" w:eastAsia="Arial" w:hAnsi="Arial" w:cs="Arial"/>
                <w:b/>
                <w:bCs/>
                <w:color w:val="FFFFFF" w:themeColor="background1"/>
              </w:rPr>
            </w:pPr>
            <w:r w:rsidRPr="7336AE03">
              <w:rPr>
                <w:rFonts w:ascii="Arial" w:eastAsia="Arial" w:hAnsi="Arial" w:cs="Arial"/>
                <w:b/>
                <w:bCs/>
                <w:color w:val="FFFFFF" w:themeColor="background1"/>
              </w:rPr>
              <w:t xml:space="preserve">Min Ref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4464C284" w14:textId="77777777" w:rsidR="00D712DF" w:rsidRPr="00DB5A1C" w:rsidRDefault="00D712DF" w:rsidP="002076ED">
            <w:pPr>
              <w:jc w:val="center"/>
              <w:rPr>
                <w:rFonts w:ascii="Arial" w:eastAsia="Arial" w:hAnsi="Arial" w:cs="Arial"/>
                <w:b/>
                <w:color w:val="FFFFFF" w:themeColor="background1"/>
              </w:rPr>
            </w:pPr>
            <w:r>
              <w:rPr>
                <w:rFonts w:ascii="Arial" w:eastAsia="Arial" w:hAnsi="Arial" w:cs="Arial"/>
                <w:b/>
                <w:color w:val="FFFFFF" w:themeColor="background1"/>
              </w:rPr>
              <w:t>Meeting date</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40" w:type="dxa"/>
              <w:left w:w="40" w:type="dxa"/>
              <w:bottom w:w="40" w:type="dxa"/>
              <w:right w:w="40" w:type="dxa"/>
            </w:tcMar>
          </w:tcPr>
          <w:p w14:paraId="68872D40" w14:textId="75C4FF34" w:rsidR="00D712DF" w:rsidRPr="00DB5A1C" w:rsidRDefault="00D712DF" w:rsidP="00B26EB6">
            <w:pPr>
              <w:rPr>
                <w:rFonts w:ascii="Arial" w:eastAsia="Arial" w:hAnsi="Arial" w:cs="Arial"/>
                <w:b/>
                <w:color w:val="FFFFFF" w:themeColor="background1"/>
              </w:rPr>
            </w:pPr>
            <w:r>
              <w:rPr>
                <w:rFonts w:ascii="Arial" w:eastAsia="Arial" w:hAnsi="Arial" w:cs="Arial"/>
                <w:b/>
                <w:color w:val="FFFFFF" w:themeColor="background1"/>
              </w:rPr>
              <w:t>Agenda item</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3A78F45B" w14:textId="3CCD2BF6" w:rsidR="00D712DF" w:rsidRDefault="00D712DF" w:rsidP="002076ED">
            <w:pPr>
              <w:jc w:val="center"/>
              <w:rPr>
                <w:rFonts w:ascii="Arial" w:eastAsia="Arial" w:hAnsi="Arial" w:cs="Arial"/>
                <w:b/>
                <w:color w:val="FFFFFF" w:themeColor="background1"/>
              </w:rPr>
            </w:pPr>
            <w:r>
              <w:rPr>
                <w:rFonts w:ascii="Arial" w:eastAsia="Arial" w:hAnsi="Arial" w:cs="Arial"/>
                <w:b/>
                <w:color w:val="FFFFFF" w:themeColor="background1"/>
              </w:rPr>
              <w:t>Recommendation</w:t>
            </w:r>
          </w:p>
        </w:tc>
        <w:tc>
          <w:tcPr>
            <w:tcW w:w="850" w:type="dxa"/>
            <w:shd w:val="clear" w:color="auto" w:fill="0070C0"/>
          </w:tcPr>
          <w:p w14:paraId="3D62516B" w14:textId="6A90C6D6" w:rsidR="00D712DF" w:rsidRDefault="00D712DF" w:rsidP="00AA0DFF">
            <w:pPr>
              <w:jc w:val="center"/>
              <w:rPr>
                <w:rFonts w:ascii="Arial" w:eastAsia="Arial" w:hAnsi="Arial" w:cs="Arial"/>
                <w:b/>
                <w:color w:val="FFFFFF" w:themeColor="background1"/>
              </w:rPr>
            </w:pPr>
            <w:r>
              <w:rPr>
                <w:rFonts w:ascii="Arial" w:eastAsia="Arial" w:hAnsi="Arial" w:cs="Arial"/>
                <w:b/>
                <w:color w:val="FFFFFF" w:themeColor="background1"/>
              </w:rPr>
              <w:t>L</w:t>
            </w:r>
            <w:r w:rsidR="004D7E42">
              <w:rPr>
                <w:rFonts w:ascii="Arial" w:eastAsia="Arial" w:hAnsi="Arial" w:cs="Arial"/>
                <w:b/>
                <w:color w:val="FFFFFF" w:themeColor="background1"/>
              </w:rPr>
              <w:t>ead</w:t>
            </w:r>
          </w:p>
        </w:tc>
        <w:tc>
          <w:tcPr>
            <w:tcW w:w="2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38F99EC9" w14:textId="620D9036" w:rsidR="00D712DF" w:rsidRPr="00DB5A1C" w:rsidRDefault="00D712DF" w:rsidP="002076ED">
            <w:pPr>
              <w:jc w:val="center"/>
              <w:rPr>
                <w:rFonts w:ascii="Arial" w:eastAsia="Arial" w:hAnsi="Arial" w:cs="Arial"/>
                <w:b/>
                <w:color w:val="FFFFFF" w:themeColor="background1"/>
              </w:rPr>
            </w:pPr>
            <w:r>
              <w:rPr>
                <w:rFonts w:ascii="Arial" w:eastAsia="Arial" w:hAnsi="Arial" w:cs="Arial"/>
                <w:b/>
                <w:color w:val="FFFFFF" w:themeColor="background1"/>
              </w:rPr>
              <w:t>Decision</w:t>
            </w:r>
          </w:p>
        </w:tc>
        <w:tc>
          <w:tcPr>
            <w:tcW w:w="2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40" w:type="dxa"/>
              <w:left w:w="40" w:type="dxa"/>
              <w:bottom w:w="40" w:type="dxa"/>
              <w:right w:w="40" w:type="dxa"/>
            </w:tcMar>
          </w:tcPr>
          <w:p w14:paraId="2EE6A924" w14:textId="7519442F" w:rsidR="00D712DF" w:rsidRPr="00DB5A1C" w:rsidRDefault="00D712DF" w:rsidP="002076ED">
            <w:pPr>
              <w:jc w:val="center"/>
              <w:rPr>
                <w:rFonts w:ascii="Arial" w:eastAsia="Arial" w:hAnsi="Arial" w:cs="Arial"/>
                <w:b/>
                <w:color w:val="FFFFFF" w:themeColor="background1"/>
              </w:rPr>
            </w:pPr>
            <w:r>
              <w:rPr>
                <w:rFonts w:ascii="Arial" w:eastAsia="Arial" w:hAnsi="Arial" w:cs="Arial"/>
                <w:b/>
                <w:color w:val="FFFFFF" w:themeColor="background1"/>
              </w:rPr>
              <w:t>Any further required action</w:t>
            </w:r>
          </w:p>
        </w:tc>
      </w:tr>
      <w:tr w:rsidR="00B31438" w:rsidRPr="00B31438" w14:paraId="75F669A3" w14:textId="77777777" w:rsidTr="00DB150B">
        <w:trPr>
          <w:tblHeader/>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0D862A" w14:textId="5C3F4745" w:rsidR="00B31438" w:rsidRPr="00DB1477" w:rsidRDefault="00FB5C34" w:rsidP="55E3A9ED">
            <w:pPr>
              <w:jc w:val="center"/>
              <w:rPr>
                <w:rFonts w:ascii="Arial" w:eastAsia="Arial" w:hAnsi="Arial" w:cs="Arial"/>
                <w:b/>
                <w:bCs/>
                <w:sz w:val="18"/>
                <w:szCs w:val="18"/>
              </w:rPr>
            </w:pPr>
            <w:r w:rsidRPr="00DB1477">
              <w:rPr>
                <w:rFonts w:ascii="Arial" w:eastAsia="Arial" w:hAnsi="Arial" w:cs="Arial"/>
                <w:b/>
                <w:bCs/>
                <w:sz w:val="18"/>
                <w:szCs w:val="18"/>
              </w:rPr>
              <w:t>014</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E0CD41" w14:textId="441A9A0E" w:rsidR="00B31438" w:rsidRPr="00DB1477" w:rsidRDefault="00160298" w:rsidP="002076ED">
            <w:pPr>
              <w:jc w:val="center"/>
              <w:rPr>
                <w:rFonts w:ascii="Arial" w:eastAsia="Arial" w:hAnsi="Arial" w:cs="Arial"/>
                <w:b/>
                <w:sz w:val="18"/>
                <w:szCs w:val="18"/>
              </w:rPr>
            </w:pPr>
            <w:r>
              <w:rPr>
                <w:rFonts w:ascii="Arial" w:eastAsia="Arial" w:hAnsi="Arial" w:cs="Arial"/>
                <w:b/>
                <w:sz w:val="18"/>
                <w:szCs w:val="18"/>
              </w:rPr>
              <w:t>12</w:t>
            </w:r>
            <w:r w:rsidR="00814A2C" w:rsidRPr="00DB1477">
              <w:rPr>
                <w:rFonts w:ascii="Arial" w:eastAsia="Arial" w:hAnsi="Arial" w:cs="Arial"/>
                <w:b/>
                <w:sz w:val="18"/>
                <w:szCs w:val="18"/>
              </w:rPr>
              <w:t>.02.26</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602F01D7" w14:textId="4913A40F" w:rsidR="00B31438" w:rsidRPr="00DB1477" w:rsidRDefault="00814A2C" w:rsidP="00B26EB6">
            <w:pPr>
              <w:rPr>
                <w:rFonts w:ascii="Arial" w:eastAsia="Arial" w:hAnsi="Arial" w:cs="Arial"/>
                <w:b/>
                <w:sz w:val="18"/>
                <w:szCs w:val="18"/>
              </w:rPr>
            </w:pPr>
            <w:r w:rsidRPr="00DB1477">
              <w:rPr>
                <w:rFonts w:ascii="Arial" w:eastAsia="Arial" w:hAnsi="Arial" w:cs="Arial"/>
                <w:b/>
                <w:sz w:val="18"/>
                <w:szCs w:val="18"/>
              </w:rPr>
              <w:t>Dental Commissioning Plan</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DE5F6E" w14:textId="77777777" w:rsidR="00B31438" w:rsidRDefault="00F60AED" w:rsidP="00814A2C">
            <w:pPr>
              <w:rPr>
                <w:rFonts w:ascii="Arial" w:eastAsia="Arial" w:hAnsi="Arial" w:cs="Arial"/>
                <w:b/>
                <w:sz w:val="18"/>
                <w:szCs w:val="18"/>
              </w:rPr>
            </w:pPr>
            <w:r w:rsidRPr="00DB1477">
              <w:rPr>
                <w:rFonts w:ascii="Arial" w:eastAsia="Arial" w:hAnsi="Arial" w:cs="Arial"/>
                <w:b/>
                <w:sz w:val="18"/>
                <w:szCs w:val="18"/>
              </w:rPr>
              <w:t xml:space="preserve">The </w:t>
            </w:r>
            <w:proofErr w:type="spellStart"/>
            <w:r w:rsidRPr="00DB1477">
              <w:rPr>
                <w:rFonts w:ascii="Arial" w:eastAsia="Arial" w:hAnsi="Arial" w:cs="Arial"/>
                <w:b/>
                <w:sz w:val="18"/>
                <w:szCs w:val="18"/>
              </w:rPr>
              <w:t>PCCSc</w:t>
            </w:r>
            <w:proofErr w:type="spellEnd"/>
            <w:r w:rsidRPr="00DB1477">
              <w:rPr>
                <w:rFonts w:ascii="Arial" w:eastAsia="Arial" w:hAnsi="Arial" w:cs="Arial"/>
                <w:b/>
                <w:sz w:val="18"/>
                <w:szCs w:val="18"/>
              </w:rPr>
              <w:t xml:space="preserve"> agreed to recommend to the Executive Committee</w:t>
            </w:r>
            <w:r w:rsidR="00DB150B" w:rsidRPr="00DB1477">
              <w:rPr>
                <w:rFonts w:ascii="Arial" w:eastAsia="Arial" w:hAnsi="Arial" w:cs="Arial"/>
                <w:b/>
                <w:sz w:val="18"/>
                <w:szCs w:val="18"/>
              </w:rPr>
              <w:t xml:space="preserve"> the approval of Year 2 of the Dental Commissioning Plan</w:t>
            </w:r>
          </w:p>
          <w:p w14:paraId="06667D09" w14:textId="189CEB53" w:rsidR="00E710D9" w:rsidRPr="00DB1477" w:rsidRDefault="00E710D9" w:rsidP="00814A2C">
            <w:pPr>
              <w:rPr>
                <w:rFonts w:ascii="Arial" w:eastAsia="Arial" w:hAnsi="Arial" w:cs="Arial"/>
                <w:b/>
                <w:sz w:val="18"/>
                <w:szCs w:val="18"/>
              </w:rPr>
            </w:pPr>
          </w:p>
        </w:tc>
        <w:tc>
          <w:tcPr>
            <w:tcW w:w="850" w:type="dxa"/>
            <w:shd w:val="clear" w:color="auto" w:fill="FFFFFF" w:themeFill="background1"/>
          </w:tcPr>
          <w:p w14:paraId="24D77346" w14:textId="1C4D5371" w:rsidR="00B31438" w:rsidRPr="00DB1477" w:rsidRDefault="001E0E16" w:rsidP="00AA0DFF">
            <w:pPr>
              <w:jc w:val="center"/>
              <w:rPr>
                <w:rFonts w:ascii="Arial" w:eastAsia="Arial" w:hAnsi="Arial" w:cs="Arial"/>
                <w:b/>
                <w:sz w:val="18"/>
                <w:szCs w:val="18"/>
              </w:rPr>
            </w:pPr>
            <w:r w:rsidRPr="00DB1477">
              <w:rPr>
                <w:rFonts w:ascii="Arial" w:eastAsia="Arial" w:hAnsi="Arial" w:cs="Arial"/>
                <w:b/>
                <w:sz w:val="18"/>
                <w:szCs w:val="18"/>
              </w:rPr>
              <w:t>AL</w:t>
            </w:r>
          </w:p>
        </w:tc>
        <w:tc>
          <w:tcPr>
            <w:tcW w:w="2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6E1653" w14:textId="00B8F33E" w:rsidR="00B31438" w:rsidRPr="00DB1477" w:rsidRDefault="00F026F2" w:rsidP="00A30745">
            <w:pPr>
              <w:rPr>
                <w:rFonts w:ascii="Arial" w:eastAsia="Arial" w:hAnsi="Arial" w:cs="Arial"/>
                <w:b/>
                <w:sz w:val="18"/>
                <w:szCs w:val="18"/>
              </w:rPr>
            </w:pPr>
            <w:r>
              <w:rPr>
                <w:rFonts w:ascii="Arial" w:eastAsia="Arial" w:hAnsi="Arial" w:cs="Arial"/>
                <w:b/>
                <w:sz w:val="18"/>
                <w:szCs w:val="18"/>
              </w:rPr>
              <w:t>24.02.26</w:t>
            </w:r>
            <w:r w:rsidR="00415F4E">
              <w:rPr>
                <w:rFonts w:ascii="Arial" w:eastAsia="Arial" w:hAnsi="Arial" w:cs="Arial"/>
                <w:b/>
                <w:sz w:val="18"/>
                <w:szCs w:val="18"/>
              </w:rPr>
              <w:t>:  The Primary Care Executive Committee</w:t>
            </w:r>
            <w:r w:rsidR="002D3B30">
              <w:rPr>
                <w:rFonts w:ascii="Arial" w:eastAsia="Arial" w:hAnsi="Arial" w:cs="Arial"/>
                <w:b/>
                <w:sz w:val="18"/>
                <w:szCs w:val="18"/>
              </w:rPr>
              <w:t xml:space="preserve"> received and noted the </w:t>
            </w:r>
            <w:r w:rsidR="000C06EE">
              <w:rPr>
                <w:rFonts w:ascii="Arial" w:eastAsia="Arial" w:hAnsi="Arial" w:cs="Arial"/>
                <w:b/>
                <w:sz w:val="18"/>
                <w:szCs w:val="18"/>
              </w:rPr>
              <w:t xml:space="preserve">year 2 Commissioning Plan </w:t>
            </w:r>
            <w:r w:rsidR="004E2E59">
              <w:rPr>
                <w:rFonts w:ascii="Arial" w:eastAsia="Arial" w:hAnsi="Arial" w:cs="Arial"/>
                <w:b/>
                <w:sz w:val="18"/>
                <w:szCs w:val="18"/>
              </w:rPr>
              <w:t>raising no issues or exceptions.</w:t>
            </w:r>
          </w:p>
        </w:tc>
        <w:tc>
          <w:tcPr>
            <w:tcW w:w="2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325B5C73" w14:textId="4C31924D" w:rsidR="00CF2431" w:rsidRPr="00DB1477" w:rsidRDefault="001E0E16" w:rsidP="00B413ED">
            <w:pPr>
              <w:rPr>
                <w:rFonts w:ascii="Arial" w:eastAsia="Arial" w:hAnsi="Arial" w:cs="Arial"/>
                <w:b/>
                <w:sz w:val="18"/>
                <w:szCs w:val="18"/>
              </w:rPr>
            </w:pPr>
            <w:r w:rsidRPr="00DB1477">
              <w:rPr>
                <w:rFonts w:ascii="Arial" w:eastAsia="Arial" w:hAnsi="Arial" w:cs="Arial"/>
                <w:b/>
                <w:sz w:val="18"/>
                <w:szCs w:val="18"/>
              </w:rPr>
              <w:t>03.02.26</w:t>
            </w:r>
            <w:r w:rsidR="00DB1477" w:rsidRPr="00DB1477">
              <w:rPr>
                <w:rFonts w:ascii="Arial" w:eastAsia="Arial" w:hAnsi="Arial" w:cs="Arial"/>
                <w:b/>
                <w:sz w:val="18"/>
                <w:szCs w:val="18"/>
              </w:rPr>
              <w:t xml:space="preserve">:  </w:t>
            </w:r>
            <w:r w:rsidR="003532CD">
              <w:rPr>
                <w:rFonts w:ascii="Arial" w:eastAsia="Arial" w:hAnsi="Arial" w:cs="Arial"/>
                <w:b/>
                <w:sz w:val="18"/>
                <w:szCs w:val="18"/>
              </w:rPr>
              <w:t>A further update is to be presented at the meeting</w:t>
            </w:r>
            <w:r w:rsidR="00E710D9">
              <w:rPr>
                <w:rFonts w:ascii="Arial" w:eastAsia="Arial" w:hAnsi="Arial" w:cs="Arial"/>
                <w:b/>
                <w:sz w:val="18"/>
                <w:szCs w:val="18"/>
              </w:rPr>
              <w:t xml:space="preserve"> on 10.09.2</w:t>
            </w:r>
            <w:r w:rsidR="00CF2431">
              <w:rPr>
                <w:rFonts w:ascii="Arial" w:eastAsia="Arial" w:hAnsi="Arial" w:cs="Arial"/>
                <w:b/>
                <w:sz w:val="18"/>
                <w:szCs w:val="18"/>
              </w:rPr>
              <w:t>6</w:t>
            </w:r>
            <w:r w:rsidR="00B413ED">
              <w:rPr>
                <w:rFonts w:ascii="Arial" w:eastAsia="Arial" w:hAnsi="Arial" w:cs="Arial"/>
                <w:b/>
                <w:sz w:val="18"/>
                <w:szCs w:val="18"/>
              </w:rPr>
              <w:t xml:space="preserve">. This has been added </w:t>
            </w:r>
            <w:r w:rsidR="00CF2431">
              <w:rPr>
                <w:rFonts w:ascii="Arial" w:eastAsia="Arial" w:hAnsi="Arial" w:cs="Arial"/>
                <w:b/>
                <w:sz w:val="18"/>
                <w:szCs w:val="18"/>
              </w:rPr>
              <w:t>to</w:t>
            </w:r>
            <w:r w:rsidR="00B413ED">
              <w:rPr>
                <w:rFonts w:ascii="Arial" w:eastAsia="Arial" w:hAnsi="Arial" w:cs="Arial"/>
                <w:b/>
                <w:sz w:val="18"/>
                <w:szCs w:val="18"/>
              </w:rPr>
              <w:t xml:space="preserve"> the</w:t>
            </w:r>
            <w:r w:rsidR="00CF2431">
              <w:rPr>
                <w:rFonts w:ascii="Arial" w:eastAsia="Arial" w:hAnsi="Arial" w:cs="Arial"/>
                <w:b/>
                <w:sz w:val="18"/>
                <w:szCs w:val="18"/>
              </w:rPr>
              <w:t xml:space="preserve"> forward plan.</w:t>
            </w:r>
          </w:p>
        </w:tc>
      </w:tr>
      <w:tr w:rsidR="0030770E" w:rsidRPr="00B31438" w14:paraId="467C84ED" w14:textId="77777777" w:rsidTr="00DB150B">
        <w:trPr>
          <w:tblHeader/>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40B28E" w14:textId="60632E31" w:rsidR="0030770E" w:rsidRPr="00DB1477" w:rsidRDefault="0030770E" w:rsidP="55E3A9ED">
            <w:pPr>
              <w:jc w:val="center"/>
              <w:rPr>
                <w:rFonts w:ascii="Arial" w:eastAsia="Arial" w:hAnsi="Arial" w:cs="Arial"/>
                <w:b/>
                <w:bCs/>
                <w:sz w:val="18"/>
                <w:szCs w:val="18"/>
              </w:rPr>
            </w:pPr>
            <w:r>
              <w:rPr>
                <w:rFonts w:ascii="Arial" w:eastAsia="Arial" w:hAnsi="Arial" w:cs="Arial"/>
                <w:b/>
                <w:bCs/>
                <w:sz w:val="18"/>
                <w:szCs w:val="18"/>
              </w:rPr>
              <w:t>024</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0EB3AD" w14:textId="44A4A876" w:rsidR="0030770E" w:rsidRPr="00DB1477" w:rsidRDefault="00160298" w:rsidP="002076ED">
            <w:pPr>
              <w:jc w:val="center"/>
              <w:rPr>
                <w:rFonts w:ascii="Arial" w:eastAsia="Arial" w:hAnsi="Arial" w:cs="Arial"/>
                <w:b/>
                <w:sz w:val="18"/>
                <w:szCs w:val="18"/>
              </w:rPr>
            </w:pPr>
            <w:r>
              <w:rPr>
                <w:rFonts w:ascii="Arial" w:eastAsia="Arial" w:hAnsi="Arial" w:cs="Arial"/>
                <w:b/>
                <w:sz w:val="18"/>
                <w:szCs w:val="18"/>
              </w:rPr>
              <w:t>12.03.26</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640FAF44" w14:textId="497E5F96" w:rsidR="0030770E" w:rsidRPr="00DB1477" w:rsidRDefault="001C7162" w:rsidP="00B26EB6">
            <w:pPr>
              <w:rPr>
                <w:rFonts w:ascii="Arial" w:eastAsia="Arial" w:hAnsi="Arial" w:cs="Arial"/>
                <w:b/>
                <w:sz w:val="18"/>
                <w:szCs w:val="18"/>
              </w:rPr>
            </w:pPr>
            <w:r>
              <w:rPr>
                <w:rFonts w:ascii="Arial" w:eastAsia="Arial" w:hAnsi="Arial" w:cs="Arial"/>
                <w:b/>
                <w:sz w:val="18"/>
                <w:szCs w:val="18"/>
              </w:rPr>
              <w:t>Online Consultation Requirements during Protected Learning Time Sessions</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C39F1E" w14:textId="386809D7" w:rsidR="0030770E" w:rsidRPr="00DB1477" w:rsidRDefault="00656C15" w:rsidP="00814A2C">
            <w:pPr>
              <w:rPr>
                <w:rFonts w:ascii="Arial" w:eastAsia="Arial" w:hAnsi="Arial" w:cs="Arial"/>
                <w:b/>
                <w:sz w:val="18"/>
                <w:szCs w:val="18"/>
              </w:rPr>
            </w:pPr>
            <w:r w:rsidRPr="00DB1477">
              <w:rPr>
                <w:rFonts w:ascii="Arial" w:eastAsia="Arial" w:hAnsi="Arial" w:cs="Arial"/>
                <w:b/>
                <w:sz w:val="18"/>
                <w:szCs w:val="18"/>
              </w:rPr>
              <w:t xml:space="preserve">The </w:t>
            </w:r>
            <w:proofErr w:type="spellStart"/>
            <w:r w:rsidRPr="00DB1477">
              <w:rPr>
                <w:rFonts w:ascii="Arial" w:eastAsia="Arial" w:hAnsi="Arial" w:cs="Arial"/>
                <w:b/>
                <w:sz w:val="18"/>
                <w:szCs w:val="18"/>
              </w:rPr>
              <w:t>PCCSc</w:t>
            </w:r>
            <w:proofErr w:type="spellEnd"/>
            <w:r w:rsidRPr="00DB1477">
              <w:rPr>
                <w:rFonts w:ascii="Arial" w:eastAsia="Arial" w:hAnsi="Arial" w:cs="Arial"/>
                <w:b/>
                <w:sz w:val="18"/>
                <w:szCs w:val="18"/>
              </w:rPr>
              <w:t xml:space="preserve"> agreed to recommend to the Executive Committee</w:t>
            </w:r>
            <w:r w:rsidR="00AE5D1B">
              <w:rPr>
                <w:rFonts w:ascii="Arial" w:eastAsia="Arial" w:hAnsi="Arial" w:cs="Arial"/>
                <w:b/>
                <w:sz w:val="18"/>
                <w:szCs w:val="18"/>
              </w:rPr>
              <w:t xml:space="preserve"> on 31.03.26</w:t>
            </w:r>
            <w:r w:rsidRPr="00DB1477">
              <w:rPr>
                <w:rFonts w:ascii="Arial" w:eastAsia="Arial" w:hAnsi="Arial" w:cs="Arial"/>
                <w:b/>
                <w:sz w:val="18"/>
                <w:szCs w:val="18"/>
              </w:rPr>
              <w:t xml:space="preserve"> the approval of</w:t>
            </w:r>
            <w:r>
              <w:rPr>
                <w:rFonts w:ascii="Arial" w:eastAsia="Arial" w:hAnsi="Arial" w:cs="Arial"/>
                <w:b/>
                <w:sz w:val="18"/>
                <w:szCs w:val="18"/>
              </w:rPr>
              <w:t xml:space="preserve"> </w:t>
            </w:r>
            <w:r w:rsidR="00283106">
              <w:rPr>
                <w:rFonts w:ascii="Arial" w:eastAsia="Arial" w:hAnsi="Arial" w:cs="Arial"/>
                <w:b/>
                <w:sz w:val="18"/>
                <w:szCs w:val="18"/>
              </w:rPr>
              <w:t xml:space="preserve">the recommendation from the Primary Medical Services Group for the </w:t>
            </w:r>
            <w:r w:rsidR="0015528A">
              <w:rPr>
                <w:rFonts w:ascii="Arial" w:eastAsia="Arial" w:hAnsi="Arial" w:cs="Arial"/>
                <w:b/>
                <w:sz w:val="18"/>
                <w:szCs w:val="18"/>
              </w:rPr>
              <w:t>online consultation facility to remain open during General Practice Protected Learning Time sessions.</w:t>
            </w:r>
          </w:p>
        </w:tc>
        <w:tc>
          <w:tcPr>
            <w:tcW w:w="850" w:type="dxa"/>
            <w:shd w:val="clear" w:color="auto" w:fill="FFFFFF" w:themeFill="background1"/>
          </w:tcPr>
          <w:p w14:paraId="13BC0C75" w14:textId="43022653" w:rsidR="0030770E" w:rsidRPr="00DB1477" w:rsidRDefault="0015528A" w:rsidP="00AA0DFF">
            <w:pPr>
              <w:jc w:val="center"/>
              <w:rPr>
                <w:rFonts w:ascii="Arial" w:eastAsia="Arial" w:hAnsi="Arial" w:cs="Arial"/>
                <w:b/>
                <w:sz w:val="18"/>
                <w:szCs w:val="18"/>
              </w:rPr>
            </w:pPr>
            <w:r>
              <w:rPr>
                <w:rFonts w:ascii="Arial" w:eastAsia="Arial" w:hAnsi="Arial" w:cs="Arial"/>
                <w:b/>
                <w:sz w:val="18"/>
                <w:szCs w:val="18"/>
              </w:rPr>
              <w:t>DR</w:t>
            </w:r>
          </w:p>
        </w:tc>
        <w:tc>
          <w:tcPr>
            <w:tcW w:w="2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4707E1" w14:textId="579D0F47" w:rsidR="00F9346C" w:rsidRPr="00F9346C" w:rsidRDefault="00F3320A" w:rsidP="00F9346C">
            <w:pPr>
              <w:rPr>
                <w:rFonts w:ascii="Arial" w:eastAsia="Arial" w:hAnsi="Arial" w:cs="Arial"/>
                <w:b/>
                <w:bCs/>
                <w:sz w:val="18"/>
                <w:szCs w:val="18"/>
              </w:rPr>
            </w:pPr>
            <w:r>
              <w:rPr>
                <w:rFonts w:ascii="Arial" w:eastAsia="Arial" w:hAnsi="Arial" w:cs="Arial"/>
                <w:b/>
                <w:bCs/>
                <w:sz w:val="18"/>
                <w:szCs w:val="18"/>
              </w:rPr>
              <w:t>31</w:t>
            </w:r>
            <w:r w:rsidRPr="00FE5BEB">
              <w:rPr>
                <w:rFonts w:ascii="Arial" w:eastAsia="Arial" w:hAnsi="Arial" w:cs="Arial"/>
                <w:b/>
                <w:bCs/>
                <w:sz w:val="18"/>
                <w:szCs w:val="18"/>
              </w:rPr>
              <w:t xml:space="preserve">.03.26: </w:t>
            </w:r>
            <w:r w:rsidRPr="000F7EB3">
              <w:rPr>
                <w:rFonts w:ascii="Arial" w:eastAsia="Arial" w:hAnsi="Arial" w:cs="Arial"/>
                <w:b/>
                <w:bCs/>
                <w:sz w:val="18"/>
                <w:szCs w:val="18"/>
              </w:rPr>
              <w:t xml:space="preserve"> Executive Committee</w:t>
            </w:r>
            <w:r w:rsidR="00F9346C">
              <w:rPr>
                <w:rFonts w:ascii="Arial" w:eastAsia="Arial" w:hAnsi="Arial" w:cs="Arial"/>
                <w:b/>
                <w:bCs/>
                <w:sz w:val="18"/>
                <w:szCs w:val="18"/>
              </w:rPr>
              <w:t xml:space="preserve"> a </w:t>
            </w:r>
            <w:r w:rsidR="00F9346C" w:rsidRPr="00F9346C">
              <w:rPr>
                <w:rFonts w:ascii="Arial" w:eastAsia="Arial" w:hAnsi="Arial" w:cs="Arial"/>
                <w:b/>
                <w:bCs/>
                <w:sz w:val="18"/>
                <w:szCs w:val="18"/>
              </w:rPr>
              <w:t>query was raised over the messaging from practices over the term ‘urgent’ when practices close for a period of learning, to ensure it is clear to those who make contact what is urgent and clear signposting.  It was noted that the minutes from the Primary Care Contracts Sub-committee does clarify this.</w:t>
            </w:r>
          </w:p>
          <w:p w14:paraId="30368DB7" w14:textId="02061D7B" w:rsidR="0030770E" w:rsidRDefault="0030770E" w:rsidP="00A30745">
            <w:pPr>
              <w:rPr>
                <w:rFonts w:ascii="Arial" w:eastAsia="Arial" w:hAnsi="Arial" w:cs="Arial"/>
                <w:b/>
                <w:sz w:val="18"/>
                <w:szCs w:val="18"/>
              </w:rPr>
            </w:pPr>
          </w:p>
        </w:tc>
        <w:tc>
          <w:tcPr>
            <w:tcW w:w="2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5C1538D2" w14:textId="77777777" w:rsidR="00C4648B" w:rsidRPr="00C4648B" w:rsidRDefault="00C4648B" w:rsidP="00C4648B">
            <w:pPr>
              <w:rPr>
                <w:rFonts w:ascii="Arial" w:eastAsia="Arial" w:hAnsi="Arial" w:cs="Arial"/>
                <w:b/>
                <w:sz w:val="18"/>
                <w:szCs w:val="18"/>
              </w:rPr>
            </w:pPr>
            <w:r>
              <w:rPr>
                <w:rFonts w:ascii="Arial" w:eastAsia="Arial" w:hAnsi="Arial" w:cs="Arial"/>
                <w:b/>
                <w:sz w:val="18"/>
                <w:szCs w:val="18"/>
              </w:rPr>
              <w:t xml:space="preserve">09.04.26: </w:t>
            </w:r>
            <w:r w:rsidRPr="00C4648B">
              <w:rPr>
                <w:rFonts w:ascii="Arial" w:eastAsia="Arial" w:hAnsi="Arial" w:cs="Arial"/>
                <w:b/>
                <w:sz w:val="18"/>
                <w:szCs w:val="18"/>
              </w:rPr>
              <w:t>The subcommittee discussed the action regarding online consultation requirements during Protected Learning Time (PLT) sessions.</w:t>
            </w:r>
          </w:p>
          <w:p w14:paraId="3531BBBD" w14:textId="77777777" w:rsidR="00C4648B" w:rsidRPr="00C4648B" w:rsidRDefault="00C4648B" w:rsidP="00C4648B">
            <w:pPr>
              <w:rPr>
                <w:rFonts w:ascii="Arial" w:eastAsia="Arial" w:hAnsi="Arial" w:cs="Arial"/>
                <w:b/>
                <w:sz w:val="18"/>
                <w:szCs w:val="18"/>
              </w:rPr>
            </w:pPr>
            <w:r w:rsidRPr="00C4648B">
              <w:rPr>
                <w:rFonts w:ascii="Arial" w:eastAsia="Arial" w:hAnsi="Arial" w:cs="Arial"/>
                <w:b/>
                <w:sz w:val="18"/>
                <w:szCs w:val="18"/>
              </w:rPr>
              <w:t>A recommendations paper on this topic has been drafted but has not yet been received by the executive committee.</w:t>
            </w:r>
          </w:p>
          <w:p w14:paraId="4FFC0745" w14:textId="77777777" w:rsidR="00C4648B" w:rsidRPr="00C4648B" w:rsidRDefault="00C4648B" w:rsidP="00C4648B">
            <w:pPr>
              <w:rPr>
                <w:rFonts w:ascii="Arial" w:eastAsia="Arial" w:hAnsi="Arial" w:cs="Arial"/>
                <w:b/>
                <w:sz w:val="18"/>
                <w:szCs w:val="18"/>
              </w:rPr>
            </w:pPr>
            <w:r w:rsidRPr="00C4648B">
              <w:rPr>
                <w:rFonts w:ascii="Arial" w:eastAsia="Arial" w:hAnsi="Arial" w:cs="Arial"/>
                <w:b/>
                <w:sz w:val="18"/>
                <w:szCs w:val="18"/>
              </w:rPr>
              <w:t>The plan is to submit the paper to the executive committee, likely not in the next week but the week after.</w:t>
            </w:r>
          </w:p>
          <w:p w14:paraId="37E77B93" w14:textId="12AFB218" w:rsidR="0030770E" w:rsidRPr="00DB1477" w:rsidRDefault="0030770E" w:rsidP="00B413ED">
            <w:pPr>
              <w:rPr>
                <w:rFonts w:ascii="Arial" w:eastAsia="Arial" w:hAnsi="Arial" w:cs="Arial"/>
                <w:b/>
                <w:sz w:val="18"/>
                <w:szCs w:val="18"/>
              </w:rPr>
            </w:pPr>
          </w:p>
        </w:tc>
      </w:tr>
      <w:tr w:rsidR="00630534" w:rsidRPr="00B31438" w14:paraId="619CC144" w14:textId="77777777" w:rsidTr="00DB150B">
        <w:trPr>
          <w:tblHeader/>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36B884" w14:textId="13990C50" w:rsidR="00630534" w:rsidRDefault="00C530EF" w:rsidP="55E3A9ED">
            <w:pPr>
              <w:jc w:val="center"/>
              <w:rPr>
                <w:rFonts w:ascii="Arial" w:eastAsia="Arial" w:hAnsi="Arial" w:cs="Arial"/>
                <w:b/>
                <w:bCs/>
                <w:sz w:val="18"/>
                <w:szCs w:val="18"/>
              </w:rPr>
            </w:pPr>
            <w:r>
              <w:rPr>
                <w:rFonts w:ascii="Arial" w:eastAsia="Arial" w:hAnsi="Arial" w:cs="Arial"/>
                <w:b/>
                <w:bCs/>
                <w:sz w:val="18"/>
                <w:szCs w:val="18"/>
              </w:rPr>
              <w:t>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516C4E" w14:textId="18E3E24E" w:rsidR="00630534" w:rsidRDefault="00C530EF" w:rsidP="002076ED">
            <w:pPr>
              <w:jc w:val="center"/>
              <w:rPr>
                <w:rFonts w:ascii="Arial" w:eastAsia="Arial" w:hAnsi="Arial" w:cs="Arial"/>
                <w:b/>
                <w:sz w:val="18"/>
                <w:szCs w:val="18"/>
              </w:rPr>
            </w:pPr>
            <w:r>
              <w:rPr>
                <w:rFonts w:ascii="Arial" w:eastAsia="Arial" w:hAnsi="Arial" w:cs="Arial"/>
                <w:b/>
                <w:sz w:val="18"/>
                <w:szCs w:val="18"/>
              </w:rPr>
              <w:t>12.03.26</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55B4C9B2" w14:textId="42C584EE" w:rsidR="00630534" w:rsidRDefault="00734B52" w:rsidP="00B26EB6">
            <w:pPr>
              <w:rPr>
                <w:rFonts w:ascii="Arial" w:eastAsia="Arial" w:hAnsi="Arial" w:cs="Arial"/>
                <w:b/>
                <w:sz w:val="18"/>
                <w:szCs w:val="18"/>
              </w:rPr>
            </w:pPr>
            <w:r>
              <w:rPr>
                <w:rFonts w:ascii="Arial" w:eastAsia="Arial" w:hAnsi="Arial" w:cs="Arial"/>
                <w:b/>
                <w:sz w:val="18"/>
                <w:szCs w:val="18"/>
              </w:rPr>
              <w:t>Incorporations approved process</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AA97F2" w14:textId="0521BE11" w:rsidR="00630534" w:rsidRPr="00DB1477" w:rsidRDefault="00734B52" w:rsidP="00814A2C">
            <w:pPr>
              <w:rPr>
                <w:rFonts w:ascii="Arial" w:eastAsia="Arial" w:hAnsi="Arial" w:cs="Arial"/>
                <w:b/>
                <w:sz w:val="18"/>
                <w:szCs w:val="18"/>
              </w:rPr>
            </w:pPr>
            <w:r w:rsidRPr="00DB1477">
              <w:rPr>
                <w:rFonts w:ascii="Arial" w:eastAsia="Arial" w:hAnsi="Arial" w:cs="Arial"/>
                <w:b/>
                <w:sz w:val="18"/>
                <w:szCs w:val="18"/>
              </w:rPr>
              <w:t xml:space="preserve">The </w:t>
            </w:r>
            <w:proofErr w:type="spellStart"/>
            <w:r w:rsidRPr="00DB1477">
              <w:rPr>
                <w:rFonts w:ascii="Arial" w:eastAsia="Arial" w:hAnsi="Arial" w:cs="Arial"/>
                <w:b/>
                <w:sz w:val="18"/>
                <w:szCs w:val="18"/>
              </w:rPr>
              <w:t>PCCSc</w:t>
            </w:r>
            <w:proofErr w:type="spellEnd"/>
            <w:r w:rsidRPr="00DB1477">
              <w:rPr>
                <w:rFonts w:ascii="Arial" w:eastAsia="Arial" w:hAnsi="Arial" w:cs="Arial"/>
                <w:b/>
                <w:sz w:val="18"/>
                <w:szCs w:val="18"/>
              </w:rPr>
              <w:t xml:space="preserve"> agreed to recommend to the Executive Committee</w:t>
            </w:r>
            <w:r>
              <w:rPr>
                <w:rFonts w:ascii="Arial" w:eastAsia="Arial" w:hAnsi="Arial" w:cs="Arial"/>
                <w:b/>
                <w:sz w:val="18"/>
                <w:szCs w:val="18"/>
              </w:rPr>
              <w:t xml:space="preserve"> on 31.03.26</w:t>
            </w:r>
            <w:r w:rsidRPr="00DB1477">
              <w:rPr>
                <w:rFonts w:ascii="Arial" w:eastAsia="Arial" w:hAnsi="Arial" w:cs="Arial"/>
                <w:b/>
                <w:sz w:val="18"/>
                <w:szCs w:val="18"/>
              </w:rPr>
              <w:t xml:space="preserve"> </w:t>
            </w:r>
            <w:r w:rsidR="0039394E">
              <w:rPr>
                <w:rFonts w:ascii="Arial" w:eastAsia="Arial" w:hAnsi="Arial" w:cs="Arial"/>
                <w:b/>
                <w:sz w:val="18"/>
                <w:szCs w:val="18"/>
              </w:rPr>
              <w:t xml:space="preserve">that they support </w:t>
            </w:r>
            <w:r w:rsidRPr="00DB1477">
              <w:rPr>
                <w:rFonts w:ascii="Arial" w:eastAsia="Arial" w:hAnsi="Arial" w:cs="Arial"/>
                <w:b/>
                <w:sz w:val="18"/>
                <w:szCs w:val="18"/>
              </w:rPr>
              <w:t xml:space="preserve">the </w:t>
            </w:r>
            <w:r w:rsidR="0039394E">
              <w:rPr>
                <w:rFonts w:ascii="Arial" w:eastAsia="Arial" w:hAnsi="Arial" w:cs="Arial"/>
                <w:b/>
                <w:sz w:val="18"/>
                <w:szCs w:val="18"/>
              </w:rPr>
              <w:t>proposed process.</w:t>
            </w:r>
          </w:p>
        </w:tc>
        <w:tc>
          <w:tcPr>
            <w:tcW w:w="850" w:type="dxa"/>
            <w:shd w:val="clear" w:color="auto" w:fill="FFFFFF" w:themeFill="background1"/>
          </w:tcPr>
          <w:p w14:paraId="1293D012" w14:textId="64A2F6CA" w:rsidR="00630534" w:rsidRDefault="0039394E" w:rsidP="00AA0DFF">
            <w:pPr>
              <w:jc w:val="center"/>
              <w:rPr>
                <w:rFonts w:ascii="Arial" w:eastAsia="Arial" w:hAnsi="Arial" w:cs="Arial"/>
                <w:b/>
                <w:sz w:val="18"/>
                <w:szCs w:val="18"/>
              </w:rPr>
            </w:pPr>
            <w:r>
              <w:rPr>
                <w:rFonts w:ascii="Arial" w:eastAsia="Arial" w:hAnsi="Arial" w:cs="Arial"/>
                <w:b/>
                <w:sz w:val="18"/>
                <w:szCs w:val="18"/>
              </w:rPr>
              <w:t>SD</w:t>
            </w:r>
          </w:p>
        </w:tc>
        <w:tc>
          <w:tcPr>
            <w:tcW w:w="2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10173E" w14:textId="77777777" w:rsidR="00C97334" w:rsidRPr="00C97334" w:rsidRDefault="00730390" w:rsidP="00C97334">
            <w:pPr>
              <w:rPr>
                <w:rFonts w:ascii="Arial" w:eastAsia="Arial" w:hAnsi="Arial" w:cs="Arial"/>
                <w:b/>
                <w:bCs/>
                <w:sz w:val="18"/>
                <w:szCs w:val="18"/>
              </w:rPr>
            </w:pPr>
            <w:r>
              <w:rPr>
                <w:rFonts w:ascii="Arial" w:eastAsia="Arial" w:hAnsi="Arial" w:cs="Arial"/>
                <w:b/>
                <w:bCs/>
                <w:sz w:val="18"/>
                <w:szCs w:val="18"/>
              </w:rPr>
              <w:t>31</w:t>
            </w:r>
            <w:r w:rsidRPr="00FE5BEB">
              <w:rPr>
                <w:rFonts w:ascii="Arial" w:eastAsia="Arial" w:hAnsi="Arial" w:cs="Arial"/>
                <w:b/>
                <w:bCs/>
                <w:sz w:val="18"/>
                <w:szCs w:val="18"/>
              </w:rPr>
              <w:t xml:space="preserve">.03.26: </w:t>
            </w:r>
            <w:r w:rsidRPr="000F7EB3">
              <w:rPr>
                <w:rFonts w:ascii="Arial" w:eastAsia="Arial" w:hAnsi="Arial" w:cs="Arial"/>
                <w:b/>
                <w:bCs/>
                <w:sz w:val="18"/>
                <w:szCs w:val="18"/>
              </w:rPr>
              <w:t xml:space="preserve"> Executive Committee</w:t>
            </w:r>
            <w:r w:rsidR="00C97334">
              <w:rPr>
                <w:rFonts w:ascii="Arial" w:eastAsia="Arial" w:hAnsi="Arial" w:cs="Arial"/>
                <w:b/>
                <w:bCs/>
                <w:sz w:val="18"/>
                <w:szCs w:val="18"/>
              </w:rPr>
              <w:t xml:space="preserve"> </w:t>
            </w:r>
            <w:r w:rsidR="00C97334" w:rsidRPr="00C97334">
              <w:rPr>
                <w:rFonts w:ascii="Arial" w:eastAsia="Arial" w:hAnsi="Arial" w:cs="Arial"/>
                <w:b/>
                <w:bCs/>
                <w:sz w:val="18"/>
                <w:szCs w:val="18"/>
              </w:rPr>
              <w:t>endorsed the proposed process.  It was noted a further update on the process is listed on the meeting agenda,</w:t>
            </w:r>
          </w:p>
          <w:p w14:paraId="4BA1FC02" w14:textId="2E587699" w:rsidR="00630534" w:rsidRDefault="00630534" w:rsidP="00A30745">
            <w:pPr>
              <w:rPr>
                <w:rFonts w:ascii="Arial" w:eastAsia="Arial" w:hAnsi="Arial" w:cs="Arial"/>
                <w:b/>
                <w:sz w:val="18"/>
                <w:szCs w:val="18"/>
              </w:rPr>
            </w:pPr>
          </w:p>
        </w:tc>
        <w:tc>
          <w:tcPr>
            <w:tcW w:w="2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2EFE09EE" w14:textId="77AA6063" w:rsidR="00816003" w:rsidRPr="00816003" w:rsidRDefault="00816003" w:rsidP="00816003">
            <w:pPr>
              <w:rPr>
                <w:rFonts w:ascii="Arial" w:eastAsia="Arial" w:hAnsi="Arial" w:cs="Arial"/>
                <w:b/>
                <w:sz w:val="18"/>
                <w:szCs w:val="18"/>
              </w:rPr>
            </w:pPr>
            <w:r>
              <w:rPr>
                <w:rFonts w:ascii="Arial" w:eastAsia="Arial" w:hAnsi="Arial" w:cs="Arial"/>
                <w:b/>
                <w:sz w:val="18"/>
                <w:szCs w:val="18"/>
              </w:rPr>
              <w:t xml:space="preserve">09.04.26: </w:t>
            </w:r>
            <w:r w:rsidRPr="00816003">
              <w:rPr>
                <w:rFonts w:ascii="Arial" w:eastAsia="Arial" w:hAnsi="Arial" w:cs="Arial"/>
                <w:b/>
                <w:sz w:val="18"/>
                <w:szCs w:val="18"/>
              </w:rPr>
              <w:t xml:space="preserve">The proposed process for incorporations and </w:t>
            </w:r>
            <w:r w:rsidRPr="00816003">
              <w:rPr>
                <w:rFonts w:ascii="Arial" w:eastAsia="Arial" w:hAnsi="Arial" w:cs="Arial"/>
                <w:b/>
                <w:sz w:val="18"/>
                <w:szCs w:val="18"/>
              </w:rPr>
              <w:t>disincorporation’s</w:t>
            </w:r>
            <w:r w:rsidRPr="00816003">
              <w:rPr>
                <w:rFonts w:ascii="Arial" w:eastAsia="Arial" w:hAnsi="Arial" w:cs="Arial"/>
                <w:b/>
                <w:sz w:val="18"/>
                <w:szCs w:val="18"/>
              </w:rPr>
              <w:t xml:space="preserve"> was discussed and included in a paper to be sent to the ICB executive committee for recommendation.</w:t>
            </w:r>
          </w:p>
          <w:p w14:paraId="62CFAE79" w14:textId="77777777" w:rsidR="00816003" w:rsidRPr="00816003" w:rsidRDefault="00816003" w:rsidP="00816003">
            <w:pPr>
              <w:rPr>
                <w:rFonts w:ascii="Arial" w:eastAsia="Arial" w:hAnsi="Arial" w:cs="Arial"/>
                <w:b/>
                <w:sz w:val="18"/>
                <w:szCs w:val="18"/>
              </w:rPr>
            </w:pPr>
            <w:r w:rsidRPr="00816003">
              <w:rPr>
                <w:rFonts w:ascii="Arial" w:eastAsia="Arial" w:hAnsi="Arial" w:cs="Arial"/>
                <w:b/>
                <w:sz w:val="18"/>
                <w:szCs w:val="18"/>
              </w:rPr>
              <w:t>The subcommittee is awaiting executive committee approval for this process</w:t>
            </w:r>
          </w:p>
          <w:p w14:paraId="204DBEC8" w14:textId="54654EF1" w:rsidR="00630534" w:rsidRPr="00DB1477" w:rsidRDefault="00630534" w:rsidP="00B413ED">
            <w:pPr>
              <w:rPr>
                <w:rFonts w:ascii="Arial" w:eastAsia="Arial" w:hAnsi="Arial" w:cs="Arial"/>
                <w:b/>
                <w:sz w:val="18"/>
                <w:szCs w:val="18"/>
              </w:rPr>
            </w:pPr>
          </w:p>
        </w:tc>
      </w:tr>
    </w:tbl>
    <w:p w14:paraId="57D3F2BA" w14:textId="77777777" w:rsidR="0089504D" w:rsidRPr="000D3E1E" w:rsidRDefault="0089504D" w:rsidP="0089504D"/>
    <w:sectPr w:rsidR="0089504D" w:rsidRPr="000D3E1E" w:rsidSect="0089504D">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506A" w14:textId="77777777" w:rsidR="002F2221" w:rsidRDefault="002F2221" w:rsidP="0089504D">
      <w:r>
        <w:separator/>
      </w:r>
    </w:p>
  </w:endnote>
  <w:endnote w:type="continuationSeparator" w:id="0">
    <w:p w14:paraId="7EB505D0" w14:textId="77777777" w:rsidR="002F2221" w:rsidRDefault="002F2221" w:rsidP="0089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18F" w14:textId="77777777" w:rsidR="00F81A80" w:rsidRDefault="00F8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026D" w14:textId="77777777" w:rsidR="00F81A80" w:rsidRDefault="00F81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2659" w14:textId="77777777" w:rsidR="00F81A80" w:rsidRDefault="00F8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54FB" w14:textId="77777777" w:rsidR="002F2221" w:rsidRDefault="002F2221" w:rsidP="0089504D">
      <w:r>
        <w:separator/>
      </w:r>
    </w:p>
  </w:footnote>
  <w:footnote w:type="continuationSeparator" w:id="0">
    <w:p w14:paraId="0BC400E4" w14:textId="77777777" w:rsidR="002F2221" w:rsidRDefault="002F2221" w:rsidP="0089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D1FA" w14:textId="77777777" w:rsidR="00F81A80" w:rsidRDefault="00F8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042B" w14:textId="77777777" w:rsidR="0089504D" w:rsidRDefault="0089504D" w:rsidP="0089504D">
    <w:r>
      <w:rPr>
        <w:noProof/>
      </w:rPr>
      <w:drawing>
        <wp:anchor distT="0" distB="0" distL="114300" distR="114300" simplePos="0" relativeHeight="251658240" behindDoc="1" locked="0" layoutInCell="1" allowOverlap="1" wp14:anchorId="0458A672" wp14:editId="57F60FEC">
          <wp:simplePos x="0" y="0"/>
          <wp:positionH relativeFrom="column">
            <wp:posOffset>7915275</wp:posOffset>
          </wp:positionH>
          <wp:positionV relativeFrom="paragraph">
            <wp:posOffset>-68580</wp:posOffset>
          </wp:positionV>
          <wp:extent cx="1153160" cy="750980"/>
          <wp:effectExtent l="0" t="0" r="8890" b="0"/>
          <wp:wrapTight wrapText="bothSides">
            <wp:wrapPolygon edited="0">
              <wp:start x="9634" y="0"/>
              <wp:lineTo x="0" y="8223"/>
              <wp:lineTo x="0" y="20832"/>
              <wp:lineTo x="3211" y="20832"/>
              <wp:lineTo x="12489" y="20832"/>
              <wp:lineTo x="21410" y="20832"/>
              <wp:lineTo x="21410" y="0"/>
              <wp:lineTo x="9634" y="0"/>
            </wp:wrapPolygon>
          </wp:wrapTight>
          <wp:docPr id="14" name="Picture 14">
            <a:extLst xmlns:a="http://schemas.openxmlformats.org/drawingml/2006/main">
              <a:ext uri="{FF2B5EF4-FFF2-40B4-BE49-F238E27FC236}">
                <a16:creationId xmlns:a16="http://schemas.microsoft.com/office/drawing/2014/main" id="{167CB7A3-FF5C-42CA-8551-10C8454561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750980"/>
                  </a:xfrm>
                  <a:prstGeom prst="rect">
                    <a:avLst/>
                  </a:prstGeom>
                  <a:noFill/>
                </pic:spPr>
              </pic:pic>
            </a:graphicData>
          </a:graphic>
        </wp:anchor>
      </w:drawing>
    </w:r>
  </w:p>
  <w:p w14:paraId="2924D052" w14:textId="2370E350" w:rsidR="0089504D" w:rsidRPr="00DB5A1C" w:rsidRDefault="002076ED" w:rsidP="002076ED">
    <w:pPr>
      <w:pStyle w:val="Header"/>
      <w:jc w:val="center"/>
    </w:pPr>
    <w:r>
      <w:rPr>
        <w:rFonts w:cstheme="minorHAnsi"/>
        <w:b/>
        <w:bCs/>
        <w:sz w:val="32"/>
        <w:szCs w:val="32"/>
      </w:rPr>
      <w:t xml:space="preserve">L &amp; SC ICB Primary Care Contracts Sub-Committee </w:t>
    </w:r>
    <w:r w:rsidR="0089504D" w:rsidRPr="002B1C35">
      <w:rPr>
        <w:rFonts w:cstheme="minorHAnsi"/>
        <w:b/>
        <w:bCs/>
        <w:sz w:val="32"/>
        <w:szCs w:val="32"/>
      </w:rPr>
      <w:t xml:space="preserve">– </w:t>
    </w:r>
    <w:r w:rsidR="005E7BDE">
      <w:rPr>
        <w:rFonts w:cstheme="minorHAnsi"/>
        <w:b/>
        <w:bCs/>
        <w:sz w:val="32"/>
        <w:szCs w:val="32"/>
      </w:rPr>
      <w:t xml:space="preserve">Decision </w:t>
    </w:r>
    <w:r w:rsidR="0089504D" w:rsidRPr="002B1C35">
      <w:rPr>
        <w:rFonts w:cstheme="minorHAnsi"/>
        <w:b/>
        <w:bCs/>
        <w:sz w:val="32"/>
        <w:szCs w:val="32"/>
      </w:rPr>
      <w:t>Log</w:t>
    </w:r>
  </w:p>
  <w:p w14:paraId="3BF7F99D" w14:textId="77777777" w:rsidR="0089504D" w:rsidRDefault="00895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17FE" w14:textId="77777777" w:rsidR="00F81A80" w:rsidRDefault="00F8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2AD"/>
    <w:multiLevelType w:val="hybridMultilevel"/>
    <w:tmpl w:val="39140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EB18CB"/>
    <w:multiLevelType w:val="multilevel"/>
    <w:tmpl w:val="A70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727E4"/>
    <w:multiLevelType w:val="multilevel"/>
    <w:tmpl w:val="047ED2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0776FD1"/>
    <w:multiLevelType w:val="hybridMultilevel"/>
    <w:tmpl w:val="7B1070E2"/>
    <w:lvl w:ilvl="0" w:tplc="26B0B18E">
      <w:start w:val="1"/>
      <w:numFmt w:val="decimal"/>
      <w:pStyle w:val="Numberlist"/>
      <w:lvlText w:val="%1."/>
      <w:lvlJc w:val="left"/>
      <w:pPr>
        <w:ind w:left="720" w:hanging="360"/>
      </w:pPr>
    </w:lvl>
    <w:lvl w:ilvl="1" w:tplc="1DEAF70A">
      <w:numFmt w:val="bullet"/>
      <w:lvlText w:val="–"/>
      <w:lvlJc w:val="left"/>
      <w:pPr>
        <w:ind w:left="1440" w:hanging="360"/>
      </w:pPr>
      <w:rPr>
        <w:rFonts w:ascii="Arial" w:eastAsiaTheme="minorHAnsi" w:hAnsi="Arial" w:cs="Arial" w:hint="default"/>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C3B27"/>
    <w:multiLevelType w:val="multilevel"/>
    <w:tmpl w:val="3202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E209B"/>
    <w:multiLevelType w:val="hybridMultilevel"/>
    <w:tmpl w:val="2990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313184">
    <w:abstractNumId w:val="0"/>
  </w:num>
  <w:num w:numId="2" w16cid:durableId="2111661233">
    <w:abstractNumId w:val="2"/>
  </w:num>
  <w:num w:numId="3" w16cid:durableId="374231579">
    <w:abstractNumId w:val="3"/>
  </w:num>
  <w:num w:numId="4" w16cid:durableId="1857306113">
    <w:abstractNumId w:val="5"/>
  </w:num>
  <w:num w:numId="5" w16cid:durableId="1244682184">
    <w:abstractNumId w:val="4"/>
  </w:num>
  <w:num w:numId="6" w16cid:durableId="87237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4D"/>
    <w:rsid w:val="0000058B"/>
    <w:rsid w:val="0001049E"/>
    <w:rsid w:val="00013965"/>
    <w:rsid w:val="00026383"/>
    <w:rsid w:val="00034881"/>
    <w:rsid w:val="00035B9E"/>
    <w:rsid w:val="000460AE"/>
    <w:rsid w:val="0004795B"/>
    <w:rsid w:val="00051A6B"/>
    <w:rsid w:val="00066293"/>
    <w:rsid w:val="0007023D"/>
    <w:rsid w:val="00083BD2"/>
    <w:rsid w:val="00086DB8"/>
    <w:rsid w:val="000959B7"/>
    <w:rsid w:val="000A0DAF"/>
    <w:rsid w:val="000A1AA0"/>
    <w:rsid w:val="000A6AE8"/>
    <w:rsid w:val="000B62CB"/>
    <w:rsid w:val="000C06EE"/>
    <w:rsid w:val="000C497A"/>
    <w:rsid w:val="000C6C70"/>
    <w:rsid w:val="000C6D28"/>
    <w:rsid w:val="000D191D"/>
    <w:rsid w:val="000D3E1E"/>
    <w:rsid w:val="00103E21"/>
    <w:rsid w:val="001052BE"/>
    <w:rsid w:val="001125BC"/>
    <w:rsid w:val="001146DB"/>
    <w:rsid w:val="001359EE"/>
    <w:rsid w:val="00137CCC"/>
    <w:rsid w:val="00142769"/>
    <w:rsid w:val="00143549"/>
    <w:rsid w:val="00147653"/>
    <w:rsid w:val="00152786"/>
    <w:rsid w:val="0015528A"/>
    <w:rsid w:val="00160298"/>
    <w:rsid w:val="001656A6"/>
    <w:rsid w:val="001672DF"/>
    <w:rsid w:val="001A3701"/>
    <w:rsid w:val="001A5DEF"/>
    <w:rsid w:val="001A7433"/>
    <w:rsid w:val="001B0479"/>
    <w:rsid w:val="001C34BA"/>
    <w:rsid w:val="001C59D1"/>
    <w:rsid w:val="001C7162"/>
    <w:rsid w:val="001E0E16"/>
    <w:rsid w:val="001E2ECB"/>
    <w:rsid w:val="001E4E1E"/>
    <w:rsid w:val="001E53DA"/>
    <w:rsid w:val="001F19A7"/>
    <w:rsid w:val="001F6FCD"/>
    <w:rsid w:val="002071B9"/>
    <w:rsid w:val="002076ED"/>
    <w:rsid w:val="00210D21"/>
    <w:rsid w:val="00211363"/>
    <w:rsid w:val="00212856"/>
    <w:rsid w:val="0022056F"/>
    <w:rsid w:val="00220813"/>
    <w:rsid w:val="00240BB3"/>
    <w:rsid w:val="00252C17"/>
    <w:rsid w:val="002562EE"/>
    <w:rsid w:val="002579F5"/>
    <w:rsid w:val="00276FD8"/>
    <w:rsid w:val="00280C97"/>
    <w:rsid w:val="00283106"/>
    <w:rsid w:val="00285F13"/>
    <w:rsid w:val="002A07D2"/>
    <w:rsid w:val="002A22C1"/>
    <w:rsid w:val="002A274F"/>
    <w:rsid w:val="002B419F"/>
    <w:rsid w:val="002C081B"/>
    <w:rsid w:val="002C29D9"/>
    <w:rsid w:val="002C72BF"/>
    <w:rsid w:val="002C7943"/>
    <w:rsid w:val="002D3B30"/>
    <w:rsid w:val="002E5291"/>
    <w:rsid w:val="002F089C"/>
    <w:rsid w:val="002F1B44"/>
    <w:rsid w:val="002F2221"/>
    <w:rsid w:val="002F3370"/>
    <w:rsid w:val="0030065A"/>
    <w:rsid w:val="00304D5A"/>
    <w:rsid w:val="0030770E"/>
    <w:rsid w:val="00312277"/>
    <w:rsid w:val="003141AE"/>
    <w:rsid w:val="00316C66"/>
    <w:rsid w:val="00320546"/>
    <w:rsid w:val="003234B2"/>
    <w:rsid w:val="003277AD"/>
    <w:rsid w:val="00340A05"/>
    <w:rsid w:val="00345E40"/>
    <w:rsid w:val="00352F57"/>
    <w:rsid w:val="003532CD"/>
    <w:rsid w:val="00355A13"/>
    <w:rsid w:val="00361781"/>
    <w:rsid w:val="00361BA3"/>
    <w:rsid w:val="003662A8"/>
    <w:rsid w:val="00374390"/>
    <w:rsid w:val="00375F9E"/>
    <w:rsid w:val="0038058B"/>
    <w:rsid w:val="00390A6A"/>
    <w:rsid w:val="0039394E"/>
    <w:rsid w:val="00396F18"/>
    <w:rsid w:val="003A09D2"/>
    <w:rsid w:val="003B3015"/>
    <w:rsid w:val="003B370F"/>
    <w:rsid w:val="003C781D"/>
    <w:rsid w:val="003D1C3F"/>
    <w:rsid w:val="003D412F"/>
    <w:rsid w:val="003E5551"/>
    <w:rsid w:val="003F3209"/>
    <w:rsid w:val="00403913"/>
    <w:rsid w:val="00405A16"/>
    <w:rsid w:val="00405CC8"/>
    <w:rsid w:val="00415F4E"/>
    <w:rsid w:val="004178CD"/>
    <w:rsid w:val="004248D7"/>
    <w:rsid w:val="004325A3"/>
    <w:rsid w:val="0043466F"/>
    <w:rsid w:val="0044088F"/>
    <w:rsid w:val="0044450D"/>
    <w:rsid w:val="00451F9F"/>
    <w:rsid w:val="0046319C"/>
    <w:rsid w:val="00464021"/>
    <w:rsid w:val="00470A1B"/>
    <w:rsid w:val="00487D97"/>
    <w:rsid w:val="004A514C"/>
    <w:rsid w:val="004B58BD"/>
    <w:rsid w:val="004B672B"/>
    <w:rsid w:val="004B6B56"/>
    <w:rsid w:val="004C1532"/>
    <w:rsid w:val="004C63C2"/>
    <w:rsid w:val="004D68DC"/>
    <w:rsid w:val="004D7E42"/>
    <w:rsid w:val="004E2E59"/>
    <w:rsid w:val="004E5AB8"/>
    <w:rsid w:val="004F0FC4"/>
    <w:rsid w:val="00500147"/>
    <w:rsid w:val="00512653"/>
    <w:rsid w:val="00512B7C"/>
    <w:rsid w:val="00514AF4"/>
    <w:rsid w:val="005152DA"/>
    <w:rsid w:val="00520605"/>
    <w:rsid w:val="005221B7"/>
    <w:rsid w:val="00531A4D"/>
    <w:rsid w:val="00551091"/>
    <w:rsid w:val="005549A7"/>
    <w:rsid w:val="00554F36"/>
    <w:rsid w:val="00562963"/>
    <w:rsid w:val="00567383"/>
    <w:rsid w:val="00576572"/>
    <w:rsid w:val="00585CFD"/>
    <w:rsid w:val="00590888"/>
    <w:rsid w:val="005A00B1"/>
    <w:rsid w:val="005C2EC3"/>
    <w:rsid w:val="005C4CDB"/>
    <w:rsid w:val="005D3792"/>
    <w:rsid w:val="005E7BDE"/>
    <w:rsid w:val="005F615E"/>
    <w:rsid w:val="00613926"/>
    <w:rsid w:val="00624EA0"/>
    <w:rsid w:val="00630534"/>
    <w:rsid w:val="00636172"/>
    <w:rsid w:val="00636EA8"/>
    <w:rsid w:val="00640CFC"/>
    <w:rsid w:val="0064653A"/>
    <w:rsid w:val="00647F93"/>
    <w:rsid w:val="006506BC"/>
    <w:rsid w:val="006554DC"/>
    <w:rsid w:val="00656737"/>
    <w:rsid w:val="00656C15"/>
    <w:rsid w:val="0066194F"/>
    <w:rsid w:val="0066334A"/>
    <w:rsid w:val="006636A1"/>
    <w:rsid w:val="00671798"/>
    <w:rsid w:val="0068020C"/>
    <w:rsid w:val="00684232"/>
    <w:rsid w:val="0068570D"/>
    <w:rsid w:val="00686ABA"/>
    <w:rsid w:val="00686C9B"/>
    <w:rsid w:val="00690CAE"/>
    <w:rsid w:val="00693D95"/>
    <w:rsid w:val="006A4217"/>
    <w:rsid w:val="006A5911"/>
    <w:rsid w:val="006C486A"/>
    <w:rsid w:val="006C490C"/>
    <w:rsid w:val="006C7ACD"/>
    <w:rsid w:val="006D559C"/>
    <w:rsid w:val="006D5ECD"/>
    <w:rsid w:val="006E44CC"/>
    <w:rsid w:val="006E4D87"/>
    <w:rsid w:val="006E524F"/>
    <w:rsid w:val="006F6037"/>
    <w:rsid w:val="007027D8"/>
    <w:rsid w:val="00706E7C"/>
    <w:rsid w:val="00711176"/>
    <w:rsid w:val="0071541F"/>
    <w:rsid w:val="00725790"/>
    <w:rsid w:val="00730390"/>
    <w:rsid w:val="00734B52"/>
    <w:rsid w:val="00735732"/>
    <w:rsid w:val="00737424"/>
    <w:rsid w:val="00741FA7"/>
    <w:rsid w:val="00742346"/>
    <w:rsid w:val="00750D04"/>
    <w:rsid w:val="00757D19"/>
    <w:rsid w:val="00760571"/>
    <w:rsid w:val="00761ADF"/>
    <w:rsid w:val="007657E9"/>
    <w:rsid w:val="0077147B"/>
    <w:rsid w:val="00771B25"/>
    <w:rsid w:val="00771CDC"/>
    <w:rsid w:val="00775D81"/>
    <w:rsid w:val="00794149"/>
    <w:rsid w:val="00795FA0"/>
    <w:rsid w:val="007A777E"/>
    <w:rsid w:val="007C1B56"/>
    <w:rsid w:val="007E375B"/>
    <w:rsid w:val="007E4C4E"/>
    <w:rsid w:val="008021D1"/>
    <w:rsid w:val="00811807"/>
    <w:rsid w:val="00814A2C"/>
    <w:rsid w:val="00816003"/>
    <w:rsid w:val="00816024"/>
    <w:rsid w:val="00820741"/>
    <w:rsid w:val="00824280"/>
    <w:rsid w:val="00824546"/>
    <w:rsid w:val="00837B83"/>
    <w:rsid w:val="008467E2"/>
    <w:rsid w:val="00850FA3"/>
    <w:rsid w:val="00861019"/>
    <w:rsid w:val="00863BA7"/>
    <w:rsid w:val="008735FD"/>
    <w:rsid w:val="008843F9"/>
    <w:rsid w:val="00891A99"/>
    <w:rsid w:val="0089504D"/>
    <w:rsid w:val="0089751C"/>
    <w:rsid w:val="008A5043"/>
    <w:rsid w:val="008A56D4"/>
    <w:rsid w:val="008B73C1"/>
    <w:rsid w:val="008C3F7F"/>
    <w:rsid w:val="008D3E30"/>
    <w:rsid w:val="008E2DBA"/>
    <w:rsid w:val="008F5F17"/>
    <w:rsid w:val="00901D1A"/>
    <w:rsid w:val="009065E4"/>
    <w:rsid w:val="009111D1"/>
    <w:rsid w:val="00912294"/>
    <w:rsid w:val="0091755D"/>
    <w:rsid w:val="00917581"/>
    <w:rsid w:val="00922FD9"/>
    <w:rsid w:val="009251B9"/>
    <w:rsid w:val="009277C9"/>
    <w:rsid w:val="009326E6"/>
    <w:rsid w:val="009333B8"/>
    <w:rsid w:val="00937DBE"/>
    <w:rsid w:val="0094176B"/>
    <w:rsid w:val="00942BEB"/>
    <w:rsid w:val="00947786"/>
    <w:rsid w:val="0095554C"/>
    <w:rsid w:val="009571ED"/>
    <w:rsid w:val="00957C25"/>
    <w:rsid w:val="00964025"/>
    <w:rsid w:val="00966414"/>
    <w:rsid w:val="00971089"/>
    <w:rsid w:val="00971492"/>
    <w:rsid w:val="009817C3"/>
    <w:rsid w:val="009846A7"/>
    <w:rsid w:val="00991E86"/>
    <w:rsid w:val="009943D1"/>
    <w:rsid w:val="009A125D"/>
    <w:rsid w:val="009A7D17"/>
    <w:rsid w:val="009B6624"/>
    <w:rsid w:val="009E64EA"/>
    <w:rsid w:val="00A0100F"/>
    <w:rsid w:val="00A07604"/>
    <w:rsid w:val="00A1279E"/>
    <w:rsid w:val="00A150C8"/>
    <w:rsid w:val="00A16267"/>
    <w:rsid w:val="00A226E9"/>
    <w:rsid w:val="00A22B93"/>
    <w:rsid w:val="00A240E4"/>
    <w:rsid w:val="00A30745"/>
    <w:rsid w:val="00A30753"/>
    <w:rsid w:val="00A33EA7"/>
    <w:rsid w:val="00A37A83"/>
    <w:rsid w:val="00A46BD1"/>
    <w:rsid w:val="00A51010"/>
    <w:rsid w:val="00A564C2"/>
    <w:rsid w:val="00A808B6"/>
    <w:rsid w:val="00A81DA1"/>
    <w:rsid w:val="00A86767"/>
    <w:rsid w:val="00A879D3"/>
    <w:rsid w:val="00A87E24"/>
    <w:rsid w:val="00AA0B39"/>
    <w:rsid w:val="00AA0DFF"/>
    <w:rsid w:val="00AA7E68"/>
    <w:rsid w:val="00AB7571"/>
    <w:rsid w:val="00AC0351"/>
    <w:rsid w:val="00AD5425"/>
    <w:rsid w:val="00AE200E"/>
    <w:rsid w:val="00AE5D1B"/>
    <w:rsid w:val="00AF6A2B"/>
    <w:rsid w:val="00AF6DF7"/>
    <w:rsid w:val="00B1766C"/>
    <w:rsid w:val="00B1797F"/>
    <w:rsid w:val="00B26EB6"/>
    <w:rsid w:val="00B31438"/>
    <w:rsid w:val="00B36438"/>
    <w:rsid w:val="00B413ED"/>
    <w:rsid w:val="00B4334F"/>
    <w:rsid w:val="00B4631A"/>
    <w:rsid w:val="00B47B41"/>
    <w:rsid w:val="00B51A2F"/>
    <w:rsid w:val="00B63100"/>
    <w:rsid w:val="00B63956"/>
    <w:rsid w:val="00B871E4"/>
    <w:rsid w:val="00B87DB3"/>
    <w:rsid w:val="00B93C69"/>
    <w:rsid w:val="00B945C3"/>
    <w:rsid w:val="00B969C7"/>
    <w:rsid w:val="00B97114"/>
    <w:rsid w:val="00BA0D56"/>
    <w:rsid w:val="00BA0D78"/>
    <w:rsid w:val="00BA3862"/>
    <w:rsid w:val="00BB2B4C"/>
    <w:rsid w:val="00BC7E69"/>
    <w:rsid w:val="00BD385F"/>
    <w:rsid w:val="00BD4A18"/>
    <w:rsid w:val="00BD7F01"/>
    <w:rsid w:val="00BE69FB"/>
    <w:rsid w:val="00BE6DFE"/>
    <w:rsid w:val="00BE70AF"/>
    <w:rsid w:val="00BF0AF9"/>
    <w:rsid w:val="00BF43FA"/>
    <w:rsid w:val="00BF4410"/>
    <w:rsid w:val="00C02DA4"/>
    <w:rsid w:val="00C064D3"/>
    <w:rsid w:val="00C10E10"/>
    <w:rsid w:val="00C119CE"/>
    <w:rsid w:val="00C14B4E"/>
    <w:rsid w:val="00C15894"/>
    <w:rsid w:val="00C21E9F"/>
    <w:rsid w:val="00C23BB6"/>
    <w:rsid w:val="00C33FEC"/>
    <w:rsid w:val="00C359B4"/>
    <w:rsid w:val="00C4333A"/>
    <w:rsid w:val="00C4648B"/>
    <w:rsid w:val="00C530EF"/>
    <w:rsid w:val="00C5371D"/>
    <w:rsid w:val="00C702B3"/>
    <w:rsid w:val="00C744B6"/>
    <w:rsid w:val="00C765B3"/>
    <w:rsid w:val="00C846C0"/>
    <w:rsid w:val="00C85A85"/>
    <w:rsid w:val="00C97334"/>
    <w:rsid w:val="00CA5679"/>
    <w:rsid w:val="00CB35E2"/>
    <w:rsid w:val="00CC426E"/>
    <w:rsid w:val="00CC4DB8"/>
    <w:rsid w:val="00CC77C6"/>
    <w:rsid w:val="00CD3665"/>
    <w:rsid w:val="00CE0126"/>
    <w:rsid w:val="00CF18E0"/>
    <w:rsid w:val="00CF2431"/>
    <w:rsid w:val="00CF4AF9"/>
    <w:rsid w:val="00D03B2A"/>
    <w:rsid w:val="00D169C1"/>
    <w:rsid w:val="00D20ACB"/>
    <w:rsid w:val="00D311CF"/>
    <w:rsid w:val="00D319D4"/>
    <w:rsid w:val="00D3744D"/>
    <w:rsid w:val="00D42A40"/>
    <w:rsid w:val="00D44A7D"/>
    <w:rsid w:val="00D52736"/>
    <w:rsid w:val="00D6342D"/>
    <w:rsid w:val="00D6441F"/>
    <w:rsid w:val="00D67AC3"/>
    <w:rsid w:val="00D712DF"/>
    <w:rsid w:val="00D72B33"/>
    <w:rsid w:val="00D76B26"/>
    <w:rsid w:val="00D82A13"/>
    <w:rsid w:val="00D87800"/>
    <w:rsid w:val="00DA386C"/>
    <w:rsid w:val="00DA663D"/>
    <w:rsid w:val="00DB1477"/>
    <w:rsid w:val="00DB150B"/>
    <w:rsid w:val="00DB2817"/>
    <w:rsid w:val="00DB79BC"/>
    <w:rsid w:val="00DC1D3D"/>
    <w:rsid w:val="00DC295F"/>
    <w:rsid w:val="00DC3DE7"/>
    <w:rsid w:val="00DD0335"/>
    <w:rsid w:val="00DD5A1B"/>
    <w:rsid w:val="00DE00D7"/>
    <w:rsid w:val="00DE012A"/>
    <w:rsid w:val="00DF11F6"/>
    <w:rsid w:val="00DF2312"/>
    <w:rsid w:val="00E022EB"/>
    <w:rsid w:val="00E02743"/>
    <w:rsid w:val="00E0635E"/>
    <w:rsid w:val="00E0790C"/>
    <w:rsid w:val="00E104B7"/>
    <w:rsid w:val="00E12638"/>
    <w:rsid w:val="00E163CC"/>
    <w:rsid w:val="00E16B7F"/>
    <w:rsid w:val="00E21A46"/>
    <w:rsid w:val="00E36B3A"/>
    <w:rsid w:val="00E41330"/>
    <w:rsid w:val="00E47401"/>
    <w:rsid w:val="00E47432"/>
    <w:rsid w:val="00E710D9"/>
    <w:rsid w:val="00E83427"/>
    <w:rsid w:val="00EA4E37"/>
    <w:rsid w:val="00EA5121"/>
    <w:rsid w:val="00EB0DF5"/>
    <w:rsid w:val="00EB71FC"/>
    <w:rsid w:val="00EC040C"/>
    <w:rsid w:val="00EC3319"/>
    <w:rsid w:val="00ED0C96"/>
    <w:rsid w:val="00ED62CF"/>
    <w:rsid w:val="00EE7898"/>
    <w:rsid w:val="00EF7934"/>
    <w:rsid w:val="00F00BD3"/>
    <w:rsid w:val="00F00BEE"/>
    <w:rsid w:val="00F026F2"/>
    <w:rsid w:val="00F07FF1"/>
    <w:rsid w:val="00F10E44"/>
    <w:rsid w:val="00F11668"/>
    <w:rsid w:val="00F13538"/>
    <w:rsid w:val="00F3320A"/>
    <w:rsid w:val="00F36373"/>
    <w:rsid w:val="00F36DCB"/>
    <w:rsid w:val="00F4015A"/>
    <w:rsid w:val="00F4149A"/>
    <w:rsid w:val="00F41650"/>
    <w:rsid w:val="00F41B15"/>
    <w:rsid w:val="00F45601"/>
    <w:rsid w:val="00F45D9E"/>
    <w:rsid w:val="00F46F20"/>
    <w:rsid w:val="00F5053E"/>
    <w:rsid w:val="00F5160A"/>
    <w:rsid w:val="00F60AED"/>
    <w:rsid w:val="00F81A80"/>
    <w:rsid w:val="00F8402C"/>
    <w:rsid w:val="00F9346C"/>
    <w:rsid w:val="00F97832"/>
    <w:rsid w:val="00FA4A4E"/>
    <w:rsid w:val="00FB5C34"/>
    <w:rsid w:val="00FD1A7F"/>
    <w:rsid w:val="00FD2EF5"/>
    <w:rsid w:val="00FD5B18"/>
    <w:rsid w:val="00FE1173"/>
    <w:rsid w:val="00FE3D79"/>
    <w:rsid w:val="00FE3DFB"/>
    <w:rsid w:val="00FE5C8F"/>
    <w:rsid w:val="00FF4F4E"/>
    <w:rsid w:val="0840E098"/>
    <w:rsid w:val="0E89AB21"/>
    <w:rsid w:val="2B32B908"/>
    <w:rsid w:val="3FB109E5"/>
    <w:rsid w:val="55E3A9ED"/>
    <w:rsid w:val="5B51A08E"/>
    <w:rsid w:val="5C51F964"/>
    <w:rsid w:val="633D2F8D"/>
    <w:rsid w:val="678BEF18"/>
    <w:rsid w:val="6B45E6EE"/>
    <w:rsid w:val="6BAED12B"/>
    <w:rsid w:val="7336AE03"/>
    <w:rsid w:val="7E2D86AE"/>
    <w:rsid w:val="7ECF2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7059"/>
  <w15:chartTrackingRefBased/>
  <w15:docId w15:val="{5724B1C7-FE03-491A-AD8B-7B11871B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4D"/>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89504D"/>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89504D"/>
  </w:style>
  <w:style w:type="paragraph" w:styleId="Header">
    <w:name w:val="header"/>
    <w:basedOn w:val="Normal"/>
    <w:link w:val="HeaderChar"/>
    <w:uiPriority w:val="99"/>
    <w:unhideWhenUsed/>
    <w:rsid w:val="0089504D"/>
    <w:pPr>
      <w:tabs>
        <w:tab w:val="center" w:pos="4513"/>
        <w:tab w:val="right" w:pos="9026"/>
      </w:tabs>
    </w:pPr>
  </w:style>
  <w:style w:type="character" w:customStyle="1" w:styleId="HeaderChar">
    <w:name w:val="Header Char"/>
    <w:basedOn w:val="DefaultParagraphFont"/>
    <w:link w:val="Header"/>
    <w:uiPriority w:val="99"/>
    <w:rsid w:val="0089504D"/>
  </w:style>
  <w:style w:type="paragraph" w:styleId="Footer">
    <w:name w:val="footer"/>
    <w:basedOn w:val="Normal"/>
    <w:link w:val="FooterChar"/>
    <w:uiPriority w:val="99"/>
    <w:unhideWhenUsed/>
    <w:rsid w:val="0089504D"/>
    <w:pPr>
      <w:tabs>
        <w:tab w:val="center" w:pos="4513"/>
        <w:tab w:val="right" w:pos="9026"/>
      </w:tabs>
    </w:pPr>
  </w:style>
  <w:style w:type="character" w:customStyle="1" w:styleId="FooterChar">
    <w:name w:val="Footer Char"/>
    <w:basedOn w:val="DefaultParagraphFont"/>
    <w:link w:val="Footer"/>
    <w:uiPriority w:val="99"/>
    <w:rsid w:val="0089504D"/>
  </w:style>
  <w:style w:type="paragraph" w:styleId="Revision">
    <w:name w:val="Revision"/>
    <w:hidden/>
    <w:uiPriority w:val="99"/>
    <w:semiHidden/>
    <w:rsid w:val="00AD5425"/>
    <w:pPr>
      <w:spacing w:after="0" w:line="240" w:lineRule="auto"/>
    </w:pPr>
  </w:style>
  <w:style w:type="paragraph" w:styleId="NoSpacing">
    <w:name w:val="No Spacing"/>
    <w:uiPriority w:val="1"/>
    <w:qFormat/>
    <w:rsid w:val="00CD3665"/>
    <w:pPr>
      <w:spacing w:after="0" w:line="240" w:lineRule="auto"/>
    </w:pPr>
    <w:rPr>
      <w:rFonts w:ascii="Arial" w:hAnsi="Arial" w:cs="Arial"/>
      <w:sz w:val="24"/>
    </w:rPr>
  </w:style>
  <w:style w:type="paragraph" w:customStyle="1" w:styleId="Numberlist">
    <w:name w:val="Number list"/>
    <w:basedOn w:val="ListParagraph"/>
    <w:link w:val="NumberlistChar"/>
    <w:qFormat/>
    <w:rsid w:val="00D87800"/>
    <w:pPr>
      <w:numPr>
        <w:numId w:val="3"/>
      </w:numPr>
      <w:spacing w:after="200" w:line="276" w:lineRule="auto"/>
    </w:pPr>
    <w:rPr>
      <w:rFonts w:ascii="Arial" w:hAnsi="Arial" w:cs="Arial"/>
      <w:sz w:val="24"/>
    </w:rPr>
  </w:style>
  <w:style w:type="character" w:customStyle="1" w:styleId="NumberlistChar">
    <w:name w:val="Number list Char"/>
    <w:basedOn w:val="ListParagraphChar"/>
    <w:link w:val="Numberlist"/>
    <w:rsid w:val="00D87800"/>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3D248-85A7-4BD2-98EC-F137EDAC0A67}">
  <ds:schemaRefs>
    <ds:schemaRef ds:uri="http://schemas.microsoft.com/sharepoint/v3/contenttype/forms"/>
  </ds:schemaRefs>
</ds:datastoreItem>
</file>

<file path=customXml/itemProps2.xml><?xml version="1.0" encoding="utf-8"?>
<ds:datastoreItem xmlns:ds="http://schemas.openxmlformats.org/officeDocument/2006/customXml" ds:itemID="{099F4F06-14C8-4736-88C4-D486A6FD461F}">
  <ds:schemaRefs>
    <ds:schemaRef ds:uri="http://schemas.microsoft.com/office/2006/metadata/properties"/>
    <ds:schemaRef ds:uri="http://schemas.microsoft.com/office/infopath/2007/PartnerControls"/>
    <ds:schemaRef ds:uri="d760762f-6d0f-47a6-8fb9-606f44da5725"/>
  </ds:schemaRefs>
</ds:datastoreItem>
</file>

<file path=customXml/itemProps3.xml><?xml version="1.0" encoding="utf-8"?>
<ds:datastoreItem xmlns:ds="http://schemas.openxmlformats.org/officeDocument/2006/customXml" ds:itemID="{A9CF2004-6908-4300-9103-0AD539E86CD1}">
  <ds:schemaRefs>
    <ds:schemaRef ds:uri="http://schemas.openxmlformats.org/officeDocument/2006/bibliography"/>
  </ds:schemaRefs>
</ds:datastoreItem>
</file>

<file path=customXml/itemProps4.xml><?xml version="1.0" encoding="utf-8"?>
<ds:datastoreItem xmlns:ds="http://schemas.openxmlformats.org/officeDocument/2006/customXml" ds:itemID="{5E7780E9-E1FA-4363-91FD-9D8EA370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46</Lines>
  <Paragraphs>18</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MATTOCKS, Sarah (NHS LANCASHIRE AND SOUTH CUMBRIA ICB - 00X)</dc:creator>
  <cp:keywords/>
  <dc:description/>
  <cp:lastModifiedBy>MCCANN, Debbie (NHS LANCASHIRE AND SOUTH CUMBRIA ICB - 00R)</cp:lastModifiedBy>
  <cp:revision>2</cp:revision>
  <dcterms:created xsi:type="dcterms:W3CDTF">2026-04-14T17:40:00Z</dcterms:created>
  <dcterms:modified xsi:type="dcterms:W3CDTF">2026-04-14T17:40:00Z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MediaServiceImageTags">
    <vt:lpwstr/>
  </property>
  <property fmtid="{D5CDD505-2E9C-101B-9397-08002B2CF9AE}" pid="4" name="docLang">
    <vt:lpwstr>en</vt:lpwstr>
  </property>
</Properties>
</file>