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1170" w14:textId="4F40741D" w:rsidR="009893F4" w:rsidRDefault="009893F4" w:rsidP="009893F4">
      <w:pPr>
        <w:pStyle w:val="HNAHeader1"/>
        <w:jc w:val="center"/>
        <w:rPr>
          <w:sz w:val="36"/>
          <w:szCs w:val="36"/>
        </w:rPr>
      </w:pPr>
    </w:p>
    <w:p w14:paraId="05042A3F" w14:textId="1F330FBA" w:rsidR="009893F4" w:rsidRDefault="009893F4" w:rsidP="009893F4">
      <w:pPr>
        <w:pStyle w:val="HNAHeader1"/>
        <w:jc w:val="center"/>
        <w:rPr>
          <w:b/>
          <w:bCs/>
          <w:sz w:val="36"/>
          <w:szCs w:val="36"/>
          <w:u w:val="single"/>
        </w:rPr>
      </w:pPr>
    </w:p>
    <w:p w14:paraId="72C2DB51" w14:textId="7D3914AD" w:rsidR="009893F4" w:rsidRDefault="009893F4" w:rsidP="009893F4">
      <w:pPr>
        <w:pStyle w:val="HNAHeader1"/>
        <w:jc w:val="center"/>
        <w:rPr>
          <w:b/>
          <w:bCs/>
          <w:sz w:val="36"/>
          <w:szCs w:val="36"/>
          <w:u w:val="single"/>
        </w:rPr>
      </w:pPr>
    </w:p>
    <w:p w14:paraId="44F9DFD3" w14:textId="11126A0C" w:rsidR="44F9B867" w:rsidRDefault="44F9B867" w:rsidP="009893F4">
      <w:pPr>
        <w:pStyle w:val="HNAHeader1"/>
        <w:jc w:val="center"/>
        <w:rPr>
          <w:b/>
          <w:bCs/>
          <w:sz w:val="36"/>
          <w:szCs w:val="36"/>
          <w:u w:val="single"/>
        </w:rPr>
      </w:pPr>
      <w:r w:rsidRPr="009893F4">
        <w:rPr>
          <w:b/>
          <w:bCs/>
          <w:sz w:val="36"/>
          <w:szCs w:val="36"/>
          <w:u w:val="single"/>
        </w:rPr>
        <w:t>Lancashire &amp; South Cumbria Integrated Care Board Population Health Needs Assessment</w:t>
      </w:r>
    </w:p>
    <w:p w14:paraId="68455D49" w14:textId="05197D72" w:rsidR="009893F4" w:rsidRDefault="009893F4" w:rsidP="009893F4">
      <w:pPr>
        <w:pStyle w:val="HNAHeader1"/>
        <w:jc w:val="center"/>
        <w:rPr>
          <w:b/>
          <w:bCs/>
          <w:sz w:val="36"/>
          <w:szCs w:val="36"/>
          <w:u w:val="single"/>
        </w:rPr>
      </w:pPr>
    </w:p>
    <w:p w14:paraId="6728BD5B" w14:textId="0C9D9895" w:rsidR="44F9B867" w:rsidRDefault="44F9B867" w:rsidP="009893F4">
      <w:pPr>
        <w:pStyle w:val="HNAHeader1"/>
        <w:jc w:val="center"/>
        <w:rPr>
          <w:b/>
          <w:bCs/>
          <w:sz w:val="28"/>
          <w:szCs w:val="28"/>
        </w:rPr>
      </w:pPr>
      <w:r w:rsidRPr="009893F4">
        <w:rPr>
          <w:b/>
          <w:bCs/>
          <w:sz w:val="28"/>
          <w:szCs w:val="28"/>
        </w:rPr>
        <w:t xml:space="preserve">Claire </w:t>
      </w:r>
      <w:proofErr w:type="spellStart"/>
      <w:r w:rsidRPr="009893F4">
        <w:rPr>
          <w:b/>
          <w:bCs/>
          <w:sz w:val="28"/>
          <w:szCs w:val="28"/>
        </w:rPr>
        <w:t>Niebieski</w:t>
      </w:r>
      <w:proofErr w:type="spellEnd"/>
      <w:r w:rsidR="7AFD5DA7" w:rsidRPr="009893F4">
        <w:rPr>
          <w:b/>
          <w:bCs/>
          <w:sz w:val="28"/>
          <w:szCs w:val="28"/>
        </w:rPr>
        <w:t>:</w:t>
      </w:r>
      <w:r w:rsidRPr="009893F4">
        <w:rPr>
          <w:b/>
          <w:bCs/>
          <w:sz w:val="28"/>
          <w:szCs w:val="28"/>
        </w:rPr>
        <w:t xml:space="preserve"> (Lead) Head of Population Health</w:t>
      </w:r>
      <w:r w:rsidR="145386C8" w:rsidRPr="009893F4">
        <w:rPr>
          <w:b/>
          <w:bCs/>
          <w:sz w:val="28"/>
          <w:szCs w:val="28"/>
        </w:rPr>
        <w:t xml:space="preserve"> - </w:t>
      </w:r>
      <w:r w:rsidR="110FF841" w:rsidRPr="009893F4">
        <w:rPr>
          <w:b/>
          <w:bCs/>
          <w:sz w:val="28"/>
          <w:szCs w:val="28"/>
        </w:rPr>
        <w:t>LSC ICB</w:t>
      </w:r>
    </w:p>
    <w:p w14:paraId="04881420" w14:textId="5BE93214" w:rsidR="44F9B867" w:rsidRDefault="44F9B867" w:rsidP="009893F4">
      <w:pPr>
        <w:pStyle w:val="HNAHeader1"/>
        <w:jc w:val="center"/>
        <w:rPr>
          <w:rFonts w:eastAsiaTheme="minorEastAsia"/>
          <w:b/>
          <w:bCs/>
          <w:color w:val="000000" w:themeColor="text1"/>
          <w:sz w:val="28"/>
          <w:szCs w:val="28"/>
        </w:rPr>
      </w:pPr>
      <w:r w:rsidRPr="009893F4">
        <w:rPr>
          <w:b/>
          <w:bCs/>
          <w:sz w:val="28"/>
          <w:szCs w:val="28"/>
        </w:rPr>
        <w:t>Emily Fenby-Taylor</w:t>
      </w:r>
      <w:r w:rsidR="77E8C675" w:rsidRPr="009893F4">
        <w:rPr>
          <w:b/>
          <w:bCs/>
          <w:sz w:val="28"/>
          <w:szCs w:val="28"/>
        </w:rPr>
        <w:t xml:space="preserve">: </w:t>
      </w:r>
      <w:r w:rsidRPr="009893F4">
        <w:rPr>
          <w:rFonts w:eastAsiaTheme="minorEastAsia"/>
          <w:b/>
          <w:bCs/>
          <w:color w:val="000000" w:themeColor="text1"/>
          <w:sz w:val="28"/>
          <w:szCs w:val="28"/>
        </w:rPr>
        <w:t>Population Health Development Officer</w:t>
      </w:r>
      <w:r w:rsidR="3173568C" w:rsidRPr="009893F4">
        <w:rPr>
          <w:rFonts w:eastAsiaTheme="minorEastAsia"/>
          <w:b/>
          <w:bCs/>
          <w:color w:val="000000" w:themeColor="text1"/>
          <w:sz w:val="28"/>
          <w:szCs w:val="28"/>
        </w:rPr>
        <w:t xml:space="preserve"> -</w:t>
      </w:r>
      <w:r w:rsidR="14F97640" w:rsidRPr="009893F4">
        <w:rPr>
          <w:rFonts w:eastAsiaTheme="minorEastAsia"/>
          <w:b/>
          <w:bCs/>
          <w:color w:val="000000" w:themeColor="text1"/>
          <w:sz w:val="28"/>
          <w:szCs w:val="28"/>
        </w:rPr>
        <w:t xml:space="preserve"> LSC ICB</w:t>
      </w:r>
    </w:p>
    <w:p w14:paraId="5A8E0C31" w14:textId="4F8AE323" w:rsidR="52122A89" w:rsidRDefault="52122A89" w:rsidP="009893F4">
      <w:pPr>
        <w:pStyle w:val="HNAHeader1"/>
        <w:jc w:val="center"/>
        <w:rPr>
          <w:rFonts w:eastAsiaTheme="minorEastAsia"/>
          <w:b/>
          <w:bCs/>
          <w:color w:val="000000" w:themeColor="text1"/>
          <w:sz w:val="28"/>
          <w:szCs w:val="28"/>
        </w:rPr>
      </w:pPr>
      <w:r w:rsidRPr="009893F4">
        <w:rPr>
          <w:rFonts w:eastAsiaTheme="minorEastAsia"/>
          <w:b/>
          <w:bCs/>
          <w:color w:val="000000" w:themeColor="text1"/>
          <w:sz w:val="28"/>
          <w:szCs w:val="28"/>
        </w:rPr>
        <w:t>Jonathan Peters</w:t>
      </w:r>
      <w:r w:rsidR="2A92863F" w:rsidRPr="009893F4">
        <w:rPr>
          <w:rFonts w:eastAsiaTheme="minorEastAsia"/>
          <w:b/>
          <w:bCs/>
          <w:color w:val="000000" w:themeColor="text1"/>
          <w:sz w:val="28"/>
          <w:szCs w:val="28"/>
        </w:rPr>
        <w:t>:</w:t>
      </w:r>
      <w:r w:rsidR="769B2E8C" w:rsidRPr="009893F4">
        <w:rPr>
          <w:rFonts w:eastAsiaTheme="minorEastAsia"/>
          <w:b/>
          <w:bCs/>
          <w:color w:val="000000" w:themeColor="text1"/>
          <w:sz w:val="28"/>
          <w:szCs w:val="28"/>
        </w:rPr>
        <w:t xml:space="preserve"> </w:t>
      </w:r>
      <w:r w:rsidR="61C40AFE" w:rsidRPr="009893F4">
        <w:rPr>
          <w:rFonts w:eastAsiaTheme="minorEastAsia"/>
          <w:b/>
          <w:bCs/>
          <w:color w:val="000000" w:themeColor="text1"/>
          <w:sz w:val="28"/>
          <w:szCs w:val="28"/>
        </w:rPr>
        <w:t>Senior Data Scientist</w:t>
      </w:r>
      <w:r w:rsidR="4D0DE929" w:rsidRPr="009893F4">
        <w:rPr>
          <w:rFonts w:eastAsiaTheme="minorEastAsia"/>
          <w:b/>
          <w:bCs/>
          <w:color w:val="000000" w:themeColor="text1"/>
          <w:sz w:val="28"/>
          <w:szCs w:val="28"/>
        </w:rPr>
        <w:t xml:space="preserve"> -</w:t>
      </w:r>
      <w:r w:rsidR="61C40AFE" w:rsidRPr="009893F4">
        <w:rPr>
          <w:rFonts w:eastAsiaTheme="minorEastAsia"/>
          <w:b/>
          <w:bCs/>
          <w:color w:val="000000" w:themeColor="text1"/>
          <w:sz w:val="28"/>
          <w:szCs w:val="28"/>
        </w:rPr>
        <w:t xml:space="preserve"> </w:t>
      </w:r>
      <w:r w:rsidR="769B2E8C" w:rsidRPr="009893F4">
        <w:rPr>
          <w:rFonts w:eastAsiaTheme="minorEastAsia"/>
          <w:b/>
          <w:bCs/>
          <w:color w:val="000000" w:themeColor="text1"/>
          <w:sz w:val="28"/>
          <w:szCs w:val="28"/>
        </w:rPr>
        <w:t>LSC ICB</w:t>
      </w:r>
      <w:r w:rsidRPr="009893F4">
        <w:rPr>
          <w:rFonts w:eastAsiaTheme="minorEastAsia"/>
          <w:b/>
          <w:bCs/>
          <w:color w:val="000000" w:themeColor="text1"/>
          <w:sz w:val="28"/>
          <w:szCs w:val="28"/>
        </w:rPr>
        <w:t xml:space="preserve"> </w:t>
      </w:r>
    </w:p>
    <w:p w14:paraId="49CBE54C" w14:textId="75411662" w:rsidR="62A5717E" w:rsidRDefault="62A5717E" w:rsidP="009893F4">
      <w:pPr>
        <w:pStyle w:val="HNAHeader1"/>
        <w:jc w:val="center"/>
        <w:rPr>
          <w:rFonts w:eastAsiaTheme="minorEastAsia"/>
          <w:b/>
          <w:bCs/>
          <w:color w:val="000000" w:themeColor="text1"/>
          <w:sz w:val="28"/>
          <w:szCs w:val="28"/>
        </w:rPr>
      </w:pPr>
      <w:r w:rsidRPr="009893F4">
        <w:rPr>
          <w:rFonts w:eastAsiaTheme="minorEastAsia"/>
          <w:b/>
          <w:bCs/>
          <w:color w:val="000000" w:themeColor="text1"/>
          <w:sz w:val="28"/>
          <w:szCs w:val="28"/>
        </w:rPr>
        <w:t>Philo Whitmarsh</w:t>
      </w:r>
      <w:r w:rsidR="0FEFC1C8" w:rsidRPr="009893F4">
        <w:rPr>
          <w:rFonts w:eastAsiaTheme="minorEastAsia"/>
          <w:b/>
          <w:bCs/>
          <w:color w:val="000000" w:themeColor="text1"/>
          <w:sz w:val="28"/>
          <w:szCs w:val="28"/>
        </w:rPr>
        <w:t xml:space="preserve">: </w:t>
      </w:r>
      <w:r w:rsidR="234136A8" w:rsidRPr="009893F4">
        <w:rPr>
          <w:rFonts w:eastAsiaTheme="minorEastAsia"/>
          <w:b/>
          <w:bCs/>
          <w:color w:val="000000" w:themeColor="text1"/>
          <w:sz w:val="28"/>
          <w:szCs w:val="28"/>
        </w:rPr>
        <w:t xml:space="preserve">Data Scientist </w:t>
      </w:r>
      <w:r w:rsidR="5FBB58E5" w:rsidRPr="009893F4">
        <w:rPr>
          <w:rFonts w:eastAsiaTheme="minorEastAsia"/>
          <w:b/>
          <w:bCs/>
          <w:color w:val="000000" w:themeColor="text1"/>
          <w:sz w:val="28"/>
          <w:szCs w:val="28"/>
        </w:rPr>
        <w:t xml:space="preserve">- </w:t>
      </w:r>
      <w:r w:rsidR="0FEFC1C8" w:rsidRPr="009893F4">
        <w:rPr>
          <w:rFonts w:eastAsiaTheme="minorEastAsia"/>
          <w:b/>
          <w:bCs/>
          <w:color w:val="000000" w:themeColor="text1"/>
          <w:sz w:val="28"/>
          <w:szCs w:val="28"/>
        </w:rPr>
        <w:t>LSC ICB</w:t>
      </w:r>
    </w:p>
    <w:p w14:paraId="18D420A9" w14:textId="1AF7D4C2" w:rsidR="009893F4" w:rsidRDefault="009893F4" w:rsidP="009893F4">
      <w:pPr>
        <w:pStyle w:val="HNAHeader1"/>
        <w:jc w:val="center"/>
        <w:rPr>
          <w:rFonts w:eastAsiaTheme="minorEastAsia"/>
          <w:b/>
          <w:bCs/>
          <w:color w:val="000000" w:themeColor="text1"/>
          <w:sz w:val="32"/>
          <w:szCs w:val="32"/>
        </w:rPr>
      </w:pPr>
    </w:p>
    <w:p w14:paraId="5630EBAF" w14:textId="77777777" w:rsidR="00A02E59" w:rsidRDefault="00A02E59" w:rsidP="009893F4">
      <w:pPr>
        <w:pStyle w:val="HNAHeader1"/>
        <w:jc w:val="center"/>
        <w:rPr>
          <w:rFonts w:eastAsiaTheme="minorEastAsia"/>
          <w:b/>
          <w:bCs/>
          <w:color w:val="000000" w:themeColor="text1"/>
          <w:sz w:val="32"/>
          <w:szCs w:val="32"/>
        </w:rPr>
      </w:pPr>
    </w:p>
    <w:p w14:paraId="3E71725F" w14:textId="3B53EE6E" w:rsidR="009893F4" w:rsidRDefault="009893F4" w:rsidP="6B9B5AC4">
      <w:pPr>
        <w:pStyle w:val="HNAHeader1"/>
        <w:jc w:val="center"/>
        <w:rPr>
          <w:rFonts w:eastAsiaTheme="minorEastAsia"/>
          <w:b/>
          <w:bCs/>
          <w:color w:val="000000" w:themeColor="text1"/>
          <w:sz w:val="32"/>
          <w:szCs w:val="32"/>
        </w:rPr>
      </w:pPr>
    </w:p>
    <w:p w14:paraId="4275D6CC" w14:textId="12E54EAD" w:rsidR="6B9B5AC4" w:rsidRDefault="6B9B5AC4" w:rsidP="6B9B5AC4">
      <w:pPr>
        <w:pStyle w:val="HNAHeader1"/>
        <w:jc w:val="center"/>
        <w:rPr>
          <w:rFonts w:eastAsiaTheme="minorEastAsia"/>
          <w:b/>
          <w:bCs/>
          <w:color w:val="000000" w:themeColor="text1"/>
          <w:sz w:val="32"/>
          <w:szCs w:val="32"/>
        </w:rPr>
      </w:pPr>
    </w:p>
    <w:p w14:paraId="78ACA421" w14:textId="22BBBEAC" w:rsidR="6B9B5AC4" w:rsidRDefault="6B9B5AC4" w:rsidP="6B9B5AC4">
      <w:pPr>
        <w:pStyle w:val="HNAHeader1"/>
        <w:jc w:val="center"/>
        <w:rPr>
          <w:rFonts w:eastAsiaTheme="minorEastAsia"/>
          <w:b/>
          <w:bCs/>
          <w:color w:val="000000" w:themeColor="text1"/>
          <w:sz w:val="32"/>
          <w:szCs w:val="32"/>
        </w:rPr>
      </w:pPr>
    </w:p>
    <w:p w14:paraId="52DA5E0E" w14:textId="6383419D" w:rsidR="6B9B5AC4" w:rsidRDefault="6B9B5AC4" w:rsidP="6B9B5AC4">
      <w:pPr>
        <w:pStyle w:val="HNAHeader1"/>
        <w:jc w:val="center"/>
        <w:rPr>
          <w:rFonts w:eastAsiaTheme="minorEastAsia"/>
          <w:b/>
          <w:bCs/>
          <w:color w:val="000000" w:themeColor="text1"/>
          <w:sz w:val="32"/>
          <w:szCs w:val="32"/>
        </w:rPr>
      </w:pPr>
    </w:p>
    <w:p w14:paraId="4B5204B6" w14:textId="1FAE54DC" w:rsidR="6B9B5AC4" w:rsidRDefault="6B9B5AC4" w:rsidP="6B9B5AC4">
      <w:pPr>
        <w:pStyle w:val="HNAHeader1"/>
        <w:jc w:val="center"/>
        <w:rPr>
          <w:rFonts w:eastAsiaTheme="minorEastAsia"/>
          <w:b/>
          <w:bCs/>
          <w:color w:val="000000" w:themeColor="text1"/>
          <w:sz w:val="32"/>
          <w:szCs w:val="32"/>
        </w:rPr>
      </w:pPr>
    </w:p>
    <w:p w14:paraId="5D366E8A" w14:textId="1A1059EA" w:rsidR="6B9B5AC4" w:rsidRDefault="6B9B5AC4" w:rsidP="6B9B5AC4">
      <w:pPr>
        <w:pStyle w:val="HNAHeader1"/>
        <w:jc w:val="center"/>
        <w:rPr>
          <w:rFonts w:eastAsiaTheme="minorEastAsia"/>
          <w:b/>
          <w:bCs/>
          <w:color w:val="000000" w:themeColor="text1"/>
          <w:sz w:val="32"/>
          <w:szCs w:val="32"/>
        </w:rPr>
      </w:pPr>
    </w:p>
    <w:p w14:paraId="64D0A288" w14:textId="16B79846" w:rsidR="6B9B5AC4" w:rsidRDefault="6B9B5AC4" w:rsidP="6B9B5AC4">
      <w:pPr>
        <w:pStyle w:val="HNAHeader1"/>
        <w:jc w:val="center"/>
        <w:rPr>
          <w:rFonts w:eastAsiaTheme="minorEastAsia"/>
          <w:b/>
          <w:bCs/>
          <w:color w:val="000000" w:themeColor="text1"/>
          <w:sz w:val="32"/>
          <w:szCs w:val="32"/>
        </w:rPr>
      </w:pPr>
    </w:p>
    <w:p w14:paraId="234A927A" w14:textId="584F3122" w:rsidR="6B9B5AC4" w:rsidRDefault="6B9B5AC4" w:rsidP="6B9B5AC4">
      <w:pPr>
        <w:pStyle w:val="HNAHeader1"/>
        <w:jc w:val="center"/>
        <w:rPr>
          <w:rFonts w:eastAsiaTheme="minorEastAsia"/>
          <w:b/>
          <w:bCs/>
          <w:color w:val="000000" w:themeColor="text1"/>
          <w:sz w:val="32"/>
          <w:szCs w:val="32"/>
        </w:rPr>
      </w:pPr>
    </w:p>
    <w:p w14:paraId="1F6A5CC7" w14:textId="7A90F877" w:rsidR="6B9B5AC4" w:rsidRDefault="6B9B5AC4" w:rsidP="6B9B5AC4">
      <w:pPr>
        <w:pStyle w:val="HNAHeader1"/>
        <w:jc w:val="center"/>
        <w:rPr>
          <w:rFonts w:eastAsiaTheme="minorEastAsia"/>
          <w:b/>
          <w:bCs/>
          <w:color w:val="000000" w:themeColor="text1"/>
          <w:sz w:val="32"/>
          <w:szCs w:val="32"/>
        </w:rPr>
      </w:pPr>
    </w:p>
    <w:p w14:paraId="2D14F898" w14:textId="6BFC773C" w:rsidR="6B9B5AC4" w:rsidRDefault="6B9B5AC4" w:rsidP="6B9B5AC4">
      <w:pPr>
        <w:pStyle w:val="HNAHeader1"/>
        <w:jc w:val="center"/>
        <w:rPr>
          <w:rFonts w:eastAsiaTheme="minorEastAsia"/>
          <w:b/>
          <w:bCs/>
          <w:color w:val="000000" w:themeColor="text1"/>
          <w:sz w:val="32"/>
          <w:szCs w:val="32"/>
        </w:rPr>
      </w:pPr>
    </w:p>
    <w:p w14:paraId="06757F8C" w14:textId="1E785B39" w:rsidR="7C382897" w:rsidRDefault="7C382897" w:rsidP="7C382897">
      <w:pPr>
        <w:pStyle w:val="HNAHeader1"/>
        <w:jc w:val="center"/>
        <w:rPr>
          <w:rFonts w:eastAsiaTheme="minorEastAsia"/>
          <w:b/>
          <w:bCs/>
          <w:color w:val="000000" w:themeColor="text1"/>
          <w:sz w:val="32"/>
          <w:szCs w:val="32"/>
        </w:rPr>
      </w:pPr>
    </w:p>
    <w:p w14:paraId="116039A4" w14:textId="4B9074ED" w:rsidR="009893F4" w:rsidRDefault="009893F4" w:rsidP="009893F4">
      <w:pPr>
        <w:pStyle w:val="HNAHeader1"/>
        <w:jc w:val="center"/>
        <w:rPr>
          <w:rFonts w:eastAsiaTheme="minorEastAsia"/>
          <w:b/>
          <w:bCs/>
          <w:color w:val="000000" w:themeColor="text1"/>
          <w:sz w:val="32"/>
          <w:szCs w:val="32"/>
        </w:rPr>
      </w:pPr>
    </w:p>
    <w:p w14:paraId="403981E9" w14:textId="5C8591A1" w:rsidR="4B7EFD62" w:rsidRDefault="4B7EFD62" w:rsidP="009893F4">
      <w:pPr>
        <w:pStyle w:val="HNAHeader1"/>
        <w:jc w:val="center"/>
        <w:rPr>
          <w:rFonts w:eastAsiaTheme="minorEastAsia"/>
          <w:b/>
          <w:bCs/>
          <w:color w:val="000000" w:themeColor="text1"/>
          <w:sz w:val="32"/>
          <w:szCs w:val="32"/>
          <w:u w:val="single"/>
        </w:rPr>
      </w:pPr>
      <w:r w:rsidRPr="009893F4">
        <w:rPr>
          <w:rFonts w:eastAsiaTheme="minorEastAsia"/>
          <w:b/>
          <w:bCs/>
          <w:color w:val="000000" w:themeColor="text1"/>
          <w:sz w:val="32"/>
          <w:szCs w:val="32"/>
          <w:u w:val="single"/>
        </w:rPr>
        <w:t>Contents</w:t>
      </w:r>
    </w:p>
    <w:p w14:paraId="1B0BF289" w14:textId="207A96B1" w:rsidR="009060EB" w:rsidRDefault="009060EB">
      <w:pPr>
        <w:pStyle w:val="TOC1"/>
        <w:tabs>
          <w:tab w:val="left" w:pos="480"/>
          <w:tab w:val="right" w:leader="dot" w:pos="9016"/>
        </w:tabs>
        <w:rPr>
          <w:rFonts w:eastAsiaTheme="minorEastAsia"/>
          <w:noProof/>
          <w:lang w:eastAsia="en-GB"/>
        </w:rPr>
      </w:pPr>
      <w:r>
        <w:fldChar w:fldCharType="begin"/>
      </w:r>
      <w:r>
        <w:instrText xml:space="preserve"> TOC \o "1-2" \h \z \u </w:instrText>
      </w:r>
      <w:r>
        <w:fldChar w:fldCharType="separate"/>
      </w:r>
      <w:hyperlink w:anchor="_Toc220937600" w:history="1">
        <w:r w:rsidRPr="006E470D">
          <w:rPr>
            <w:rStyle w:val="Hyperlink"/>
            <w:noProof/>
          </w:rPr>
          <w:t>1.</w:t>
        </w:r>
        <w:r>
          <w:rPr>
            <w:rFonts w:eastAsiaTheme="minorEastAsia"/>
            <w:noProof/>
            <w:lang w:eastAsia="en-GB"/>
          </w:rPr>
          <w:tab/>
        </w:r>
        <w:r w:rsidRPr="006E470D">
          <w:rPr>
            <w:rStyle w:val="Hyperlink"/>
            <w:noProof/>
          </w:rPr>
          <w:t>Purpose and methodology</w:t>
        </w:r>
        <w:r>
          <w:rPr>
            <w:noProof/>
            <w:webHidden/>
          </w:rPr>
          <w:tab/>
        </w:r>
        <w:r>
          <w:rPr>
            <w:noProof/>
            <w:webHidden/>
          </w:rPr>
          <w:fldChar w:fldCharType="begin"/>
        </w:r>
        <w:r>
          <w:rPr>
            <w:noProof/>
            <w:webHidden/>
          </w:rPr>
          <w:instrText xml:space="preserve"> PAGEREF _Toc220937600 \h </w:instrText>
        </w:r>
        <w:r>
          <w:rPr>
            <w:noProof/>
            <w:webHidden/>
          </w:rPr>
        </w:r>
        <w:r>
          <w:rPr>
            <w:noProof/>
            <w:webHidden/>
          </w:rPr>
          <w:fldChar w:fldCharType="separate"/>
        </w:r>
        <w:r>
          <w:rPr>
            <w:noProof/>
            <w:webHidden/>
          </w:rPr>
          <w:t>4</w:t>
        </w:r>
        <w:r>
          <w:rPr>
            <w:noProof/>
            <w:webHidden/>
          </w:rPr>
          <w:fldChar w:fldCharType="end"/>
        </w:r>
      </w:hyperlink>
    </w:p>
    <w:p w14:paraId="34642576" w14:textId="3781CC16" w:rsidR="009060EB" w:rsidRDefault="009060EB">
      <w:pPr>
        <w:pStyle w:val="TOC2"/>
        <w:tabs>
          <w:tab w:val="left" w:pos="960"/>
          <w:tab w:val="right" w:leader="dot" w:pos="9016"/>
        </w:tabs>
        <w:rPr>
          <w:rFonts w:eastAsiaTheme="minorEastAsia"/>
          <w:noProof/>
          <w:lang w:eastAsia="en-GB"/>
        </w:rPr>
      </w:pPr>
      <w:hyperlink w:anchor="_Toc220937601" w:history="1">
        <w:r w:rsidRPr="006E470D">
          <w:rPr>
            <w:rStyle w:val="Hyperlink"/>
            <w:rFonts w:ascii="Aptos" w:eastAsia="Aptos" w:hAnsi="Aptos" w:cs="Aptos"/>
            <w:noProof/>
          </w:rPr>
          <w:t>1.1.</w:t>
        </w:r>
        <w:r>
          <w:rPr>
            <w:rFonts w:eastAsiaTheme="minorEastAsia"/>
            <w:noProof/>
            <w:lang w:eastAsia="en-GB"/>
          </w:rPr>
          <w:tab/>
        </w:r>
        <w:r w:rsidRPr="006E470D">
          <w:rPr>
            <w:rStyle w:val="Hyperlink"/>
            <w:noProof/>
          </w:rPr>
          <w:t>Purpose</w:t>
        </w:r>
        <w:r>
          <w:rPr>
            <w:noProof/>
            <w:webHidden/>
          </w:rPr>
          <w:tab/>
        </w:r>
        <w:r>
          <w:rPr>
            <w:noProof/>
            <w:webHidden/>
          </w:rPr>
          <w:fldChar w:fldCharType="begin"/>
        </w:r>
        <w:r>
          <w:rPr>
            <w:noProof/>
            <w:webHidden/>
          </w:rPr>
          <w:instrText xml:space="preserve"> PAGEREF _Toc220937601 \h </w:instrText>
        </w:r>
        <w:r>
          <w:rPr>
            <w:noProof/>
            <w:webHidden/>
          </w:rPr>
        </w:r>
        <w:r>
          <w:rPr>
            <w:noProof/>
            <w:webHidden/>
          </w:rPr>
          <w:fldChar w:fldCharType="separate"/>
        </w:r>
        <w:r>
          <w:rPr>
            <w:noProof/>
            <w:webHidden/>
          </w:rPr>
          <w:t>4</w:t>
        </w:r>
        <w:r>
          <w:rPr>
            <w:noProof/>
            <w:webHidden/>
          </w:rPr>
          <w:fldChar w:fldCharType="end"/>
        </w:r>
      </w:hyperlink>
    </w:p>
    <w:p w14:paraId="00FDF733" w14:textId="6E0E0817" w:rsidR="009060EB" w:rsidRDefault="009060EB">
      <w:pPr>
        <w:pStyle w:val="TOC2"/>
        <w:tabs>
          <w:tab w:val="left" w:pos="960"/>
          <w:tab w:val="right" w:leader="dot" w:pos="9016"/>
        </w:tabs>
        <w:rPr>
          <w:rFonts w:eastAsiaTheme="minorEastAsia"/>
          <w:noProof/>
          <w:lang w:eastAsia="en-GB"/>
        </w:rPr>
      </w:pPr>
      <w:hyperlink w:anchor="_Toc220937602" w:history="1">
        <w:r w:rsidRPr="006E470D">
          <w:rPr>
            <w:rStyle w:val="Hyperlink"/>
            <w:noProof/>
          </w:rPr>
          <w:t>1.2.</w:t>
        </w:r>
        <w:r>
          <w:rPr>
            <w:rFonts w:eastAsiaTheme="minorEastAsia"/>
            <w:noProof/>
            <w:lang w:eastAsia="en-GB"/>
          </w:rPr>
          <w:tab/>
        </w:r>
        <w:r w:rsidRPr="006E470D">
          <w:rPr>
            <w:rStyle w:val="Hyperlink"/>
            <w:noProof/>
          </w:rPr>
          <w:t>Notes on methodology</w:t>
        </w:r>
        <w:r>
          <w:rPr>
            <w:noProof/>
            <w:webHidden/>
          </w:rPr>
          <w:tab/>
        </w:r>
        <w:r>
          <w:rPr>
            <w:noProof/>
            <w:webHidden/>
          </w:rPr>
          <w:fldChar w:fldCharType="begin"/>
        </w:r>
        <w:r>
          <w:rPr>
            <w:noProof/>
            <w:webHidden/>
          </w:rPr>
          <w:instrText xml:space="preserve"> PAGEREF _Toc220937602 \h </w:instrText>
        </w:r>
        <w:r>
          <w:rPr>
            <w:noProof/>
            <w:webHidden/>
          </w:rPr>
        </w:r>
        <w:r>
          <w:rPr>
            <w:noProof/>
            <w:webHidden/>
          </w:rPr>
          <w:fldChar w:fldCharType="separate"/>
        </w:r>
        <w:r>
          <w:rPr>
            <w:noProof/>
            <w:webHidden/>
          </w:rPr>
          <w:t>4</w:t>
        </w:r>
        <w:r>
          <w:rPr>
            <w:noProof/>
            <w:webHidden/>
          </w:rPr>
          <w:fldChar w:fldCharType="end"/>
        </w:r>
      </w:hyperlink>
    </w:p>
    <w:p w14:paraId="2A011AC3" w14:textId="198764A7" w:rsidR="009060EB" w:rsidRDefault="009060EB">
      <w:pPr>
        <w:pStyle w:val="TOC1"/>
        <w:tabs>
          <w:tab w:val="left" w:pos="480"/>
          <w:tab w:val="right" w:leader="dot" w:pos="9016"/>
        </w:tabs>
        <w:rPr>
          <w:rFonts w:eastAsiaTheme="minorEastAsia"/>
          <w:noProof/>
          <w:lang w:eastAsia="en-GB"/>
        </w:rPr>
      </w:pPr>
      <w:hyperlink w:anchor="_Toc220937603" w:history="1">
        <w:r w:rsidRPr="006E470D">
          <w:rPr>
            <w:rStyle w:val="Hyperlink"/>
            <w:noProof/>
          </w:rPr>
          <w:t>2.</w:t>
        </w:r>
        <w:r>
          <w:rPr>
            <w:rFonts w:eastAsiaTheme="minorEastAsia"/>
            <w:noProof/>
            <w:lang w:eastAsia="en-GB"/>
          </w:rPr>
          <w:tab/>
        </w:r>
        <w:r w:rsidRPr="006E470D">
          <w:rPr>
            <w:rStyle w:val="Hyperlink"/>
            <w:noProof/>
          </w:rPr>
          <w:t>Demographics</w:t>
        </w:r>
        <w:r>
          <w:rPr>
            <w:noProof/>
            <w:webHidden/>
          </w:rPr>
          <w:tab/>
        </w:r>
        <w:r>
          <w:rPr>
            <w:noProof/>
            <w:webHidden/>
          </w:rPr>
          <w:fldChar w:fldCharType="begin"/>
        </w:r>
        <w:r>
          <w:rPr>
            <w:noProof/>
            <w:webHidden/>
          </w:rPr>
          <w:instrText xml:space="preserve"> PAGEREF _Toc220937603 \h </w:instrText>
        </w:r>
        <w:r>
          <w:rPr>
            <w:noProof/>
            <w:webHidden/>
          </w:rPr>
        </w:r>
        <w:r>
          <w:rPr>
            <w:noProof/>
            <w:webHidden/>
          </w:rPr>
          <w:fldChar w:fldCharType="separate"/>
        </w:r>
        <w:r>
          <w:rPr>
            <w:noProof/>
            <w:webHidden/>
          </w:rPr>
          <w:t>5</w:t>
        </w:r>
        <w:r>
          <w:rPr>
            <w:noProof/>
            <w:webHidden/>
          </w:rPr>
          <w:fldChar w:fldCharType="end"/>
        </w:r>
      </w:hyperlink>
    </w:p>
    <w:p w14:paraId="076C61A8" w14:textId="305BB265" w:rsidR="009060EB" w:rsidRDefault="009060EB">
      <w:pPr>
        <w:pStyle w:val="TOC2"/>
        <w:tabs>
          <w:tab w:val="left" w:pos="960"/>
          <w:tab w:val="right" w:leader="dot" w:pos="9016"/>
        </w:tabs>
        <w:rPr>
          <w:rFonts w:eastAsiaTheme="minorEastAsia"/>
          <w:noProof/>
          <w:lang w:eastAsia="en-GB"/>
        </w:rPr>
      </w:pPr>
      <w:hyperlink w:anchor="_Toc220937604" w:history="1">
        <w:r w:rsidRPr="006E470D">
          <w:rPr>
            <w:rStyle w:val="Hyperlink"/>
            <w:noProof/>
          </w:rPr>
          <w:t>2.1.</w:t>
        </w:r>
        <w:r>
          <w:rPr>
            <w:rFonts w:eastAsiaTheme="minorEastAsia"/>
            <w:noProof/>
            <w:lang w:eastAsia="en-GB"/>
          </w:rPr>
          <w:tab/>
        </w:r>
        <w:r w:rsidRPr="006E470D">
          <w:rPr>
            <w:rStyle w:val="Hyperlink"/>
            <w:noProof/>
          </w:rPr>
          <w:t>Age and sex</w:t>
        </w:r>
        <w:r>
          <w:rPr>
            <w:noProof/>
            <w:webHidden/>
          </w:rPr>
          <w:tab/>
        </w:r>
        <w:r>
          <w:rPr>
            <w:noProof/>
            <w:webHidden/>
          </w:rPr>
          <w:fldChar w:fldCharType="begin"/>
        </w:r>
        <w:r>
          <w:rPr>
            <w:noProof/>
            <w:webHidden/>
          </w:rPr>
          <w:instrText xml:space="preserve"> PAGEREF _Toc220937604 \h </w:instrText>
        </w:r>
        <w:r>
          <w:rPr>
            <w:noProof/>
            <w:webHidden/>
          </w:rPr>
        </w:r>
        <w:r>
          <w:rPr>
            <w:noProof/>
            <w:webHidden/>
          </w:rPr>
          <w:fldChar w:fldCharType="separate"/>
        </w:r>
        <w:r>
          <w:rPr>
            <w:noProof/>
            <w:webHidden/>
          </w:rPr>
          <w:t>5</w:t>
        </w:r>
        <w:r>
          <w:rPr>
            <w:noProof/>
            <w:webHidden/>
          </w:rPr>
          <w:fldChar w:fldCharType="end"/>
        </w:r>
      </w:hyperlink>
    </w:p>
    <w:p w14:paraId="63EB10D8" w14:textId="13088D7F" w:rsidR="009060EB" w:rsidRDefault="009060EB">
      <w:pPr>
        <w:pStyle w:val="TOC2"/>
        <w:tabs>
          <w:tab w:val="left" w:pos="960"/>
          <w:tab w:val="right" w:leader="dot" w:pos="9016"/>
        </w:tabs>
        <w:rPr>
          <w:rFonts w:eastAsiaTheme="minorEastAsia"/>
          <w:noProof/>
          <w:lang w:eastAsia="en-GB"/>
        </w:rPr>
      </w:pPr>
      <w:hyperlink w:anchor="_Toc220937605" w:history="1">
        <w:r w:rsidRPr="006E470D">
          <w:rPr>
            <w:rStyle w:val="Hyperlink"/>
            <w:noProof/>
          </w:rPr>
          <w:t>2.2.</w:t>
        </w:r>
        <w:r>
          <w:rPr>
            <w:rFonts w:eastAsiaTheme="minorEastAsia"/>
            <w:noProof/>
            <w:lang w:eastAsia="en-GB"/>
          </w:rPr>
          <w:tab/>
        </w:r>
        <w:r w:rsidRPr="006E470D">
          <w:rPr>
            <w:rStyle w:val="Hyperlink"/>
            <w:noProof/>
          </w:rPr>
          <w:t>Population Pyramid</w:t>
        </w:r>
        <w:r>
          <w:rPr>
            <w:noProof/>
            <w:webHidden/>
          </w:rPr>
          <w:tab/>
        </w:r>
        <w:r>
          <w:rPr>
            <w:noProof/>
            <w:webHidden/>
          </w:rPr>
          <w:fldChar w:fldCharType="begin"/>
        </w:r>
        <w:r>
          <w:rPr>
            <w:noProof/>
            <w:webHidden/>
          </w:rPr>
          <w:instrText xml:space="preserve"> PAGEREF _Toc220937605 \h </w:instrText>
        </w:r>
        <w:r>
          <w:rPr>
            <w:noProof/>
            <w:webHidden/>
          </w:rPr>
        </w:r>
        <w:r>
          <w:rPr>
            <w:noProof/>
            <w:webHidden/>
          </w:rPr>
          <w:fldChar w:fldCharType="separate"/>
        </w:r>
        <w:r>
          <w:rPr>
            <w:noProof/>
            <w:webHidden/>
          </w:rPr>
          <w:t>7</w:t>
        </w:r>
        <w:r>
          <w:rPr>
            <w:noProof/>
            <w:webHidden/>
          </w:rPr>
          <w:fldChar w:fldCharType="end"/>
        </w:r>
      </w:hyperlink>
    </w:p>
    <w:p w14:paraId="4BF20BC1" w14:textId="21F7A8CB" w:rsidR="009060EB" w:rsidRDefault="009060EB">
      <w:pPr>
        <w:pStyle w:val="TOC2"/>
        <w:tabs>
          <w:tab w:val="left" w:pos="960"/>
          <w:tab w:val="right" w:leader="dot" w:pos="9016"/>
        </w:tabs>
        <w:rPr>
          <w:rFonts w:eastAsiaTheme="minorEastAsia"/>
          <w:noProof/>
          <w:lang w:eastAsia="en-GB"/>
        </w:rPr>
      </w:pPr>
      <w:hyperlink w:anchor="_Toc220937606" w:history="1">
        <w:r w:rsidRPr="006E470D">
          <w:rPr>
            <w:rStyle w:val="Hyperlink"/>
            <w:noProof/>
          </w:rPr>
          <w:t>2.3.</w:t>
        </w:r>
        <w:r>
          <w:rPr>
            <w:rFonts w:eastAsiaTheme="minorEastAsia"/>
            <w:noProof/>
            <w:lang w:eastAsia="en-GB"/>
          </w:rPr>
          <w:tab/>
        </w:r>
        <w:r w:rsidRPr="006E470D">
          <w:rPr>
            <w:rStyle w:val="Hyperlink"/>
            <w:noProof/>
          </w:rPr>
          <w:t>Household composition</w:t>
        </w:r>
        <w:r>
          <w:rPr>
            <w:noProof/>
            <w:webHidden/>
          </w:rPr>
          <w:tab/>
        </w:r>
        <w:r>
          <w:rPr>
            <w:noProof/>
            <w:webHidden/>
          </w:rPr>
          <w:fldChar w:fldCharType="begin"/>
        </w:r>
        <w:r>
          <w:rPr>
            <w:noProof/>
            <w:webHidden/>
          </w:rPr>
          <w:instrText xml:space="preserve"> PAGEREF _Toc220937606 \h </w:instrText>
        </w:r>
        <w:r>
          <w:rPr>
            <w:noProof/>
            <w:webHidden/>
          </w:rPr>
        </w:r>
        <w:r>
          <w:rPr>
            <w:noProof/>
            <w:webHidden/>
          </w:rPr>
          <w:fldChar w:fldCharType="separate"/>
        </w:r>
        <w:r>
          <w:rPr>
            <w:noProof/>
            <w:webHidden/>
          </w:rPr>
          <w:t>8</w:t>
        </w:r>
        <w:r>
          <w:rPr>
            <w:noProof/>
            <w:webHidden/>
          </w:rPr>
          <w:fldChar w:fldCharType="end"/>
        </w:r>
      </w:hyperlink>
    </w:p>
    <w:p w14:paraId="1FB9CA6D" w14:textId="3D63E9E5" w:rsidR="009060EB" w:rsidRDefault="009060EB">
      <w:pPr>
        <w:pStyle w:val="TOC2"/>
        <w:tabs>
          <w:tab w:val="left" w:pos="960"/>
          <w:tab w:val="right" w:leader="dot" w:pos="9016"/>
        </w:tabs>
        <w:rPr>
          <w:rFonts w:eastAsiaTheme="minorEastAsia"/>
          <w:noProof/>
          <w:lang w:eastAsia="en-GB"/>
        </w:rPr>
      </w:pPr>
      <w:hyperlink w:anchor="_Toc220937607" w:history="1">
        <w:r w:rsidRPr="006E470D">
          <w:rPr>
            <w:rStyle w:val="Hyperlink"/>
            <w:noProof/>
          </w:rPr>
          <w:t>2.4.</w:t>
        </w:r>
        <w:r>
          <w:rPr>
            <w:rFonts w:eastAsiaTheme="minorEastAsia"/>
            <w:noProof/>
            <w:lang w:eastAsia="en-GB"/>
          </w:rPr>
          <w:tab/>
        </w:r>
        <w:r w:rsidRPr="006E470D">
          <w:rPr>
            <w:rStyle w:val="Hyperlink"/>
            <w:noProof/>
          </w:rPr>
          <w:t>Ethnic group distribution</w:t>
        </w:r>
        <w:r>
          <w:rPr>
            <w:noProof/>
            <w:webHidden/>
          </w:rPr>
          <w:tab/>
        </w:r>
        <w:r>
          <w:rPr>
            <w:noProof/>
            <w:webHidden/>
          </w:rPr>
          <w:fldChar w:fldCharType="begin"/>
        </w:r>
        <w:r>
          <w:rPr>
            <w:noProof/>
            <w:webHidden/>
          </w:rPr>
          <w:instrText xml:space="preserve"> PAGEREF _Toc220937607 \h </w:instrText>
        </w:r>
        <w:r>
          <w:rPr>
            <w:noProof/>
            <w:webHidden/>
          </w:rPr>
        </w:r>
        <w:r>
          <w:rPr>
            <w:noProof/>
            <w:webHidden/>
          </w:rPr>
          <w:fldChar w:fldCharType="separate"/>
        </w:r>
        <w:r>
          <w:rPr>
            <w:noProof/>
            <w:webHidden/>
          </w:rPr>
          <w:t>11</w:t>
        </w:r>
        <w:r>
          <w:rPr>
            <w:noProof/>
            <w:webHidden/>
          </w:rPr>
          <w:fldChar w:fldCharType="end"/>
        </w:r>
      </w:hyperlink>
    </w:p>
    <w:p w14:paraId="35976CDF" w14:textId="4623F5F2" w:rsidR="009060EB" w:rsidRDefault="009060EB">
      <w:pPr>
        <w:pStyle w:val="TOC2"/>
        <w:tabs>
          <w:tab w:val="left" w:pos="960"/>
          <w:tab w:val="right" w:leader="dot" w:pos="9016"/>
        </w:tabs>
        <w:rPr>
          <w:rFonts w:eastAsiaTheme="minorEastAsia"/>
          <w:noProof/>
          <w:lang w:eastAsia="en-GB"/>
        </w:rPr>
      </w:pPr>
      <w:hyperlink w:anchor="_Toc220937608" w:history="1">
        <w:r w:rsidRPr="006E470D">
          <w:rPr>
            <w:rStyle w:val="Hyperlink"/>
            <w:noProof/>
          </w:rPr>
          <w:t>2.5.</w:t>
        </w:r>
        <w:r>
          <w:rPr>
            <w:rFonts w:eastAsiaTheme="minorEastAsia"/>
            <w:noProof/>
            <w:lang w:eastAsia="en-GB"/>
          </w:rPr>
          <w:tab/>
        </w:r>
        <w:r w:rsidRPr="006E470D">
          <w:rPr>
            <w:rStyle w:val="Hyperlink"/>
            <w:noProof/>
          </w:rPr>
          <w:t>Population change</w:t>
        </w:r>
        <w:r>
          <w:rPr>
            <w:noProof/>
            <w:webHidden/>
          </w:rPr>
          <w:tab/>
        </w:r>
        <w:r>
          <w:rPr>
            <w:noProof/>
            <w:webHidden/>
          </w:rPr>
          <w:fldChar w:fldCharType="begin"/>
        </w:r>
        <w:r>
          <w:rPr>
            <w:noProof/>
            <w:webHidden/>
          </w:rPr>
          <w:instrText xml:space="preserve"> PAGEREF _Toc220937608 \h </w:instrText>
        </w:r>
        <w:r>
          <w:rPr>
            <w:noProof/>
            <w:webHidden/>
          </w:rPr>
        </w:r>
        <w:r>
          <w:rPr>
            <w:noProof/>
            <w:webHidden/>
          </w:rPr>
          <w:fldChar w:fldCharType="separate"/>
        </w:r>
        <w:r>
          <w:rPr>
            <w:noProof/>
            <w:webHidden/>
          </w:rPr>
          <w:t>13</w:t>
        </w:r>
        <w:r>
          <w:rPr>
            <w:noProof/>
            <w:webHidden/>
          </w:rPr>
          <w:fldChar w:fldCharType="end"/>
        </w:r>
      </w:hyperlink>
    </w:p>
    <w:p w14:paraId="0D388679" w14:textId="2DB6B772" w:rsidR="009060EB" w:rsidRDefault="009060EB">
      <w:pPr>
        <w:pStyle w:val="TOC2"/>
        <w:tabs>
          <w:tab w:val="left" w:pos="960"/>
          <w:tab w:val="right" w:leader="dot" w:pos="9016"/>
        </w:tabs>
        <w:rPr>
          <w:rFonts w:eastAsiaTheme="minorEastAsia"/>
          <w:noProof/>
          <w:lang w:eastAsia="en-GB"/>
        </w:rPr>
      </w:pPr>
      <w:hyperlink w:anchor="_Toc220937609" w:history="1">
        <w:r w:rsidRPr="006E470D">
          <w:rPr>
            <w:rStyle w:val="Hyperlink"/>
            <w:noProof/>
          </w:rPr>
          <w:t>2.6.</w:t>
        </w:r>
        <w:r>
          <w:rPr>
            <w:rFonts w:eastAsiaTheme="minorEastAsia"/>
            <w:noProof/>
            <w:lang w:eastAsia="en-GB"/>
          </w:rPr>
          <w:tab/>
        </w:r>
        <w:r w:rsidRPr="006E470D">
          <w:rPr>
            <w:rStyle w:val="Hyperlink"/>
            <w:noProof/>
          </w:rPr>
          <w:t>Wider determinants of health</w:t>
        </w:r>
        <w:r>
          <w:rPr>
            <w:noProof/>
            <w:webHidden/>
          </w:rPr>
          <w:tab/>
        </w:r>
        <w:r>
          <w:rPr>
            <w:noProof/>
            <w:webHidden/>
          </w:rPr>
          <w:fldChar w:fldCharType="begin"/>
        </w:r>
        <w:r>
          <w:rPr>
            <w:noProof/>
            <w:webHidden/>
          </w:rPr>
          <w:instrText xml:space="preserve"> PAGEREF _Toc220937609 \h </w:instrText>
        </w:r>
        <w:r>
          <w:rPr>
            <w:noProof/>
            <w:webHidden/>
          </w:rPr>
        </w:r>
        <w:r>
          <w:rPr>
            <w:noProof/>
            <w:webHidden/>
          </w:rPr>
          <w:fldChar w:fldCharType="separate"/>
        </w:r>
        <w:r>
          <w:rPr>
            <w:noProof/>
            <w:webHidden/>
          </w:rPr>
          <w:t>19</w:t>
        </w:r>
        <w:r>
          <w:rPr>
            <w:noProof/>
            <w:webHidden/>
          </w:rPr>
          <w:fldChar w:fldCharType="end"/>
        </w:r>
      </w:hyperlink>
    </w:p>
    <w:p w14:paraId="4C8B932B" w14:textId="3518BE4B" w:rsidR="009060EB" w:rsidRDefault="009060EB">
      <w:pPr>
        <w:pStyle w:val="TOC2"/>
        <w:tabs>
          <w:tab w:val="left" w:pos="960"/>
          <w:tab w:val="right" w:leader="dot" w:pos="9016"/>
        </w:tabs>
        <w:rPr>
          <w:rFonts w:eastAsiaTheme="minorEastAsia"/>
          <w:noProof/>
          <w:lang w:eastAsia="en-GB"/>
        </w:rPr>
      </w:pPr>
      <w:hyperlink w:anchor="_Toc220937610" w:history="1">
        <w:r w:rsidRPr="006E470D">
          <w:rPr>
            <w:rStyle w:val="Hyperlink"/>
            <w:noProof/>
          </w:rPr>
          <w:t>2.7.</w:t>
        </w:r>
        <w:r>
          <w:rPr>
            <w:rFonts w:eastAsiaTheme="minorEastAsia"/>
            <w:noProof/>
            <w:lang w:eastAsia="en-GB"/>
          </w:rPr>
          <w:tab/>
        </w:r>
        <w:r w:rsidRPr="006E470D">
          <w:rPr>
            <w:rStyle w:val="Hyperlink"/>
            <w:noProof/>
          </w:rPr>
          <w:t>Health inclusion groups</w:t>
        </w:r>
        <w:r>
          <w:rPr>
            <w:noProof/>
            <w:webHidden/>
          </w:rPr>
          <w:tab/>
        </w:r>
        <w:r>
          <w:rPr>
            <w:noProof/>
            <w:webHidden/>
          </w:rPr>
          <w:fldChar w:fldCharType="begin"/>
        </w:r>
        <w:r>
          <w:rPr>
            <w:noProof/>
            <w:webHidden/>
          </w:rPr>
          <w:instrText xml:space="preserve"> PAGEREF _Toc220937610 \h </w:instrText>
        </w:r>
        <w:r>
          <w:rPr>
            <w:noProof/>
            <w:webHidden/>
          </w:rPr>
        </w:r>
        <w:r>
          <w:rPr>
            <w:noProof/>
            <w:webHidden/>
          </w:rPr>
          <w:fldChar w:fldCharType="separate"/>
        </w:r>
        <w:r>
          <w:rPr>
            <w:noProof/>
            <w:webHidden/>
          </w:rPr>
          <w:t>24</w:t>
        </w:r>
        <w:r>
          <w:rPr>
            <w:noProof/>
            <w:webHidden/>
          </w:rPr>
          <w:fldChar w:fldCharType="end"/>
        </w:r>
      </w:hyperlink>
    </w:p>
    <w:p w14:paraId="2199AFD7" w14:textId="3950104F" w:rsidR="009060EB" w:rsidRDefault="009060EB">
      <w:pPr>
        <w:pStyle w:val="TOC1"/>
        <w:tabs>
          <w:tab w:val="right" w:leader="dot" w:pos="9016"/>
        </w:tabs>
        <w:rPr>
          <w:rFonts w:eastAsiaTheme="minorEastAsia"/>
          <w:noProof/>
          <w:lang w:eastAsia="en-GB"/>
        </w:rPr>
      </w:pPr>
      <w:hyperlink w:anchor="_Toc220937611" w:history="1">
        <w:r w:rsidRPr="006E470D">
          <w:rPr>
            <w:rStyle w:val="Hyperlink"/>
            <w:noProof/>
          </w:rPr>
          <w:t>Demographics summary and key points for consideration:</w:t>
        </w:r>
        <w:r>
          <w:rPr>
            <w:noProof/>
            <w:webHidden/>
          </w:rPr>
          <w:tab/>
        </w:r>
        <w:r>
          <w:rPr>
            <w:noProof/>
            <w:webHidden/>
          </w:rPr>
          <w:fldChar w:fldCharType="begin"/>
        </w:r>
        <w:r>
          <w:rPr>
            <w:noProof/>
            <w:webHidden/>
          </w:rPr>
          <w:instrText xml:space="preserve"> PAGEREF _Toc220937611 \h </w:instrText>
        </w:r>
        <w:r>
          <w:rPr>
            <w:noProof/>
            <w:webHidden/>
          </w:rPr>
        </w:r>
        <w:r>
          <w:rPr>
            <w:noProof/>
            <w:webHidden/>
          </w:rPr>
          <w:fldChar w:fldCharType="separate"/>
        </w:r>
        <w:r>
          <w:rPr>
            <w:noProof/>
            <w:webHidden/>
          </w:rPr>
          <w:t>31</w:t>
        </w:r>
        <w:r>
          <w:rPr>
            <w:noProof/>
            <w:webHidden/>
          </w:rPr>
          <w:fldChar w:fldCharType="end"/>
        </w:r>
      </w:hyperlink>
    </w:p>
    <w:p w14:paraId="1FFB8F11" w14:textId="26791BBE" w:rsidR="009060EB" w:rsidRDefault="009060EB">
      <w:pPr>
        <w:pStyle w:val="TOC1"/>
        <w:tabs>
          <w:tab w:val="left" w:pos="480"/>
          <w:tab w:val="right" w:leader="dot" w:pos="9016"/>
        </w:tabs>
        <w:rPr>
          <w:rFonts w:eastAsiaTheme="minorEastAsia"/>
          <w:noProof/>
          <w:lang w:eastAsia="en-GB"/>
        </w:rPr>
      </w:pPr>
      <w:hyperlink w:anchor="_Toc220937612" w:history="1">
        <w:r w:rsidRPr="006E470D">
          <w:rPr>
            <w:rStyle w:val="Hyperlink"/>
            <w:noProof/>
          </w:rPr>
          <w:t>3.</w:t>
        </w:r>
        <w:r>
          <w:rPr>
            <w:rFonts w:eastAsiaTheme="minorEastAsia"/>
            <w:noProof/>
            <w:lang w:eastAsia="en-GB"/>
          </w:rPr>
          <w:tab/>
        </w:r>
        <w:r w:rsidRPr="006E470D">
          <w:rPr>
            <w:rStyle w:val="Hyperlink"/>
            <w:noProof/>
          </w:rPr>
          <w:t>Mortality and life expectancy</w:t>
        </w:r>
        <w:r>
          <w:rPr>
            <w:noProof/>
            <w:webHidden/>
          </w:rPr>
          <w:tab/>
        </w:r>
        <w:r>
          <w:rPr>
            <w:noProof/>
            <w:webHidden/>
          </w:rPr>
          <w:fldChar w:fldCharType="begin"/>
        </w:r>
        <w:r>
          <w:rPr>
            <w:noProof/>
            <w:webHidden/>
          </w:rPr>
          <w:instrText xml:space="preserve"> PAGEREF _Toc220937612 \h </w:instrText>
        </w:r>
        <w:r>
          <w:rPr>
            <w:noProof/>
            <w:webHidden/>
          </w:rPr>
        </w:r>
        <w:r>
          <w:rPr>
            <w:noProof/>
            <w:webHidden/>
          </w:rPr>
          <w:fldChar w:fldCharType="separate"/>
        </w:r>
        <w:r>
          <w:rPr>
            <w:noProof/>
            <w:webHidden/>
          </w:rPr>
          <w:t>32</w:t>
        </w:r>
        <w:r>
          <w:rPr>
            <w:noProof/>
            <w:webHidden/>
          </w:rPr>
          <w:fldChar w:fldCharType="end"/>
        </w:r>
      </w:hyperlink>
    </w:p>
    <w:p w14:paraId="10AC4F5A" w14:textId="59BBE27F" w:rsidR="009060EB" w:rsidRDefault="009060EB">
      <w:pPr>
        <w:pStyle w:val="TOC2"/>
        <w:tabs>
          <w:tab w:val="left" w:pos="960"/>
          <w:tab w:val="right" w:leader="dot" w:pos="9016"/>
        </w:tabs>
        <w:rPr>
          <w:rFonts w:eastAsiaTheme="minorEastAsia"/>
          <w:noProof/>
          <w:lang w:eastAsia="en-GB"/>
        </w:rPr>
      </w:pPr>
      <w:hyperlink w:anchor="_Toc220937613" w:history="1">
        <w:r w:rsidRPr="006E470D">
          <w:rPr>
            <w:rStyle w:val="Hyperlink"/>
            <w:noProof/>
          </w:rPr>
          <w:t>3.1.</w:t>
        </w:r>
        <w:r>
          <w:rPr>
            <w:rFonts w:eastAsiaTheme="minorEastAsia"/>
            <w:noProof/>
            <w:lang w:eastAsia="en-GB"/>
          </w:rPr>
          <w:tab/>
        </w:r>
        <w:r w:rsidRPr="006E470D">
          <w:rPr>
            <w:rStyle w:val="Hyperlink"/>
            <w:noProof/>
          </w:rPr>
          <w:t>Life expectancy</w:t>
        </w:r>
        <w:r>
          <w:rPr>
            <w:noProof/>
            <w:webHidden/>
          </w:rPr>
          <w:tab/>
        </w:r>
        <w:r>
          <w:rPr>
            <w:noProof/>
            <w:webHidden/>
          </w:rPr>
          <w:fldChar w:fldCharType="begin"/>
        </w:r>
        <w:r>
          <w:rPr>
            <w:noProof/>
            <w:webHidden/>
          </w:rPr>
          <w:instrText xml:space="preserve"> PAGEREF _Toc220937613 \h </w:instrText>
        </w:r>
        <w:r>
          <w:rPr>
            <w:noProof/>
            <w:webHidden/>
          </w:rPr>
        </w:r>
        <w:r>
          <w:rPr>
            <w:noProof/>
            <w:webHidden/>
          </w:rPr>
          <w:fldChar w:fldCharType="separate"/>
        </w:r>
        <w:r>
          <w:rPr>
            <w:noProof/>
            <w:webHidden/>
          </w:rPr>
          <w:t>32</w:t>
        </w:r>
        <w:r>
          <w:rPr>
            <w:noProof/>
            <w:webHidden/>
          </w:rPr>
          <w:fldChar w:fldCharType="end"/>
        </w:r>
      </w:hyperlink>
    </w:p>
    <w:p w14:paraId="3D6CF0CF" w14:textId="7C31D8F8" w:rsidR="009060EB" w:rsidRDefault="009060EB">
      <w:pPr>
        <w:pStyle w:val="TOC2"/>
        <w:tabs>
          <w:tab w:val="left" w:pos="960"/>
          <w:tab w:val="right" w:leader="dot" w:pos="9016"/>
        </w:tabs>
        <w:rPr>
          <w:rFonts w:eastAsiaTheme="minorEastAsia"/>
          <w:noProof/>
          <w:lang w:eastAsia="en-GB"/>
        </w:rPr>
      </w:pPr>
      <w:hyperlink w:anchor="_Toc220937614" w:history="1">
        <w:r w:rsidRPr="006E470D">
          <w:rPr>
            <w:rStyle w:val="Hyperlink"/>
            <w:noProof/>
          </w:rPr>
          <w:t>3.2.</w:t>
        </w:r>
        <w:r>
          <w:rPr>
            <w:rFonts w:eastAsiaTheme="minorEastAsia"/>
            <w:noProof/>
            <w:lang w:eastAsia="en-GB"/>
          </w:rPr>
          <w:tab/>
        </w:r>
        <w:r w:rsidRPr="006E470D">
          <w:rPr>
            <w:rStyle w:val="Hyperlink"/>
            <w:noProof/>
          </w:rPr>
          <w:t>Healthy life expectancy</w:t>
        </w:r>
        <w:r>
          <w:rPr>
            <w:noProof/>
            <w:webHidden/>
          </w:rPr>
          <w:tab/>
        </w:r>
        <w:r>
          <w:rPr>
            <w:noProof/>
            <w:webHidden/>
          </w:rPr>
          <w:fldChar w:fldCharType="begin"/>
        </w:r>
        <w:r>
          <w:rPr>
            <w:noProof/>
            <w:webHidden/>
          </w:rPr>
          <w:instrText xml:space="preserve"> PAGEREF _Toc220937614 \h </w:instrText>
        </w:r>
        <w:r>
          <w:rPr>
            <w:noProof/>
            <w:webHidden/>
          </w:rPr>
        </w:r>
        <w:r>
          <w:rPr>
            <w:noProof/>
            <w:webHidden/>
          </w:rPr>
          <w:fldChar w:fldCharType="separate"/>
        </w:r>
        <w:r>
          <w:rPr>
            <w:noProof/>
            <w:webHidden/>
          </w:rPr>
          <w:t>35</w:t>
        </w:r>
        <w:r>
          <w:rPr>
            <w:noProof/>
            <w:webHidden/>
          </w:rPr>
          <w:fldChar w:fldCharType="end"/>
        </w:r>
      </w:hyperlink>
    </w:p>
    <w:p w14:paraId="175F091F" w14:textId="64116769" w:rsidR="009060EB" w:rsidRDefault="009060EB">
      <w:pPr>
        <w:pStyle w:val="TOC2"/>
        <w:tabs>
          <w:tab w:val="left" w:pos="960"/>
          <w:tab w:val="right" w:leader="dot" w:pos="9016"/>
        </w:tabs>
        <w:rPr>
          <w:rFonts w:eastAsiaTheme="minorEastAsia"/>
          <w:noProof/>
          <w:lang w:eastAsia="en-GB"/>
        </w:rPr>
      </w:pPr>
      <w:hyperlink w:anchor="_Toc220937615" w:history="1">
        <w:r w:rsidRPr="006E470D">
          <w:rPr>
            <w:rStyle w:val="Hyperlink"/>
            <w:noProof/>
          </w:rPr>
          <w:t>3.3.</w:t>
        </w:r>
        <w:r>
          <w:rPr>
            <w:rFonts w:eastAsiaTheme="minorEastAsia"/>
            <w:noProof/>
            <w:lang w:eastAsia="en-GB"/>
          </w:rPr>
          <w:tab/>
        </w:r>
        <w:r w:rsidRPr="006E470D">
          <w:rPr>
            <w:rStyle w:val="Hyperlink"/>
            <w:noProof/>
          </w:rPr>
          <w:t>Mortality indicators</w:t>
        </w:r>
        <w:r>
          <w:rPr>
            <w:noProof/>
            <w:webHidden/>
          </w:rPr>
          <w:tab/>
        </w:r>
        <w:r>
          <w:rPr>
            <w:noProof/>
            <w:webHidden/>
          </w:rPr>
          <w:fldChar w:fldCharType="begin"/>
        </w:r>
        <w:r>
          <w:rPr>
            <w:noProof/>
            <w:webHidden/>
          </w:rPr>
          <w:instrText xml:space="preserve"> PAGEREF _Toc220937615 \h </w:instrText>
        </w:r>
        <w:r>
          <w:rPr>
            <w:noProof/>
            <w:webHidden/>
          </w:rPr>
        </w:r>
        <w:r>
          <w:rPr>
            <w:noProof/>
            <w:webHidden/>
          </w:rPr>
          <w:fldChar w:fldCharType="separate"/>
        </w:r>
        <w:r>
          <w:rPr>
            <w:noProof/>
            <w:webHidden/>
          </w:rPr>
          <w:t>37</w:t>
        </w:r>
        <w:r>
          <w:rPr>
            <w:noProof/>
            <w:webHidden/>
          </w:rPr>
          <w:fldChar w:fldCharType="end"/>
        </w:r>
      </w:hyperlink>
    </w:p>
    <w:p w14:paraId="33EDAE86" w14:textId="7744EB42" w:rsidR="009060EB" w:rsidRDefault="009060EB">
      <w:pPr>
        <w:pStyle w:val="TOC2"/>
        <w:tabs>
          <w:tab w:val="left" w:pos="960"/>
          <w:tab w:val="right" w:leader="dot" w:pos="9016"/>
        </w:tabs>
        <w:rPr>
          <w:rFonts w:eastAsiaTheme="minorEastAsia"/>
          <w:noProof/>
          <w:lang w:eastAsia="en-GB"/>
        </w:rPr>
      </w:pPr>
      <w:hyperlink w:anchor="_Toc220937616" w:history="1">
        <w:r w:rsidRPr="006E470D">
          <w:rPr>
            <w:rStyle w:val="Hyperlink"/>
            <w:noProof/>
          </w:rPr>
          <w:t>3.4.</w:t>
        </w:r>
        <w:r>
          <w:rPr>
            <w:rFonts w:eastAsiaTheme="minorEastAsia"/>
            <w:noProof/>
            <w:lang w:eastAsia="en-GB"/>
          </w:rPr>
          <w:tab/>
        </w:r>
        <w:r w:rsidRPr="006E470D">
          <w:rPr>
            <w:rStyle w:val="Hyperlink"/>
            <w:noProof/>
          </w:rPr>
          <w:t>Inequalities in Mortality by Cause</w:t>
        </w:r>
        <w:r>
          <w:rPr>
            <w:noProof/>
            <w:webHidden/>
          </w:rPr>
          <w:tab/>
        </w:r>
        <w:r>
          <w:rPr>
            <w:noProof/>
            <w:webHidden/>
          </w:rPr>
          <w:fldChar w:fldCharType="begin"/>
        </w:r>
        <w:r>
          <w:rPr>
            <w:noProof/>
            <w:webHidden/>
          </w:rPr>
          <w:instrText xml:space="preserve"> PAGEREF _Toc220937616 \h </w:instrText>
        </w:r>
        <w:r>
          <w:rPr>
            <w:noProof/>
            <w:webHidden/>
          </w:rPr>
        </w:r>
        <w:r>
          <w:rPr>
            <w:noProof/>
            <w:webHidden/>
          </w:rPr>
          <w:fldChar w:fldCharType="separate"/>
        </w:r>
        <w:r>
          <w:rPr>
            <w:noProof/>
            <w:webHidden/>
          </w:rPr>
          <w:t>41</w:t>
        </w:r>
        <w:r>
          <w:rPr>
            <w:noProof/>
            <w:webHidden/>
          </w:rPr>
          <w:fldChar w:fldCharType="end"/>
        </w:r>
      </w:hyperlink>
    </w:p>
    <w:p w14:paraId="404D105D" w14:textId="32374049" w:rsidR="009060EB" w:rsidRDefault="009060EB">
      <w:pPr>
        <w:pStyle w:val="TOC2"/>
        <w:tabs>
          <w:tab w:val="left" w:pos="960"/>
          <w:tab w:val="right" w:leader="dot" w:pos="9016"/>
        </w:tabs>
        <w:rPr>
          <w:rFonts w:eastAsiaTheme="minorEastAsia"/>
          <w:noProof/>
          <w:lang w:eastAsia="en-GB"/>
        </w:rPr>
      </w:pPr>
      <w:hyperlink w:anchor="_Toc220937617" w:history="1">
        <w:r w:rsidRPr="006E470D">
          <w:rPr>
            <w:rStyle w:val="Hyperlink"/>
            <w:noProof/>
          </w:rPr>
          <w:t>3.5.</w:t>
        </w:r>
        <w:r>
          <w:rPr>
            <w:rFonts w:eastAsiaTheme="minorEastAsia"/>
            <w:noProof/>
            <w:lang w:eastAsia="en-GB"/>
          </w:rPr>
          <w:tab/>
        </w:r>
        <w:r w:rsidRPr="006E470D">
          <w:rPr>
            <w:rStyle w:val="Hyperlink"/>
            <w:noProof/>
          </w:rPr>
          <w:t>Attributable risk</w:t>
        </w:r>
        <w:r>
          <w:rPr>
            <w:noProof/>
            <w:webHidden/>
          </w:rPr>
          <w:tab/>
        </w:r>
        <w:r>
          <w:rPr>
            <w:noProof/>
            <w:webHidden/>
          </w:rPr>
          <w:fldChar w:fldCharType="begin"/>
        </w:r>
        <w:r>
          <w:rPr>
            <w:noProof/>
            <w:webHidden/>
          </w:rPr>
          <w:instrText xml:space="preserve"> PAGEREF _Toc220937617 \h </w:instrText>
        </w:r>
        <w:r>
          <w:rPr>
            <w:noProof/>
            <w:webHidden/>
          </w:rPr>
        </w:r>
        <w:r>
          <w:rPr>
            <w:noProof/>
            <w:webHidden/>
          </w:rPr>
          <w:fldChar w:fldCharType="separate"/>
        </w:r>
        <w:r>
          <w:rPr>
            <w:noProof/>
            <w:webHidden/>
          </w:rPr>
          <w:t>43</w:t>
        </w:r>
        <w:r>
          <w:rPr>
            <w:noProof/>
            <w:webHidden/>
          </w:rPr>
          <w:fldChar w:fldCharType="end"/>
        </w:r>
      </w:hyperlink>
    </w:p>
    <w:p w14:paraId="677996C6" w14:textId="71F1E1E0" w:rsidR="009060EB" w:rsidRDefault="009060EB">
      <w:pPr>
        <w:pStyle w:val="TOC1"/>
        <w:tabs>
          <w:tab w:val="right" w:leader="dot" w:pos="9016"/>
        </w:tabs>
        <w:rPr>
          <w:rFonts w:eastAsiaTheme="minorEastAsia"/>
          <w:noProof/>
          <w:lang w:eastAsia="en-GB"/>
        </w:rPr>
      </w:pPr>
      <w:hyperlink w:anchor="_Toc220937618" w:history="1">
        <w:r w:rsidRPr="006E470D">
          <w:rPr>
            <w:rStyle w:val="Hyperlink"/>
            <w:noProof/>
          </w:rPr>
          <w:t>Mortality and life expectancy summary and key points</w:t>
        </w:r>
        <w:r>
          <w:rPr>
            <w:noProof/>
            <w:webHidden/>
          </w:rPr>
          <w:tab/>
        </w:r>
        <w:r>
          <w:rPr>
            <w:noProof/>
            <w:webHidden/>
          </w:rPr>
          <w:fldChar w:fldCharType="begin"/>
        </w:r>
        <w:r>
          <w:rPr>
            <w:noProof/>
            <w:webHidden/>
          </w:rPr>
          <w:instrText xml:space="preserve"> PAGEREF _Toc220937618 \h </w:instrText>
        </w:r>
        <w:r>
          <w:rPr>
            <w:noProof/>
            <w:webHidden/>
          </w:rPr>
        </w:r>
        <w:r>
          <w:rPr>
            <w:noProof/>
            <w:webHidden/>
          </w:rPr>
          <w:fldChar w:fldCharType="separate"/>
        </w:r>
        <w:r>
          <w:rPr>
            <w:noProof/>
            <w:webHidden/>
          </w:rPr>
          <w:t>45</w:t>
        </w:r>
        <w:r>
          <w:rPr>
            <w:noProof/>
            <w:webHidden/>
          </w:rPr>
          <w:fldChar w:fldCharType="end"/>
        </w:r>
      </w:hyperlink>
    </w:p>
    <w:p w14:paraId="3E9A25B6" w14:textId="4D63B7E5" w:rsidR="009060EB" w:rsidRDefault="009060EB">
      <w:pPr>
        <w:pStyle w:val="TOC1"/>
        <w:tabs>
          <w:tab w:val="left" w:pos="480"/>
          <w:tab w:val="right" w:leader="dot" w:pos="9016"/>
        </w:tabs>
        <w:rPr>
          <w:rFonts w:eastAsiaTheme="minorEastAsia"/>
          <w:noProof/>
          <w:lang w:eastAsia="en-GB"/>
        </w:rPr>
      </w:pPr>
      <w:hyperlink w:anchor="_Toc220937619" w:history="1">
        <w:r w:rsidRPr="006E470D">
          <w:rPr>
            <w:rStyle w:val="Hyperlink"/>
            <w:noProof/>
          </w:rPr>
          <w:t>4.</w:t>
        </w:r>
        <w:r>
          <w:rPr>
            <w:rFonts w:eastAsiaTheme="minorEastAsia"/>
            <w:noProof/>
            <w:lang w:eastAsia="en-GB"/>
          </w:rPr>
          <w:tab/>
        </w:r>
        <w:r w:rsidRPr="006E470D">
          <w:rPr>
            <w:rStyle w:val="Hyperlink"/>
            <w:noProof/>
          </w:rPr>
          <w:t>Health status and outcomes</w:t>
        </w:r>
        <w:r>
          <w:rPr>
            <w:noProof/>
            <w:webHidden/>
          </w:rPr>
          <w:tab/>
        </w:r>
        <w:r>
          <w:rPr>
            <w:noProof/>
            <w:webHidden/>
          </w:rPr>
          <w:fldChar w:fldCharType="begin"/>
        </w:r>
        <w:r>
          <w:rPr>
            <w:noProof/>
            <w:webHidden/>
          </w:rPr>
          <w:instrText xml:space="preserve"> PAGEREF _Toc220937619 \h </w:instrText>
        </w:r>
        <w:r>
          <w:rPr>
            <w:noProof/>
            <w:webHidden/>
          </w:rPr>
        </w:r>
        <w:r>
          <w:rPr>
            <w:noProof/>
            <w:webHidden/>
          </w:rPr>
          <w:fldChar w:fldCharType="separate"/>
        </w:r>
        <w:r>
          <w:rPr>
            <w:noProof/>
            <w:webHidden/>
          </w:rPr>
          <w:t>46</w:t>
        </w:r>
        <w:r>
          <w:rPr>
            <w:noProof/>
            <w:webHidden/>
          </w:rPr>
          <w:fldChar w:fldCharType="end"/>
        </w:r>
      </w:hyperlink>
    </w:p>
    <w:p w14:paraId="3AA593A7" w14:textId="662370A3" w:rsidR="009060EB" w:rsidRDefault="009060EB">
      <w:pPr>
        <w:pStyle w:val="TOC2"/>
        <w:tabs>
          <w:tab w:val="left" w:pos="960"/>
          <w:tab w:val="right" w:leader="dot" w:pos="9016"/>
        </w:tabs>
        <w:rPr>
          <w:rFonts w:eastAsiaTheme="minorEastAsia"/>
          <w:noProof/>
          <w:lang w:eastAsia="en-GB"/>
        </w:rPr>
      </w:pPr>
      <w:hyperlink w:anchor="_Toc220937620" w:history="1">
        <w:r w:rsidRPr="006E470D">
          <w:rPr>
            <w:rStyle w:val="Hyperlink"/>
            <w:noProof/>
          </w:rPr>
          <w:t>4.1.</w:t>
        </w:r>
        <w:r>
          <w:rPr>
            <w:rFonts w:eastAsiaTheme="minorEastAsia"/>
            <w:noProof/>
            <w:lang w:eastAsia="en-GB"/>
          </w:rPr>
          <w:tab/>
        </w:r>
        <w:r w:rsidRPr="006E470D">
          <w:rPr>
            <w:rStyle w:val="Hyperlink"/>
            <w:noProof/>
          </w:rPr>
          <w:t>LTCs prevalence</w:t>
        </w:r>
        <w:r>
          <w:rPr>
            <w:noProof/>
            <w:webHidden/>
          </w:rPr>
          <w:tab/>
        </w:r>
        <w:r>
          <w:rPr>
            <w:noProof/>
            <w:webHidden/>
          </w:rPr>
          <w:fldChar w:fldCharType="begin"/>
        </w:r>
        <w:r>
          <w:rPr>
            <w:noProof/>
            <w:webHidden/>
          </w:rPr>
          <w:instrText xml:space="preserve"> PAGEREF _Toc220937620 \h </w:instrText>
        </w:r>
        <w:r>
          <w:rPr>
            <w:noProof/>
            <w:webHidden/>
          </w:rPr>
        </w:r>
        <w:r>
          <w:rPr>
            <w:noProof/>
            <w:webHidden/>
          </w:rPr>
          <w:fldChar w:fldCharType="separate"/>
        </w:r>
        <w:r>
          <w:rPr>
            <w:noProof/>
            <w:webHidden/>
          </w:rPr>
          <w:t>46</w:t>
        </w:r>
        <w:r>
          <w:rPr>
            <w:noProof/>
            <w:webHidden/>
          </w:rPr>
          <w:fldChar w:fldCharType="end"/>
        </w:r>
      </w:hyperlink>
    </w:p>
    <w:p w14:paraId="7D1E5404" w14:textId="6DD16CCC" w:rsidR="009060EB" w:rsidRDefault="009060EB">
      <w:pPr>
        <w:pStyle w:val="TOC2"/>
        <w:tabs>
          <w:tab w:val="right" w:leader="dot" w:pos="9016"/>
        </w:tabs>
        <w:rPr>
          <w:rFonts w:eastAsiaTheme="minorEastAsia"/>
          <w:noProof/>
          <w:lang w:eastAsia="en-GB"/>
        </w:rPr>
      </w:pPr>
      <w:hyperlink w:anchor="_Toc220937621" w:history="1">
        <w:r w:rsidRPr="006E470D">
          <w:rPr>
            <w:rStyle w:val="Hyperlink"/>
            <w:i/>
            <w:noProof/>
          </w:rPr>
          <w:t>Co-morbidity by deprivation</w:t>
        </w:r>
        <w:r>
          <w:rPr>
            <w:noProof/>
            <w:webHidden/>
          </w:rPr>
          <w:tab/>
        </w:r>
        <w:r>
          <w:rPr>
            <w:noProof/>
            <w:webHidden/>
          </w:rPr>
          <w:fldChar w:fldCharType="begin"/>
        </w:r>
        <w:r>
          <w:rPr>
            <w:noProof/>
            <w:webHidden/>
          </w:rPr>
          <w:instrText xml:space="preserve"> PAGEREF _Toc220937621 \h </w:instrText>
        </w:r>
        <w:r>
          <w:rPr>
            <w:noProof/>
            <w:webHidden/>
          </w:rPr>
        </w:r>
        <w:r>
          <w:rPr>
            <w:noProof/>
            <w:webHidden/>
          </w:rPr>
          <w:fldChar w:fldCharType="separate"/>
        </w:r>
        <w:r>
          <w:rPr>
            <w:noProof/>
            <w:webHidden/>
          </w:rPr>
          <w:t>49</w:t>
        </w:r>
        <w:r>
          <w:rPr>
            <w:noProof/>
            <w:webHidden/>
          </w:rPr>
          <w:fldChar w:fldCharType="end"/>
        </w:r>
      </w:hyperlink>
    </w:p>
    <w:p w14:paraId="0F8A224E" w14:textId="577E55F4" w:rsidR="009060EB" w:rsidRDefault="009060EB">
      <w:pPr>
        <w:pStyle w:val="TOC2"/>
        <w:tabs>
          <w:tab w:val="left" w:pos="960"/>
          <w:tab w:val="right" w:leader="dot" w:pos="9016"/>
        </w:tabs>
        <w:rPr>
          <w:rFonts w:eastAsiaTheme="minorEastAsia"/>
          <w:noProof/>
          <w:lang w:eastAsia="en-GB"/>
        </w:rPr>
      </w:pPr>
      <w:hyperlink w:anchor="_Toc220937622" w:history="1">
        <w:r w:rsidRPr="006E470D">
          <w:rPr>
            <w:rStyle w:val="Hyperlink"/>
            <w:noProof/>
          </w:rPr>
          <w:t>4.2.</w:t>
        </w:r>
        <w:r>
          <w:rPr>
            <w:rFonts w:eastAsiaTheme="minorEastAsia"/>
            <w:noProof/>
            <w:lang w:eastAsia="en-GB"/>
          </w:rPr>
          <w:tab/>
        </w:r>
        <w:r w:rsidRPr="006E470D">
          <w:rPr>
            <w:rStyle w:val="Hyperlink"/>
            <w:noProof/>
          </w:rPr>
          <w:t>Mental health indicators</w:t>
        </w:r>
        <w:r>
          <w:rPr>
            <w:noProof/>
            <w:webHidden/>
          </w:rPr>
          <w:tab/>
        </w:r>
        <w:r>
          <w:rPr>
            <w:noProof/>
            <w:webHidden/>
          </w:rPr>
          <w:fldChar w:fldCharType="begin"/>
        </w:r>
        <w:r>
          <w:rPr>
            <w:noProof/>
            <w:webHidden/>
          </w:rPr>
          <w:instrText xml:space="preserve"> PAGEREF _Toc220937622 \h </w:instrText>
        </w:r>
        <w:r>
          <w:rPr>
            <w:noProof/>
            <w:webHidden/>
          </w:rPr>
        </w:r>
        <w:r>
          <w:rPr>
            <w:noProof/>
            <w:webHidden/>
          </w:rPr>
          <w:fldChar w:fldCharType="separate"/>
        </w:r>
        <w:r>
          <w:rPr>
            <w:noProof/>
            <w:webHidden/>
          </w:rPr>
          <w:t>53</w:t>
        </w:r>
        <w:r>
          <w:rPr>
            <w:noProof/>
            <w:webHidden/>
          </w:rPr>
          <w:fldChar w:fldCharType="end"/>
        </w:r>
      </w:hyperlink>
    </w:p>
    <w:p w14:paraId="4152BFC3" w14:textId="33B22001" w:rsidR="009060EB" w:rsidRDefault="009060EB">
      <w:pPr>
        <w:pStyle w:val="TOC2"/>
        <w:tabs>
          <w:tab w:val="left" w:pos="960"/>
          <w:tab w:val="right" w:leader="dot" w:pos="9016"/>
        </w:tabs>
        <w:rPr>
          <w:rFonts w:eastAsiaTheme="minorEastAsia"/>
          <w:noProof/>
          <w:lang w:eastAsia="en-GB"/>
        </w:rPr>
      </w:pPr>
      <w:hyperlink w:anchor="_Toc220937623" w:history="1">
        <w:r w:rsidRPr="006E470D">
          <w:rPr>
            <w:rStyle w:val="Hyperlink"/>
            <w:noProof/>
          </w:rPr>
          <w:t>4.3.</w:t>
        </w:r>
        <w:r>
          <w:rPr>
            <w:rFonts w:eastAsiaTheme="minorEastAsia"/>
            <w:noProof/>
            <w:lang w:eastAsia="en-GB"/>
          </w:rPr>
          <w:tab/>
        </w:r>
        <w:r w:rsidRPr="006E470D">
          <w:rPr>
            <w:rStyle w:val="Hyperlink"/>
            <w:noProof/>
          </w:rPr>
          <w:t>CYP health status</w:t>
        </w:r>
        <w:r>
          <w:rPr>
            <w:noProof/>
            <w:webHidden/>
          </w:rPr>
          <w:tab/>
        </w:r>
        <w:r>
          <w:rPr>
            <w:noProof/>
            <w:webHidden/>
          </w:rPr>
          <w:fldChar w:fldCharType="begin"/>
        </w:r>
        <w:r>
          <w:rPr>
            <w:noProof/>
            <w:webHidden/>
          </w:rPr>
          <w:instrText xml:space="preserve"> PAGEREF _Toc220937623 \h </w:instrText>
        </w:r>
        <w:r>
          <w:rPr>
            <w:noProof/>
            <w:webHidden/>
          </w:rPr>
        </w:r>
        <w:r>
          <w:rPr>
            <w:noProof/>
            <w:webHidden/>
          </w:rPr>
          <w:fldChar w:fldCharType="separate"/>
        </w:r>
        <w:r>
          <w:rPr>
            <w:noProof/>
            <w:webHidden/>
          </w:rPr>
          <w:t>54</w:t>
        </w:r>
        <w:r>
          <w:rPr>
            <w:noProof/>
            <w:webHidden/>
          </w:rPr>
          <w:fldChar w:fldCharType="end"/>
        </w:r>
      </w:hyperlink>
    </w:p>
    <w:p w14:paraId="1E9362E0" w14:textId="528E3BFD" w:rsidR="009060EB" w:rsidRDefault="009060EB">
      <w:pPr>
        <w:pStyle w:val="TOC2"/>
        <w:tabs>
          <w:tab w:val="left" w:pos="960"/>
          <w:tab w:val="right" w:leader="dot" w:pos="9016"/>
        </w:tabs>
        <w:rPr>
          <w:rFonts w:eastAsiaTheme="minorEastAsia"/>
          <w:noProof/>
          <w:lang w:eastAsia="en-GB"/>
        </w:rPr>
      </w:pPr>
      <w:hyperlink w:anchor="_Toc220937624" w:history="1">
        <w:r w:rsidRPr="006E470D">
          <w:rPr>
            <w:rStyle w:val="Hyperlink"/>
            <w:noProof/>
          </w:rPr>
          <w:t>4.4.</w:t>
        </w:r>
        <w:r>
          <w:rPr>
            <w:rFonts w:eastAsiaTheme="minorEastAsia"/>
            <w:noProof/>
            <w:lang w:eastAsia="en-GB"/>
          </w:rPr>
          <w:tab/>
        </w:r>
        <w:r w:rsidRPr="006E470D">
          <w:rPr>
            <w:rStyle w:val="Hyperlink"/>
            <w:noProof/>
          </w:rPr>
          <w:t>Maternity</w:t>
        </w:r>
        <w:r>
          <w:rPr>
            <w:noProof/>
            <w:webHidden/>
          </w:rPr>
          <w:tab/>
        </w:r>
        <w:r>
          <w:rPr>
            <w:noProof/>
            <w:webHidden/>
          </w:rPr>
          <w:fldChar w:fldCharType="begin"/>
        </w:r>
        <w:r>
          <w:rPr>
            <w:noProof/>
            <w:webHidden/>
          </w:rPr>
          <w:instrText xml:space="preserve"> PAGEREF _Toc220937624 \h </w:instrText>
        </w:r>
        <w:r>
          <w:rPr>
            <w:noProof/>
            <w:webHidden/>
          </w:rPr>
        </w:r>
        <w:r>
          <w:rPr>
            <w:noProof/>
            <w:webHidden/>
          </w:rPr>
          <w:fldChar w:fldCharType="separate"/>
        </w:r>
        <w:r>
          <w:rPr>
            <w:noProof/>
            <w:webHidden/>
          </w:rPr>
          <w:t>60</w:t>
        </w:r>
        <w:r>
          <w:rPr>
            <w:noProof/>
            <w:webHidden/>
          </w:rPr>
          <w:fldChar w:fldCharType="end"/>
        </w:r>
      </w:hyperlink>
    </w:p>
    <w:p w14:paraId="1744E659" w14:textId="5E4EDB58" w:rsidR="009060EB" w:rsidRDefault="009060EB">
      <w:pPr>
        <w:pStyle w:val="TOC2"/>
        <w:tabs>
          <w:tab w:val="left" w:pos="960"/>
          <w:tab w:val="right" w:leader="dot" w:pos="9016"/>
        </w:tabs>
        <w:rPr>
          <w:rFonts w:eastAsiaTheme="minorEastAsia"/>
          <w:noProof/>
          <w:lang w:eastAsia="en-GB"/>
        </w:rPr>
      </w:pPr>
      <w:hyperlink w:anchor="_Toc220937625" w:history="1">
        <w:r w:rsidRPr="006E470D">
          <w:rPr>
            <w:rStyle w:val="Hyperlink"/>
            <w:noProof/>
          </w:rPr>
          <w:t>4.5.</w:t>
        </w:r>
        <w:r>
          <w:rPr>
            <w:rFonts w:eastAsiaTheme="minorEastAsia"/>
            <w:noProof/>
            <w:lang w:eastAsia="en-GB"/>
          </w:rPr>
          <w:tab/>
        </w:r>
        <w:r w:rsidRPr="006E470D">
          <w:rPr>
            <w:rStyle w:val="Hyperlink"/>
            <w:noProof/>
          </w:rPr>
          <w:t>Women’s health</w:t>
        </w:r>
        <w:r>
          <w:rPr>
            <w:noProof/>
            <w:webHidden/>
          </w:rPr>
          <w:tab/>
        </w:r>
        <w:r>
          <w:rPr>
            <w:noProof/>
            <w:webHidden/>
          </w:rPr>
          <w:fldChar w:fldCharType="begin"/>
        </w:r>
        <w:r>
          <w:rPr>
            <w:noProof/>
            <w:webHidden/>
          </w:rPr>
          <w:instrText xml:space="preserve"> PAGEREF _Toc220937625 \h </w:instrText>
        </w:r>
        <w:r>
          <w:rPr>
            <w:noProof/>
            <w:webHidden/>
          </w:rPr>
        </w:r>
        <w:r>
          <w:rPr>
            <w:noProof/>
            <w:webHidden/>
          </w:rPr>
          <w:fldChar w:fldCharType="separate"/>
        </w:r>
        <w:r>
          <w:rPr>
            <w:noProof/>
            <w:webHidden/>
          </w:rPr>
          <w:t>62</w:t>
        </w:r>
        <w:r>
          <w:rPr>
            <w:noProof/>
            <w:webHidden/>
          </w:rPr>
          <w:fldChar w:fldCharType="end"/>
        </w:r>
      </w:hyperlink>
    </w:p>
    <w:p w14:paraId="494595EF" w14:textId="7936F2E1" w:rsidR="009060EB" w:rsidRDefault="009060EB">
      <w:pPr>
        <w:pStyle w:val="TOC2"/>
        <w:tabs>
          <w:tab w:val="left" w:pos="960"/>
          <w:tab w:val="right" w:leader="dot" w:pos="9016"/>
        </w:tabs>
        <w:rPr>
          <w:rFonts w:eastAsiaTheme="minorEastAsia"/>
          <w:noProof/>
          <w:lang w:eastAsia="en-GB"/>
        </w:rPr>
      </w:pPr>
      <w:hyperlink w:anchor="_Toc220937626" w:history="1">
        <w:r w:rsidRPr="006E470D">
          <w:rPr>
            <w:rStyle w:val="Hyperlink"/>
            <w:noProof/>
          </w:rPr>
          <w:t>4.6.</w:t>
        </w:r>
        <w:r>
          <w:rPr>
            <w:rFonts w:eastAsiaTheme="minorEastAsia"/>
            <w:noProof/>
            <w:lang w:eastAsia="en-GB"/>
          </w:rPr>
          <w:tab/>
        </w:r>
        <w:r w:rsidRPr="006E470D">
          <w:rPr>
            <w:rStyle w:val="Hyperlink"/>
            <w:noProof/>
          </w:rPr>
          <w:t>Risk and lifestyle factors</w:t>
        </w:r>
        <w:r>
          <w:rPr>
            <w:noProof/>
            <w:webHidden/>
          </w:rPr>
          <w:tab/>
        </w:r>
        <w:r>
          <w:rPr>
            <w:noProof/>
            <w:webHidden/>
          </w:rPr>
          <w:fldChar w:fldCharType="begin"/>
        </w:r>
        <w:r>
          <w:rPr>
            <w:noProof/>
            <w:webHidden/>
          </w:rPr>
          <w:instrText xml:space="preserve"> PAGEREF _Toc220937626 \h </w:instrText>
        </w:r>
        <w:r>
          <w:rPr>
            <w:noProof/>
            <w:webHidden/>
          </w:rPr>
        </w:r>
        <w:r>
          <w:rPr>
            <w:noProof/>
            <w:webHidden/>
          </w:rPr>
          <w:fldChar w:fldCharType="separate"/>
        </w:r>
        <w:r>
          <w:rPr>
            <w:noProof/>
            <w:webHidden/>
          </w:rPr>
          <w:t>63</w:t>
        </w:r>
        <w:r>
          <w:rPr>
            <w:noProof/>
            <w:webHidden/>
          </w:rPr>
          <w:fldChar w:fldCharType="end"/>
        </w:r>
      </w:hyperlink>
    </w:p>
    <w:p w14:paraId="0D95D51C" w14:textId="31363982" w:rsidR="009060EB" w:rsidRDefault="009060EB">
      <w:pPr>
        <w:pStyle w:val="TOC2"/>
        <w:tabs>
          <w:tab w:val="left" w:pos="960"/>
          <w:tab w:val="right" w:leader="dot" w:pos="9016"/>
        </w:tabs>
        <w:rPr>
          <w:rFonts w:eastAsiaTheme="minorEastAsia"/>
          <w:noProof/>
          <w:lang w:eastAsia="en-GB"/>
        </w:rPr>
      </w:pPr>
      <w:hyperlink w:anchor="_Toc220937627" w:history="1">
        <w:r w:rsidRPr="006E470D">
          <w:rPr>
            <w:rStyle w:val="Hyperlink"/>
            <w:noProof/>
          </w:rPr>
          <w:t>4.7.</w:t>
        </w:r>
        <w:r>
          <w:rPr>
            <w:rFonts w:eastAsiaTheme="minorEastAsia"/>
            <w:noProof/>
            <w:lang w:eastAsia="en-GB"/>
          </w:rPr>
          <w:tab/>
        </w:r>
        <w:r w:rsidRPr="006E470D">
          <w:rPr>
            <w:rStyle w:val="Hyperlink"/>
            <w:noProof/>
          </w:rPr>
          <w:t>Communicable Diseases</w:t>
        </w:r>
        <w:r>
          <w:rPr>
            <w:noProof/>
            <w:webHidden/>
          </w:rPr>
          <w:tab/>
        </w:r>
        <w:r>
          <w:rPr>
            <w:noProof/>
            <w:webHidden/>
          </w:rPr>
          <w:fldChar w:fldCharType="begin"/>
        </w:r>
        <w:r>
          <w:rPr>
            <w:noProof/>
            <w:webHidden/>
          </w:rPr>
          <w:instrText xml:space="preserve"> PAGEREF _Toc220937627 \h </w:instrText>
        </w:r>
        <w:r>
          <w:rPr>
            <w:noProof/>
            <w:webHidden/>
          </w:rPr>
        </w:r>
        <w:r>
          <w:rPr>
            <w:noProof/>
            <w:webHidden/>
          </w:rPr>
          <w:fldChar w:fldCharType="separate"/>
        </w:r>
        <w:r>
          <w:rPr>
            <w:noProof/>
            <w:webHidden/>
          </w:rPr>
          <w:t>67</w:t>
        </w:r>
        <w:r>
          <w:rPr>
            <w:noProof/>
            <w:webHidden/>
          </w:rPr>
          <w:fldChar w:fldCharType="end"/>
        </w:r>
      </w:hyperlink>
    </w:p>
    <w:p w14:paraId="481D3A22" w14:textId="742B2A52" w:rsidR="009060EB" w:rsidRDefault="009060EB">
      <w:pPr>
        <w:pStyle w:val="TOC2"/>
        <w:tabs>
          <w:tab w:val="left" w:pos="960"/>
          <w:tab w:val="right" w:leader="dot" w:pos="9016"/>
        </w:tabs>
        <w:rPr>
          <w:rFonts w:eastAsiaTheme="minorEastAsia"/>
          <w:noProof/>
          <w:lang w:eastAsia="en-GB"/>
        </w:rPr>
      </w:pPr>
      <w:hyperlink w:anchor="_Toc220937628" w:history="1">
        <w:r w:rsidRPr="006E470D">
          <w:rPr>
            <w:rStyle w:val="Hyperlink"/>
            <w:noProof/>
          </w:rPr>
          <w:t>4.8.</w:t>
        </w:r>
        <w:r>
          <w:rPr>
            <w:rFonts w:eastAsiaTheme="minorEastAsia"/>
            <w:noProof/>
            <w:lang w:eastAsia="en-GB"/>
          </w:rPr>
          <w:tab/>
        </w:r>
        <w:r w:rsidRPr="006E470D">
          <w:rPr>
            <w:rStyle w:val="Hyperlink"/>
            <w:noProof/>
          </w:rPr>
          <w:t>Use of urgent care</w:t>
        </w:r>
        <w:r>
          <w:rPr>
            <w:noProof/>
            <w:webHidden/>
          </w:rPr>
          <w:tab/>
        </w:r>
        <w:r>
          <w:rPr>
            <w:noProof/>
            <w:webHidden/>
          </w:rPr>
          <w:fldChar w:fldCharType="begin"/>
        </w:r>
        <w:r>
          <w:rPr>
            <w:noProof/>
            <w:webHidden/>
          </w:rPr>
          <w:instrText xml:space="preserve"> PAGEREF _Toc220937628 \h </w:instrText>
        </w:r>
        <w:r>
          <w:rPr>
            <w:noProof/>
            <w:webHidden/>
          </w:rPr>
        </w:r>
        <w:r>
          <w:rPr>
            <w:noProof/>
            <w:webHidden/>
          </w:rPr>
          <w:fldChar w:fldCharType="separate"/>
        </w:r>
        <w:r>
          <w:rPr>
            <w:noProof/>
            <w:webHidden/>
          </w:rPr>
          <w:t>68</w:t>
        </w:r>
        <w:r>
          <w:rPr>
            <w:noProof/>
            <w:webHidden/>
          </w:rPr>
          <w:fldChar w:fldCharType="end"/>
        </w:r>
      </w:hyperlink>
    </w:p>
    <w:p w14:paraId="244C1593" w14:textId="1C555583" w:rsidR="009060EB" w:rsidRDefault="009060EB">
      <w:pPr>
        <w:pStyle w:val="TOC1"/>
        <w:tabs>
          <w:tab w:val="right" w:leader="dot" w:pos="9016"/>
        </w:tabs>
        <w:rPr>
          <w:rFonts w:eastAsiaTheme="minorEastAsia"/>
          <w:noProof/>
          <w:lang w:eastAsia="en-GB"/>
        </w:rPr>
      </w:pPr>
      <w:hyperlink w:anchor="_Toc220937629" w:history="1">
        <w:r w:rsidRPr="006E470D">
          <w:rPr>
            <w:rStyle w:val="Hyperlink"/>
            <w:noProof/>
          </w:rPr>
          <w:t>Health status and outcomes - summary and key points</w:t>
        </w:r>
        <w:r>
          <w:rPr>
            <w:noProof/>
            <w:webHidden/>
          </w:rPr>
          <w:tab/>
        </w:r>
        <w:r>
          <w:rPr>
            <w:noProof/>
            <w:webHidden/>
          </w:rPr>
          <w:fldChar w:fldCharType="begin"/>
        </w:r>
        <w:r>
          <w:rPr>
            <w:noProof/>
            <w:webHidden/>
          </w:rPr>
          <w:instrText xml:space="preserve"> PAGEREF _Toc220937629 \h </w:instrText>
        </w:r>
        <w:r>
          <w:rPr>
            <w:noProof/>
            <w:webHidden/>
          </w:rPr>
        </w:r>
        <w:r>
          <w:rPr>
            <w:noProof/>
            <w:webHidden/>
          </w:rPr>
          <w:fldChar w:fldCharType="separate"/>
        </w:r>
        <w:r>
          <w:rPr>
            <w:noProof/>
            <w:webHidden/>
          </w:rPr>
          <w:t>79</w:t>
        </w:r>
        <w:r>
          <w:rPr>
            <w:noProof/>
            <w:webHidden/>
          </w:rPr>
          <w:fldChar w:fldCharType="end"/>
        </w:r>
      </w:hyperlink>
    </w:p>
    <w:p w14:paraId="15E47F79" w14:textId="6C919752" w:rsidR="009060EB" w:rsidRDefault="009060EB">
      <w:pPr>
        <w:pStyle w:val="TOC1"/>
        <w:tabs>
          <w:tab w:val="left" w:pos="480"/>
          <w:tab w:val="right" w:leader="dot" w:pos="9016"/>
        </w:tabs>
        <w:rPr>
          <w:rFonts w:eastAsiaTheme="minorEastAsia"/>
          <w:noProof/>
          <w:lang w:eastAsia="en-GB"/>
        </w:rPr>
      </w:pPr>
      <w:hyperlink w:anchor="_Toc220937630" w:history="1">
        <w:r w:rsidRPr="006E470D">
          <w:rPr>
            <w:rStyle w:val="Hyperlink"/>
            <w:noProof/>
          </w:rPr>
          <w:t>5.</w:t>
        </w:r>
        <w:r>
          <w:rPr>
            <w:rFonts w:eastAsiaTheme="minorEastAsia"/>
            <w:noProof/>
            <w:lang w:eastAsia="en-GB"/>
          </w:rPr>
          <w:tab/>
        </w:r>
        <w:r w:rsidRPr="006E470D">
          <w:rPr>
            <w:rStyle w:val="Hyperlink"/>
            <w:noProof/>
          </w:rPr>
          <w:t>Existing patient engagement work</w:t>
        </w:r>
        <w:r>
          <w:rPr>
            <w:noProof/>
            <w:webHidden/>
          </w:rPr>
          <w:tab/>
        </w:r>
        <w:r>
          <w:rPr>
            <w:noProof/>
            <w:webHidden/>
          </w:rPr>
          <w:fldChar w:fldCharType="begin"/>
        </w:r>
        <w:r>
          <w:rPr>
            <w:noProof/>
            <w:webHidden/>
          </w:rPr>
          <w:instrText xml:space="preserve"> PAGEREF _Toc220937630 \h </w:instrText>
        </w:r>
        <w:r>
          <w:rPr>
            <w:noProof/>
            <w:webHidden/>
          </w:rPr>
        </w:r>
        <w:r>
          <w:rPr>
            <w:noProof/>
            <w:webHidden/>
          </w:rPr>
          <w:fldChar w:fldCharType="separate"/>
        </w:r>
        <w:r>
          <w:rPr>
            <w:noProof/>
            <w:webHidden/>
          </w:rPr>
          <w:t>80</w:t>
        </w:r>
        <w:r>
          <w:rPr>
            <w:noProof/>
            <w:webHidden/>
          </w:rPr>
          <w:fldChar w:fldCharType="end"/>
        </w:r>
      </w:hyperlink>
    </w:p>
    <w:p w14:paraId="79FAFAFA" w14:textId="13938908" w:rsidR="009060EB" w:rsidRDefault="009060EB">
      <w:pPr>
        <w:pStyle w:val="TOC2"/>
        <w:tabs>
          <w:tab w:val="left" w:pos="960"/>
          <w:tab w:val="right" w:leader="dot" w:pos="9016"/>
        </w:tabs>
        <w:rPr>
          <w:rFonts w:eastAsiaTheme="minorEastAsia"/>
          <w:noProof/>
          <w:lang w:eastAsia="en-GB"/>
        </w:rPr>
      </w:pPr>
      <w:hyperlink w:anchor="_Toc220937631" w:history="1">
        <w:r w:rsidRPr="006E470D">
          <w:rPr>
            <w:rStyle w:val="Hyperlink"/>
            <w:noProof/>
          </w:rPr>
          <w:t>5.1.</w:t>
        </w:r>
        <w:r>
          <w:rPr>
            <w:rFonts w:eastAsiaTheme="minorEastAsia"/>
            <w:noProof/>
            <w:lang w:eastAsia="en-GB"/>
          </w:rPr>
          <w:tab/>
        </w:r>
        <w:r w:rsidRPr="006E470D">
          <w:rPr>
            <w:rStyle w:val="Hyperlink"/>
            <w:noProof/>
          </w:rPr>
          <w:t>Summary of ICB wide engagement work</w:t>
        </w:r>
        <w:r>
          <w:rPr>
            <w:noProof/>
            <w:webHidden/>
          </w:rPr>
          <w:tab/>
        </w:r>
        <w:r>
          <w:rPr>
            <w:noProof/>
            <w:webHidden/>
          </w:rPr>
          <w:fldChar w:fldCharType="begin"/>
        </w:r>
        <w:r>
          <w:rPr>
            <w:noProof/>
            <w:webHidden/>
          </w:rPr>
          <w:instrText xml:space="preserve"> PAGEREF _Toc220937631 \h </w:instrText>
        </w:r>
        <w:r>
          <w:rPr>
            <w:noProof/>
            <w:webHidden/>
          </w:rPr>
        </w:r>
        <w:r>
          <w:rPr>
            <w:noProof/>
            <w:webHidden/>
          </w:rPr>
          <w:fldChar w:fldCharType="separate"/>
        </w:r>
        <w:r>
          <w:rPr>
            <w:noProof/>
            <w:webHidden/>
          </w:rPr>
          <w:t>80</w:t>
        </w:r>
        <w:r>
          <w:rPr>
            <w:noProof/>
            <w:webHidden/>
          </w:rPr>
          <w:fldChar w:fldCharType="end"/>
        </w:r>
      </w:hyperlink>
    </w:p>
    <w:p w14:paraId="2C7B479A" w14:textId="03B1A479" w:rsidR="009060EB" w:rsidRDefault="009060EB">
      <w:pPr>
        <w:pStyle w:val="TOC2"/>
        <w:tabs>
          <w:tab w:val="left" w:pos="960"/>
          <w:tab w:val="right" w:leader="dot" w:pos="9016"/>
        </w:tabs>
        <w:rPr>
          <w:rFonts w:eastAsiaTheme="minorEastAsia"/>
          <w:noProof/>
          <w:lang w:eastAsia="en-GB"/>
        </w:rPr>
      </w:pPr>
      <w:hyperlink w:anchor="_Toc220937632" w:history="1">
        <w:r w:rsidRPr="006E470D">
          <w:rPr>
            <w:rStyle w:val="Hyperlink"/>
            <w:noProof/>
          </w:rPr>
          <w:t>5.2.</w:t>
        </w:r>
        <w:r>
          <w:rPr>
            <w:rFonts w:eastAsiaTheme="minorEastAsia"/>
            <w:noProof/>
            <w:lang w:eastAsia="en-GB"/>
          </w:rPr>
          <w:tab/>
        </w:r>
        <w:r w:rsidRPr="006E470D">
          <w:rPr>
            <w:rStyle w:val="Hyperlink"/>
            <w:noProof/>
          </w:rPr>
          <w:t>GP Patient Survey 2025</w:t>
        </w:r>
        <w:r>
          <w:rPr>
            <w:noProof/>
            <w:webHidden/>
          </w:rPr>
          <w:tab/>
        </w:r>
        <w:r>
          <w:rPr>
            <w:noProof/>
            <w:webHidden/>
          </w:rPr>
          <w:fldChar w:fldCharType="begin"/>
        </w:r>
        <w:r>
          <w:rPr>
            <w:noProof/>
            <w:webHidden/>
          </w:rPr>
          <w:instrText xml:space="preserve"> PAGEREF _Toc220937632 \h </w:instrText>
        </w:r>
        <w:r>
          <w:rPr>
            <w:noProof/>
            <w:webHidden/>
          </w:rPr>
        </w:r>
        <w:r>
          <w:rPr>
            <w:noProof/>
            <w:webHidden/>
          </w:rPr>
          <w:fldChar w:fldCharType="separate"/>
        </w:r>
        <w:r>
          <w:rPr>
            <w:noProof/>
            <w:webHidden/>
          </w:rPr>
          <w:t>81</w:t>
        </w:r>
        <w:r>
          <w:rPr>
            <w:noProof/>
            <w:webHidden/>
          </w:rPr>
          <w:fldChar w:fldCharType="end"/>
        </w:r>
      </w:hyperlink>
    </w:p>
    <w:p w14:paraId="10769F50" w14:textId="70DE801B" w:rsidR="009060EB" w:rsidRDefault="009060EB">
      <w:pPr>
        <w:pStyle w:val="TOC2"/>
        <w:tabs>
          <w:tab w:val="left" w:pos="960"/>
          <w:tab w:val="right" w:leader="dot" w:pos="9016"/>
        </w:tabs>
        <w:rPr>
          <w:rFonts w:eastAsiaTheme="minorEastAsia"/>
          <w:noProof/>
          <w:lang w:eastAsia="en-GB"/>
        </w:rPr>
      </w:pPr>
      <w:hyperlink w:anchor="_Toc220937633" w:history="1">
        <w:r w:rsidRPr="006E470D">
          <w:rPr>
            <w:rStyle w:val="Hyperlink"/>
            <w:noProof/>
          </w:rPr>
          <w:t>5.3.</w:t>
        </w:r>
        <w:r>
          <w:rPr>
            <w:rFonts w:eastAsiaTheme="minorEastAsia"/>
            <w:noProof/>
            <w:lang w:eastAsia="en-GB"/>
          </w:rPr>
          <w:tab/>
        </w:r>
        <w:r w:rsidRPr="006E470D">
          <w:rPr>
            <w:rStyle w:val="Hyperlink"/>
            <w:noProof/>
          </w:rPr>
          <w:t>Core20 UEC usage</w:t>
        </w:r>
        <w:r>
          <w:rPr>
            <w:noProof/>
            <w:webHidden/>
          </w:rPr>
          <w:tab/>
        </w:r>
        <w:r>
          <w:rPr>
            <w:noProof/>
            <w:webHidden/>
          </w:rPr>
          <w:fldChar w:fldCharType="begin"/>
        </w:r>
        <w:r>
          <w:rPr>
            <w:noProof/>
            <w:webHidden/>
          </w:rPr>
          <w:instrText xml:space="preserve"> PAGEREF _Toc220937633 \h </w:instrText>
        </w:r>
        <w:r>
          <w:rPr>
            <w:noProof/>
            <w:webHidden/>
          </w:rPr>
        </w:r>
        <w:r>
          <w:rPr>
            <w:noProof/>
            <w:webHidden/>
          </w:rPr>
          <w:fldChar w:fldCharType="separate"/>
        </w:r>
        <w:r>
          <w:rPr>
            <w:noProof/>
            <w:webHidden/>
          </w:rPr>
          <w:t>82</w:t>
        </w:r>
        <w:r>
          <w:rPr>
            <w:noProof/>
            <w:webHidden/>
          </w:rPr>
          <w:fldChar w:fldCharType="end"/>
        </w:r>
      </w:hyperlink>
    </w:p>
    <w:p w14:paraId="31CA74AA" w14:textId="5AA0C7C4" w:rsidR="009060EB" w:rsidRDefault="009060EB">
      <w:pPr>
        <w:pStyle w:val="TOC2"/>
        <w:tabs>
          <w:tab w:val="left" w:pos="960"/>
          <w:tab w:val="right" w:leader="dot" w:pos="9016"/>
        </w:tabs>
        <w:rPr>
          <w:rFonts w:eastAsiaTheme="minorEastAsia"/>
          <w:noProof/>
          <w:lang w:eastAsia="en-GB"/>
        </w:rPr>
      </w:pPr>
      <w:hyperlink w:anchor="_Toc220937634" w:history="1">
        <w:r w:rsidRPr="006E470D">
          <w:rPr>
            <w:rStyle w:val="Hyperlink"/>
            <w:noProof/>
          </w:rPr>
          <w:t>5.4.</w:t>
        </w:r>
        <w:r>
          <w:rPr>
            <w:rFonts w:eastAsiaTheme="minorEastAsia"/>
            <w:noProof/>
            <w:lang w:eastAsia="en-GB"/>
          </w:rPr>
          <w:tab/>
        </w:r>
        <w:r w:rsidRPr="006E470D">
          <w:rPr>
            <w:rStyle w:val="Hyperlink"/>
            <w:noProof/>
          </w:rPr>
          <w:t>Other engagement work, reports and health needs assessments</w:t>
        </w:r>
        <w:r>
          <w:rPr>
            <w:noProof/>
            <w:webHidden/>
          </w:rPr>
          <w:tab/>
        </w:r>
        <w:r>
          <w:rPr>
            <w:noProof/>
            <w:webHidden/>
          </w:rPr>
          <w:fldChar w:fldCharType="begin"/>
        </w:r>
        <w:r>
          <w:rPr>
            <w:noProof/>
            <w:webHidden/>
          </w:rPr>
          <w:instrText xml:space="preserve"> PAGEREF _Toc220937634 \h </w:instrText>
        </w:r>
        <w:r>
          <w:rPr>
            <w:noProof/>
            <w:webHidden/>
          </w:rPr>
        </w:r>
        <w:r>
          <w:rPr>
            <w:noProof/>
            <w:webHidden/>
          </w:rPr>
          <w:fldChar w:fldCharType="separate"/>
        </w:r>
        <w:r>
          <w:rPr>
            <w:noProof/>
            <w:webHidden/>
          </w:rPr>
          <w:t>84</w:t>
        </w:r>
        <w:r>
          <w:rPr>
            <w:noProof/>
            <w:webHidden/>
          </w:rPr>
          <w:fldChar w:fldCharType="end"/>
        </w:r>
      </w:hyperlink>
    </w:p>
    <w:p w14:paraId="3EEA64DD" w14:textId="124488B2" w:rsidR="009060EB" w:rsidRDefault="009060EB">
      <w:pPr>
        <w:pStyle w:val="TOC1"/>
        <w:tabs>
          <w:tab w:val="right" w:leader="dot" w:pos="9016"/>
        </w:tabs>
        <w:rPr>
          <w:rFonts w:eastAsiaTheme="minorEastAsia"/>
          <w:noProof/>
          <w:lang w:eastAsia="en-GB"/>
        </w:rPr>
      </w:pPr>
      <w:hyperlink w:anchor="_Toc220937635" w:history="1">
        <w:r w:rsidRPr="006E470D">
          <w:rPr>
            <w:rStyle w:val="Hyperlink"/>
            <w:noProof/>
          </w:rPr>
          <w:t>Engagement work - summary and considerations</w:t>
        </w:r>
        <w:r>
          <w:rPr>
            <w:noProof/>
            <w:webHidden/>
          </w:rPr>
          <w:tab/>
        </w:r>
        <w:r>
          <w:rPr>
            <w:noProof/>
            <w:webHidden/>
          </w:rPr>
          <w:fldChar w:fldCharType="begin"/>
        </w:r>
        <w:r>
          <w:rPr>
            <w:noProof/>
            <w:webHidden/>
          </w:rPr>
          <w:instrText xml:space="preserve"> PAGEREF _Toc220937635 \h </w:instrText>
        </w:r>
        <w:r>
          <w:rPr>
            <w:noProof/>
            <w:webHidden/>
          </w:rPr>
        </w:r>
        <w:r>
          <w:rPr>
            <w:noProof/>
            <w:webHidden/>
          </w:rPr>
          <w:fldChar w:fldCharType="separate"/>
        </w:r>
        <w:r>
          <w:rPr>
            <w:noProof/>
            <w:webHidden/>
          </w:rPr>
          <w:t>85</w:t>
        </w:r>
        <w:r>
          <w:rPr>
            <w:noProof/>
            <w:webHidden/>
          </w:rPr>
          <w:fldChar w:fldCharType="end"/>
        </w:r>
      </w:hyperlink>
    </w:p>
    <w:p w14:paraId="412C5A96" w14:textId="3BD09C7B" w:rsidR="009060EB" w:rsidRDefault="009060EB">
      <w:pPr>
        <w:pStyle w:val="TOC1"/>
        <w:tabs>
          <w:tab w:val="left" w:pos="480"/>
          <w:tab w:val="right" w:leader="dot" w:pos="9016"/>
        </w:tabs>
        <w:rPr>
          <w:rFonts w:eastAsiaTheme="minorEastAsia"/>
          <w:noProof/>
          <w:lang w:eastAsia="en-GB"/>
        </w:rPr>
      </w:pPr>
      <w:hyperlink w:anchor="_Toc220937636" w:history="1">
        <w:r w:rsidRPr="006E470D">
          <w:rPr>
            <w:rStyle w:val="Hyperlink"/>
            <w:noProof/>
          </w:rPr>
          <w:t>6.</w:t>
        </w:r>
        <w:r>
          <w:rPr>
            <w:rFonts w:eastAsiaTheme="minorEastAsia"/>
            <w:noProof/>
            <w:lang w:eastAsia="en-GB"/>
          </w:rPr>
          <w:tab/>
        </w:r>
        <w:r w:rsidRPr="006E470D">
          <w:rPr>
            <w:rStyle w:val="Hyperlink"/>
            <w:noProof/>
          </w:rPr>
          <w:t>Summary &amp; Recommendations</w:t>
        </w:r>
        <w:r>
          <w:rPr>
            <w:noProof/>
            <w:webHidden/>
          </w:rPr>
          <w:tab/>
        </w:r>
        <w:r>
          <w:rPr>
            <w:noProof/>
            <w:webHidden/>
          </w:rPr>
          <w:fldChar w:fldCharType="begin"/>
        </w:r>
        <w:r>
          <w:rPr>
            <w:noProof/>
            <w:webHidden/>
          </w:rPr>
          <w:instrText xml:space="preserve"> PAGEREF _Toc220937636 \h </w:instrText>
        </w:r>
        <w:r>
          <w:rPr>
            <w:noProof/>
            <w:webHidden/>
          </w:rPr>
        </w:r>
        <w:r>
          <w:rPr>
            <w:noProof/>
            <w:webHidden/>
          </w:rPr>
          <w:fldChar w:fldCharType="separate"/>
        </w:r>
        <w:r>
          <w:rPr>
            <w:noProof/>
            <w:webHidden/>
          </w:rPr>
          <w:t>86</w:t>
        </w:r>
        <w:r>
          <w:rPr>
            <w:noProof/>
            <w:webHidden/>
          </w:rPr>
          <w:fldChar w:fldCharType="end"/>
        </w:r>
      </w:hyperlink>
    </w:p>
    <w:p w14:paraId="5D9C0056" w14:textId="75644A09" w:rsidR="009060EB" w:rsidRDefault="009060EB">
      <w:pPr>
        <w:pStyle w:val="TOC2"/>
        <w:tabs>
          <w:tab w:val="left" w:pos="960"/>
          <w:tab w:val="right" w:leader="dot" w:pos="9016"/>
        </w:tabs>
        <w:rPr>
          <w:rFonts w:eastAsiaTheme="minorEastAsia"/>
          <w:noProof/>
          <w:lang w:eastAsia="en-GB"/>
        </w:rPr>
      </w:pPr>
      <w:hyperlink w:anchor="_Toc220937637" w:history="1">
        <w:r w:rsidRPr="006E470D">
          <w:rPr>
            <w:rStyle w:val="Hyperlink"/>
            <w:noProof/>
          </w:rPr>
          <w:t>6.1.</w:t>
        </w:r>
        <w:r>
          <w:rPr>
            <w:rFonts w:eastAsiaTheme="minorEastAsia"/>
            <w:noProof/>
            <w:lang w:eastAsia="en-GB"/>
          </w:rPr>
          <w:tab/>
        </w:r>
        <w:r w:rsidRPr="006E470D">
          <w:rPr>
            <w:rStyle w:val="Hyperlink"/>
            <w:noProof/>
          </w:rPr>
          <w:t>Conclusions</w:t>
        </w:r>
        <w:r>
          <w:rPr>
            <w:noProof/>
            <w:webHidden/>
          </w:rPr>
          <w:tab/>
        </w:r>
        <w:r>
          <w:rPr>
            <w:noProof/>
            <w:webHidden/>
          </w:rPr>
          <w:fldChar w:fldCharType="begin"/>
        </w:r>
        <w:r>
          <w:rPr>
            <w:noProof/>
            <w:webHidden/>
          </w:rPr>
          <w:instrText xml:space="preserve"> PAGEREF _Toc220937637 \h </w:instrText>
        </w:r>
        <w:r>
          <w:rPr>
            <w:noProof/>
            <w:webHidden/>
          </w:rPr>
        </w:r>
        <w:r>
          <w:rPr>
            <w:noProof/>
            <w:webHidden/>
          </w:rPr>
          <w:fldChar w:fldCharType="separate"/>
        </w:r>
        <w:r>
          <w:rPr>
            <w:noProof/>
            <w:webHidden/>
          </w:rPr>
          <w:t>86</w:t>
        </w:r>
        <w:r>
          <w:rPr>
            <w:noProof/>
            <w:webHidden/>
          </w:rPr>
          <w:fldChar w:fldCharType="end"/>
        </w:r>
      </w:hyperlink>
    </w:p>
    <w:p w14:paraId="44C5C6E6" w14:textId="78EEF089" w:rsidR="009060EB" w:rsidRDefault="009060EB">
      <w:pPr>
        <w:pStyle w:val="TOC2"/>
        <w:tabs>
          <w:tab w:val="left" w:pos="960"/>
          <w:tab w:val="right" w:leader="dot" w:pos="9016"/>
        </w:tabs>
        <w:rPr>
          <w:rFonts w:eastAsiaTheme="minorEastAsia"/>
          <w:noProof/>
          <w:lang w:eastAsia="en-GB"/>
        </w:rPr>
      </w:pPr>
      <w:hyperlink w:anchor="_Toc220937638" w:history="1">
        <w:r w:rsidRPr="006E470D">
          <w:rPr>
            <w:rStyle w:val="Hyperlink"/>
            <w:noProof/>
          </w:rPr>
          <w:t>6.2.</w:t>
        </w:r>
        <w:r>
          <w:rPr>
            <w:rFonts w:eastAsiaTheme="minorEastAsia"/>
            <w:noProof/>
            <w:lang w:eastAsia="en-GB"/>
          </w:rPr>
          <w:tab/>
        </w:r>
        <w:r w:rsidRPr="006E470D">
          <w:rPr>
            <w:rStyle w:val="Hyperlink"/>
            <w:noProof/>
          </w:rPr>
          <w:t>Recommendations</w:t>
        </w:r>
        <w:r>
          <w:rPr>
            <w:noProof/>
            <w:webHidden/>
          </w:rPr>
          <w:tab/>
        </w:r>
        <w:r>
          <w:rPr>
            <w:noProof/>
            <w:webHidden/>
          </w:rPr>
          <w:fldChar w:fldCharType="begin"/>
        </w:r>
        <w:r>
          <w:rPr>
            <w:noProof/>
            <w:webHidden/>
          </w:rPr>
          <w:instrText xml:space="preserve"> PAGEREF _Toc220937638 \h </w:instrText>
        </w:r>
        <w:r>
          <w:rPr>
            <w:noProof/>
            <w:webHidden/>
          </w:rPr>
        </w:r>
        <w:r>
          <w:rPr>
            <w:noProof/>
            <w:webHidden/>
          </w:rPr>
          <w:fldChar w:fldCharType="separate"/>
        </w:r>
        <w:r>
          <w:rPr>
            <w:noProof/>
            <w:webHidden/>
          </w:rPr>
          <w:t>87</w:t>
        </w:r>
        <w:r>
          <w:rPr>
            <w:noProof/>
            <w:webHidden/>
          </w:rPr>
          <w:fldChar w:fldCharType="end"/>
        </w:r>
      </w:hyperlink>
    </w:p>
    <w:p w14:paraId="726C2F5B" w14:textId="5BE9B521" w:rsidR="009060EB" w:rsidRDefault="009060EB">
      <w:pPr>
        <w:pStyle w:val="TOC2"/>
        <w:tabs>
          <w:tab w:val="left" w:pos="960"/>
          <w:tab w:val="right" w:leader="dot" w:pos="9016"/>
        </w:tabs>
        <w:rPr>
          <w:rFonts w:eastAsiaTheme="minorEastAsia"/>
          <w:noProof/>
          <w:lang w:eastAsia="en-GB"/>
        </w:rPr>
      </w:pPr>
      <w:hyperlink w:anchor="_Toc220937639" w:history="1">
        <w:r w:rsidRPr="006E470D">
          <w:rPr>
            <w:rStyle w:val="Hyperlink"/>
            <w:noProof/>
          </w:rPr>
          <w:t>6.3.</w:t>
        </w:r>
        <w:r>
          <w:rPr>
            <w:rFonts w:eastAsiaTheme="minorEastAsia"/>
            <w:noProof/>
            <w:lang w:eastAsia="en-GB"/>
          </w:rPr>
          <w:tab/>
        </w:r>
        <w:r w:rsidRPr="006E470D">
          <w:rPr>
            <w:rStyle w:val="Hyperlink"/>
            <w:noProof/>
          </w:rPr>
          <w:t>Key Actions</w:t>
        </w:r>
        <w:r>
          <w:rPr>
            <w:noProof/>
            <w:webHidden/>
          </w:rPr>
          <w:tab/>
        </w:r>
        <w:r>
          <w:rPr>
            <w:noProof/>
            <w:webHidden/>
          </w:rPr>
          <w:fldChar w:fldCharType="begin"/>
        </w:r>
        <w:r>
          <w:rPr>
            <w:noProof/>
            <w:webHidden/>
          </w:rPr>
          <w:instrText xml:space="preserve"> PAGEREF _Toc220937639 \h </w:instrText>
        </w:r>
        <w:r>
          <w:rPr>
            <w:noProof/>
            <w:webHidden/>
          </w:rPr>
        </w:r>
        <w:r>
          <w:rPr>
            <w:noProof/>
            <w:webHidden/>
          </w:rPr>
          <w:fldChar w:fldCharType="separate"/>
        </w:r>
        <w:r>
          <w:rPr>
            <w:noProof/>
            <w:webHidden/>
          </w:rPr>
          <w:t>90</w:t>
        </w:r>
        <w:r>
          <w:rPr>
            <w:noProof/>
            <w:webHidden/>
          </w:rPr>
          <w:fldChar w:fldCharType="end"/>
        </w:r>
      </w:hyperlink>
    </w:p>
    <w:p w14:paraId="3B61B30A" w14:textId="5840F77B" w:rsidR="009060EB" w:rsidRDefault="009060EB">
      <w:pPr>
        <w:pStyle w:val="TOC2"/>
        <w:tabs>
          <w:tab w:val="left" w:pos="960"/>
          <w:tab w:val="right" w:leader="dot" w:pos="9016"/>
        </w:tabs>
        <w:rPr>
          <w:rFonts w:eastAsiaTheme="minorEastAsia"/>
          <w:noProof/>
          <w:lang w:eastAsia="en-GB"/>
        </w:rPr>
      </w:pPr>
      <w:hyperlink w:anchor="_Toc220937640" w:history="1">
        <w:r w:rsidRPr="006E470D">
          <w:rPr>
            <w:rStyle w:val="Hyperlink"/>
            <w:noProof/>
          </w:rPr>
          <w:t>6.4.</w:t>
        </w:r>
        <w:r>
          <w:rPr>
            <w:rFonts w:eastAsiaTheme="minorEastAsia"/>
            <w:noProof/>
            <w:lang w:eastAsia="en-GB"/>
          </w:rPr>
          <w:tab/>
        </w:r>
        <w:r w:rsidRPr="006E470D">
          <w:rPr>
            <w:rStyle w:val="Hyperlink"/>
            <w:noProof/>
          </w:rPr>
          <w:t>Longer term (12-15 years) health indicators* to be considered for joint action</w:t>
        </w:r>
        <w:r>
          <w:rPr>
            <w:noProof/>
            <w:webHidden/>
          </w:rPr>
          <w:tab/>
        </w:r>
        <w:r>
          <w:rPr>
            <w:noProof/>
            <w:webHidden/>
          </w:rPr>
          <w:fldChar w:fldCharType="begin"/>
        </w:r>
        <w:r>
          <w:rPr>
            <w:noProof/>
            <w:webHidden/>
          </w:rPr>
          <w:instrText xml:space="preserve"> PAGEREF _Toc220937640 \h </w:instrText>
        </w:r>
        <w:r>
          <w:rPr>
            <w:noProof/>
            <w:webHidden/>
          </w:rPr>
        </w:r>
        <w:r>
          <w:rPr>
            <w:noProof/>
            <w:webHidden/>
          </w:rPr>
          <w:fldChar w:fldCharType="separate"/>
        </w:r>
        <w:r>
          <w:rPr>
            <w:noProof/>
            <w:webHidden/>
          </w:rPr>
          <w:t>91</w:t>
        </w:r>
        <w:r>
          <w:rPr>
            <w:noProof/>
            <w:webHidden/>
          </w:rPr>
          <w:fldChar w:fldCharType="end"/>
        </w:r>
      </w:hyperlink>
    </w:p>
    <w:p w14:paraId="2E1E5F93" w14:textId="285691A4" w:rsidR="009060EB" w:rsidRDefault="009060EB">
      <w:pPr>
        <w:pStyle w:val="TOC2"/>
        <w:tabs>
          <w:tab w:val="left" w:pos="960"/>
          <w:tab w:val="right" w:leader="dot" w:pos="9016"/>
        </w:tabs>
        <w:rPr>
          <w:rFonts w:eastAsiaTheme="minorEastAsia"/>
          <w:noProof/>
          <w:lang w:eastAsia="en-GB"/>
        </w:rPr>
      </w:pPr>
      <w:hyperlink w:anchor="_Toc220937641" w:history="1">
        <w:r w:rsidRPr="006E470D">
          <w:rPr>
            <w:rStyle w:val="Hyperlink"/>
            <w:noProof/>
          </w:rPr>
          <w:t>6.5.</w:t>
        </w:r>
        <w:r>
          <w:rPr>
            <w:rFonts w:eastAsiaTheme="minorEastAsia"/>
            <w:noProof/>
            <w:lang w:eastAsia="en-GB"/>
          </w:rPr>
          <w:tab/>
        </w:r>
        <w:r w:rsidRPr="006E470D">
          <w:rPr>
            <w:rStyle w:val="Hyperlink"/>
            <w:noProof/>
          </w:rPr>
          <w:t>Next Steps</w:t>
        </w:r>
        <w:r>
          <w:rPr>
            <w:noProof/>
            <w:webHidden/>
          </w:rPr>
          <w:tab/>
        </w:r>
        <w:r>
          <w:rPr>
            <w:noProof/>
            <w:webHidden/>
          </w:rPr>
          <w:fldChar w:fldCharType="begin"/>
        </w:r>
        <w:r>
          <w:rPr>
            <w:noProof/>
            <w:webHidden/>
          </w:rPr>
          <w:instrText xml:space="preserve"> PAGEREF _Toc220937641 \h </w:instrText>
        </w:r>
        <w:r>
          <w:rPr>
            <w:noProof/>
            <w:webHidden/>
          </w:rPr>
        </w:r>
        <w:r>
          <w:rPr>
            <w:noProof/>
            <w:webHidden/>
          </w:rPr>
          <w:fldChar w:fldCharType="separate"/>
        </w:r>
        <w:r>
          <w:rPr>
            <w:noProof/>
            <w:webHidden/>
          </w:rPr>
          <w:t>91</w:t>
        </w:r>
        <w:r>
          <w:rPr>
            <w:noProof/>
            <w:webHidden/>
          </w:rPr>
          <w:fldChar w:fldCharType="end"/>
        </w:r>
      </w:hyperlink>
    </w:p>
    <w:p w14:paraId="486031D2" w14:textId="5E45552E" w:rsidR="009893F4" w:rsidRDefault="009060EB" w:rsidP="00BC573E">
      <w:r>
        <w:fldChar w:fldCharType="end"/>
      </w:r>
    </w:p>
    <w:p w14:paraId="39F1DDE1" w14:textId="7270F6C1" w:rsidR="009893F4" w:rsidRDefault="009893F4" w:rsidP="009893F4">
      <w:pPr>
        <w:pStyle w:val="HNAHeader1"/>
        <w:jc w:val="center"/>
        <w:rPr>
          <w:rFonts w:eastAsiaTheme="minorEastAsia"/>
          <w:b/>
          <w:bCs/>
          <w:color w:val="000000" w:themeColor="text1"/>
          <w:sz w:val="32"/>
          <w:szCs w:val="32"/>
          <w:u w:val="single"/>
        </w:rPr>
      </w:pPr>
    </w:p>
    <w:p w14:paraId="3F64751B" w14:textId="261814A4" w:rsidR="009893F4" w:rsidRDefault="009893F4" w:rsidP="009893F4">
      <w:pPr>
        <w:pStyle w:val="HNAHeader1"/>
        <w:jc w:val="center"/>
        <w:rPr>
          <w:rFonts w:eastAsiaTheme="minorEastAsia"/>
          <w:b/>
          <w:bCs/>
          <w:color w:val="000000" w:themeColor="text1"/>
          <w:sz w:val="32"/>
          <w:szCs w:val="32"/>
          <w:u w:val="single"/>
        </w:rPr>
      </w:pPr>
    </w:p>
    <w:p w14:paraId="0B4727AA" w14:textId="52B0B843" w:rsidR="009893F4" w:rsidRDefault="009893F4" w:rsidP="009893F4">
      <w:pPr>
        <w:pStyle w:val="HNAHeader1"/>
        <w:jc w:val="center"/>
        <w:rPr>
          <w:rFonts w:eastAsiaTheme="minorEastAsia"/>
          <w:b/>
          <w:bCs/>
          <w:color w:val="000000" w:themeColor="text1"/>
          <w:sz w:val="32"/>
          <w:szCs w:val="32"/>
          <w:u w:val="single"/>
        </w:rPr>
      </w:pPr>
    </w:p>
    <w:p w14:paraId="2F5E7086" w14:textId="24C19E42" w:rsidR="009893F4" w:rsidRDefault="009893F4" w:rsidP="009893F4">
      <w:pPr>
        <w:pStyle w:val="HNAHeader1"/>
        <w:jc w:val="center"/>
        <w:rPr>
          <w:rFonts w:eastAsiaTheme="minorEastAsia"/>
          <w:b/>
          <w:bCs/>
          <w:color w:val="000000" w:themeColor="text1"/>
          <w:sz w:val="32"/>
          <w:szCs w:val="32"/>
          <w:u w:val="single"/>
        </w:rPr>
      </w:pPr>
    </w:p>
    <w:p w14:paraId="471F9A8D" w14:textId="414568FC" w:rsidR="009893F4" w:rsidRDefault="009893F4" w:rsidP="009893F4">
      <w:pPr>
        <w:pStyle w:val="HNAHeader1"/>
        <w:jc w:val="center"/>
        <w:rPr>
          <w:rFonts w:eastAsiaTheme="minorEastAsia"/>
          <w:b/>
          <w:bCs/>
          <w:color w:val="000000" w:themeColor="text1"/>
          <w:sz w:val="32"/>
          <w:szCs w:val="32"/>
          <w:u w:val="single"/>
        </w:rPr>
      </w:pPr>
    </w:p>
    <w:p w14:paraId="7FA17F27" w14:textId="36BE0C2A" w:rsidR="009893F4" w:rsidRDefault="009893F4" w:rsidP="009893F4">
      <w:pPr>
        <w:pStyle w:val="HNAHeader1"/>
        <w:jc w:val="center"/>
        <w:rPr>
          <w:rFonts w:eastAsiaTheme="minorEastAsia"/>
          <w:b/>
          <w:bCs/>
          <w:color w:val="000000" w:themeColor="text1"/>
          <w:sz w:val="32"/>
          <w:szCs w:val="32"/>
          <w:u w:val="single"/>
        </w:rPr>
      </w:pPr>
    </w:p>
    <w:p w14:paraId="2D74122C" w14:textId="0F3EE1AE" w:rsidR="009893F4" w:rsidRDefault="009893F4" w:rsidP="009893F4">
      <w:pPr>
        <w:pStyle w:val="HNAHeader1"/>
        <w:jc w:val="center"/>
        <w:rPr>
          <w:rFonts w:eastAsiaTheme="minorEastAsia"/>
          <w:b/>
          <w:bCs/>
          <w:color w:val="000000" w:themeColor="text1"/>
          <w:sz w:val="32"/>
          <w:szCs w:val="32"/>
          <w:u w:val="single"/>
        </w:rPr>
      </w:pPr>
    </w:p>
    <w:p w14:paraId="2656764A" w14:textId="58A6906C" w:rsidR="009893F4" w:rsidRDefault="009893F4" w:rsidP="009893F4">
      <w:pPr>
        <w:pStyle w:val="HNAHeader1"/>
        <w:jc w:val="center"/>
        <w:rPr>
          <w:rFonts w:eastAsiaTheme="minorEastAsia"/>
          <w:b/>
          <w:bCs/>
          <w:color w:val="000000" w:themeColor="text1"/>
          <w:sz w:val="32"/>
          <w:szCs w:val="32"/>
          <w:u w:val="single"/>
        </w:rPr>
      </w:pPr>
    </w:p>
    <w:p w14:paraId="2A37A894" w14:textId="7DAD9947" w:rsidR="009893F4" w:rsidRDefault="009893F4" w:rsidP="009893F4">
      <w:pPr>
        <w:pStyle w:val="HNAHeader1"/>
        <w:jc w:val="center"/>
        <w:rPr>
          <w:rFonts w:eastAsiaTheme="minorEastAsia"/>
          <w:b/>
          <w:bCs/>
          <w:color w:val="000000" w:themeColor="text1"/>
          <w:sz w:val="32"/>
          <w:szCs w:val="32"/>
          <w:u w:val="single"/>
        </w:rPr>
      </w:pPr>
    </w:p>
    <w:p w14:paraId="43A8ACA7" w14:textId="5A60DFED" w:rsidR="009893F4" w:rsidRDefault="009893F4" w:rsidP="009893F4">
      <w:pPr>
        <w:pStyle w:val="HNAHeader1"/>
        <w:jc w:val="center"/>
        <w:rPr>
          <w:rFonts w:eastAsiaTheme="minorEastAsia"/>
          <w:b/>
          <w:bCs/>
          <w:color w:val="000000" w:themeColor="text1"/>
          <w:sz w:val="32"/>
          <w:szCs w:val="32"/>
          <w:u w:val="single"/>
        </w:rPr>
      </w:pPr>
    </w:p>
    <w:p w14:paraId="26BFD7C9" w14:textId="6757107E" w:rsidR="009893F4" w:rsidRDefault="009893F4" w:rsidP="009893F4">
      <w:pPr>
        <w:pStyle w:val="HNAHeader1"/>
        <w:jc w:val="center"/>
        <w:rPr>
          <w:rFonts w:eastAsiaTheme="minorEastAsia"/>
          <w:b/>
          <w:bCs/>
          <w:color w:val="000000" w:themeColor="text1"/>
          <w:sz w:val="32"/>
          <w:szCs w:val="32"/>
          <w:u w:val="single"/>
        </w:rPr>
      </w:pPr>
    </w:p>
    <w:p w14:paraId="0F7DB506" w14:textId="66E718FB" w:rsidR="009893F4" w:rsidRDefault="009893F4" w:rsidP="009893F4">
      <w:pPr>
        <w:pStyle w:val="HNAHeader1"/>
        <w:jc w:val="center"/>
        <w:rPr>
          <w:rFonts w:eastAsiaTheme="minorEastAsia"/>
          <w:b/>
          <w:bCs/>
          <w:color w:val="000000" w:themeColor="text1"/>
          <w:sz w:val="32"/>
          <w:szCs w:val="32"/>
          <w:u w:val="single"/>
        </w:rPr>
      </w:pPr>
    </w:p>
    <w:p w14:paraId="3019CB86" w14:textId="2FED88FD" w:rsidR="353D9FA6" w:rsidRDefault="353D9FA6" w:rsidP="7C382897">
      <w:pPr>
        <w:pStyle w:val="Heading1"/>
      </w:pPr>
      <w:bookmarkStart w:id="0" w:name="_Toc220937600"/>
      <w:r>
        <w:lastRenderedPageBreak/>
        <w:t>Purpose and methodology</w:t>
      </w:r>
      <w:bookmarkEnd w:id="0"/>
    </w:p>
    <w:p w14:paraId="7026A6F4" w14:textId="3E60541D" w:rsidR="353D9FA6" w:rsidRDefault="353D9FA6" w:rsidP="7C382897">
      <w:pPr>
        <w:pStyle w:val="Heading2"/>
        <w:rPr>
          <w:rFonts w:ascii="Aptos" w:eastAsia="Aptos" w:hAnsi="Aptos" w:cs="Aptos"/>
          <w:sz w:val="24"/>
          <w:szCs w:val="24"/>
        </w:rPr>
      </w:pPr>
      <w:bookmarkStart w:id="1" w:name="_Toc220937601"/>
      <w:r w:rsidRPr="7C382897">
        <w:t>Purpose</w:t>
      </w:r>
      <w:bookmarkEnd w:id="1"/>
    </w:p>
    <w:p w14:paraId="1CAFF196" w14:textId="43DDDB39" w:rsidR="353D9FA6" w:rsidRDefault="353D9FA6" w:rsidP="7C382897">
      <w:pPr>
        <w:spacing w:before="240" w:after="240"/>
      </w:pPr>
      <w:r w:rsidRPr="7C382897">
        <w:rPr>
          <w:rFonts w:ascii="Aptos" w:eastAsia="Aptos" w:hAnsi="Aptos" w:cs="Aptos"/>
        </w:rPr>
        <w:t xml:space="preserve">As part of a nationally mandated requirement, all Integrated Care Boards must submit several documents as part of the integrated planning framework. A population health needs assessment is required as part of this process. The Lancashire &amp; South Cumbria Population Health Needs Assessment is a tool to systematically review the health issues facing a population, leading to system wide agreed priorities that aim to improve health and reduce health inequalities. A PHNA is not a one-off, stand-alone exercise. </w:t>
      </w:r>
      <w:proofErr w:type="gramStart"/>
      <w:r w:rsidRPr="7C382897">
        <w:rPr>
          <w:rFonts w:ascii="Aptos" w:eastAsia="Aptos" w:hAnsi="Aptos" w:cs="Aptos"/>
        </w:rPr>
        <w:t>In order to</w:t>
      </w:r>
      <w:proofErr w:type="gramEnd"/>
      <w:r w:rsidRPr="7C382897">
        <w:rPr>
          <w:rFonts w:ascii="Aptos" w:eastAsia="Aptos" w:hAnsi="Aptos" w:cs="Aptos"/>
        </w:rPr>
        <w:t xml:space="preserve"> influence the delivery of healthcare, it must be incorporated into the decision-making cycle for health, healthcare and the wider context, with commissioning central to the process.</w:t>
      </w:r>
    </w:p>
    <w:p w14:paraId="1E024EDA" w14:textId="7B65132B" w:rsidR="353D9FA6" w:rsidRDefault="353D9FA6" w:rsidP="7C382897">
      <w:pPr>
        <w:pStyle w:val="Heading2"/>
      </w:pPr>
      <w:bookmarkStart w:id="2" w:name="_Toc220937602"/>
      <w:r>
        <w:t>Notes on methodology</w:t>
      </w:r>
      <w:bookmarkEnd w:id="2"/>
    </w:p>
    <w:p w14:paraId="5889976A" w14:textId="590FAF36" w:rsidR="6F215F76" w:rsidRDefault="6F215F76" w:rsidP="7C382897">
      <w:pPr>
        <w:rPr>
          <w:rFonts w:ascii="Aptos" w:eastAsia="Aptos" w:hAnsi="Aptos" w:cs="Aptos"/>
        </w:rPr>
      </w:pPr>
      <w:r>
        <w:t xml:space="preserve">The Lancashire and South Cumbria ICS footprint is a complex one, incorporating the unitary authority areas of Blackburn with Darwen and Blackpool, as well as the upper tier authority area of </w:t>
      </w:r>
      <w:proofErr w:type="gramStart"/>
      <w:r>
        <w:t>Lancashire county</w:t>
      </w:r>
      <w:proofErr w:type="gramEnd"/>
      <w:r>
        <w:t xml:space="preserve">. It also includes </w:t>
      </w:r>
      <w:r w:rsidR="703950E3">
        <w:t xml:space="preserve">the </w:t>
      </w:r>
      <w:r w:rsidR="703950E3" w:rsidRPr="7C382897">
        <w:rPr>
          <w:rFonts w:ascii="Aptos" w:eastAsia="Aptos" w:hAnsi="Aptos" w:cs="Aptos"/>
        </w:rPr>
        <w:t xml:space="preserve">Westmorland and Furness Council, excluding the previous Eden District, some of the previous Borough of Copeland (around Millom) which is within Cumberland Council and some of the previous District of Craven (around Bentham) which is within North Yorkshire Council. </w:t>
      </w:r>
    </w:p>
    <w:p w14:paraId="4708DC91" w14:textId="10D018E2" w:rsidR="5B064BE3" w:rsidRDefault="5B064BE3" w:rsidP="7C382897">
      <w:pPr>
        <w:spacing w:before="240" w:after="240"/>
        <w:rPr>
          <w:rFonts w:ascii="Aptos" w:eastAsia="Aptos" w:hAnsi="Aptos" w:cs="Aptos"/>
        </w:rPr>
      </w:pPr>
      <w:r w:rsidRPr="7C382897">
        <w:rPr>
          <w:rFonts w:ascii="Aptos" w:eastAsia="Aptos" w:hAnsi="Aptos" w:cs="Aptos"/>
        </w:rPr>
        <w:t>Throughout the document, w</w:t>
      </w:r>
      <w:r w:rsidR="66BCEF8A" w:rsidRPr="7C382897">
        <w:rPr>
          <w:rFonts w:ascii="Aptos" w:eastAsia="Aptos" w:hAnsi="Aptos" w:cs="Aptos"/>
        </w:rPr>
        <w:t xml:space="preserve">here data is reported as being for </w:t>
      </w:r>
      <w:r w:rsidR="66DBA2D2" w:rsidRPr="7C382897">
        <w:rPr>
          <w:rFonts w:ascii="Aptos" w:eastAsia="Aptos" w:hAnsi="Aptos" w:cs="Aptos"/>
        </w:rPr>
        <w:t>‘</w:t>
      </w:r>
      <w:r w:rsidR="66BCEF8A" w:rsidRPr="7C382897">
        <w:rPr>
          <w:rFonts w:ascii="Aptos" w:eastAsia="Aptos" w:hAnsi="Aptos" w:cs="Aptos"/>
        </w:rPr>
        <w:t>Lancashire and South Cumbria</w:t>
      </w:r>
      <w:r w:rsidR="60F7EC4A" w:rsidRPr="7C382897">
        <w:rPr>
          <w:rFonts w:ascii="Aptos" w:eastAsia="Aptos" w:hAnsi="Aptos" w:cs="Aptos"/>
        </w:rPr>
        <w:t>’</w:t>
      </w:r>
      <w:r w:rsidR="66BCEF8A" w:rsidRPr="7C382897">
        <w:rPr>
          <w:rFonts w:ascii="Aptos" w:eastAsia="Aptos" w:hAnsi="Aptos" w:cs="Aptos"/>
        </w:rPr>
        <w:t xml:space="preserve"> it includes the full ICB population including the small areas of C</w:t>
      </w:r>
      <w:r w:rsidR="1D427AE6" w:rsidRPr="7C382897">
        <w:rPr>
          <w:rFonts w:ascii="Aptos" w:eastAsia="Aptos" w:hAnsi="Aptos" w:cs="Aptos"/>
        </w:rPr>
        <w:t xml:space="preserve">umberland </w:t>
      </w:r>
      <w:r w:rsidR="66BCEF8A" w:rsidRPr="7C382897">
        <w:rPr>
          <w:rFonts w:ascii="Aptos" w:eastAsia="Aptos" w:hAnsi="Aptos" w:cs="Aptos"/>
        </w:rPr>
        <w:t xml:space="preserve">and </w:t>
      </w:r>
      <w:r w:rsidR="6418485C" w:rsidRPr="7C382897">
        <w:rPr>
          <w:rFonts w:ascii="Aptos" w:eastAsia="Aptos" w:hAnsi="Aptos" w:cs="Aptos"/>
        </w:rPr>
        <w:t>North Yorkshire</w:t>
      </w:r>
      <w:r w:rsidR="66BCEF8A" w:rsidRPr="7C382897">
        <w:rPr>
          <w:rFonts w:ascii="Aptos" w:eastAsia="Aptos" w:hAnsi="Aptos" w:cs="Aptos"/>
        </w:rPr>
        <w:t>. Where data is at district or local authority level it does not. Where data is reported at local authority level and includes Westmoreland-and-Furness, this has not been broken down by the ICB boundaries and is for the entirety of W</w:t>
      </w:r>
      <w:r w:rsidR="11D8577C" w:rsidRPr="7C382897">
        <w:rPr>
          <w:rFonts w:ascii="Aptos" w:eastAsia="Aptos" w:hAnsi="Aptos" w:cs="Aptos"/>
        </w:rPr>
        <w:t xml:space="preserve">estmoreland </w:t>
      </w:r>
      <w:r w:rsidR="66BCEF8A" w:rsidRPr="7C382897">
        <w:rPr>
          <w:rFonts w:ascii="Aptos" w:eastAsia="Aptos" w:hAnsi="Aptos" w:cs="Aptos"/>
        </w:rPr>
        <w:t>&amp;</w:t>
      </w:r>
      <w:r w:rsidR="0D7B5E45" w:rsidRPr="7C382897">
        <w:rPr>
          <w:rFonts w:ascii="Aptos" w:eastAsia="Aptos" w:hAnsi="Aptos" w:cs="Aptos"/>
        </w:rPr>
        <w:t xml:space="preserve"> </w:t>
      </w:r>
      <w:r w:rsidR="66BCEF8A" w:rsidRPr="7C382897">
        <w:rPr>
          <w:rFonts w:ascii="Aptos" w:eastAsia="Aptos" w:hAnsi="Aptos" w:cs="Aptos"/>
        </w:rPr>
        <w:t>F</w:t>
      </w:r>
      <w:r w:rsidR="0D7B5E45" w:rsidRPr="7C382897">
        <w:rPr>
          <w:rFonts w:ascii="Aptos" w:eastAsia="Aptos" w:hAnsi="Aptos" w:cs="Aptos"/>
        </w:rPr>
        <w:t>urness</w:t>
      </w:r>
      <w:r w:rsidR="66BCEF8A" w:rsidRPr="7C382897">
        <w:rPr>
          <w:rFonts w:ascii="Aptos" w:eastAsia="Aptos" w:hAnsi="Aptos" w:cs="Aptos"/>
        </w:rPr>
        <w:t>.</w:t>
      </w:r>
    </w:p>
    <w:p w14:paraId="5484A20E" w14:textId="3E9A1C71" w:rsidR="004627A3" w:rsidRDefault="004627A3" w:rsidP="7C382897">
      <w:pPr>
        <w:spacing w:before="240" w:after="240"/>
        <w:rPr>
          <w:rFonts w:ascii="Aptos" w:eastAsia="Aptos" w:hAnsi="Aptos" w:cs="Aptos"/>
        </w:rPr>
      </w:pPr>
      <w:r>
        <w:rPr>
          <w:rFonts w:ascii="Aptos" w:eastAsia="Aptos" w:hAnsi="Aptos" w:cs="Aptos"/>
        </w:rPr>
        <w:t xml:space="preserve">Because much of the data is </w:t>
      </w:r>
      <w:r w:rsidR="00632F9A">
        <w:rPr>
          <w:rFonts w:ascii="Aptos" w:eastAsia="Aptos" w:hAnsi="Aptos" w:cs="Aptos"/>
        </w:rPr>
        <w:t>either at sub-ICB level or local authority level, many inequalities at</w:t>
      </w:r>
      <w:r w:rsidR="00F90345">
        <w:rPr>
          <w:rFonts w:ascii="Aptos" w:eastAsia="Aptos" w:hAnsi="Aptos" w:cs="Aptos"/>
        </w:rPr>
        <w:t xml:space="preserve"> a m</w:t>
      </w:r>
      <w:r w:rsidR="00632F9A">
        <w:rPr>
          <w:rFonts w:ascii="Aptos" w:eastAsia="Aptos" w:hAnsi="Aptos" w:cs="Aptos"/>
        </w:rPr>
        <w:t xml:space="preserve">ore local or neighbourhood level will be </w:t>
      </w:r>
      <w:r w:rsidR="00F90345">
        <w:rPr>
          <w:rFonts w:ascii="Aptos" w:eastAsia="Aptos" w:hAnsi="Aptos" w:cs="Aptos"/>
        </w:rPr>
        <w:t>hidden</w:t>
      </w:r>
      <w:r w:rsidR="00803CAC">
        <w:rPr>
          <w:rFonts w:ascii="Aptos" w:eastAsia="Aptos" w:hAnsi="Aptos" w:cs="Aptos"/>
        </w:rPr>
        <w:t>. This is the case consistently throughout the report. The local JSNAs for each area should be consulted for more in depth analysis for each area.</w:t>
      </w:r>
    </w:p>
    <w:p w14:paraId="3BF96D25" w14:textId="1266FC76" w:rsidR="66BCEF8A" w:rsidRDefault="66BCEF8A" w:rsidP="7C382897">
      <w:pPr>
        <w:spacing w:before="240" w:after="240"/>
        <w:rPr>
          <w:rFonts w:ascii="Aptos" w:eastAsia="Aptos" w:hAnsi="Aptos" w:cs="Aptos"/>
        </w:rPr>
      </w:pPr>
      <w:r w:rsidRPr="7C382897">
        <w:rPr>
          <w:rFonts w:ascii="Aptos" w:eastAsia="Aptos" w:hAnsi="Aptos" w:cs="Aptos"/>
        </w:rPr>
        <w:t>This report has used the IMD 2019 data for measuring deprivation throughout for consistency, as the IoD25 data released after the report was written</w:t>
      </w:r>
      <w:r w:rsidR="29D54937" w:rsidRPr="4DDE693C">
        <w:rPr>
          <w:rFonts w:ascii="Aptos" w:eastAsia="Aptos" w:hAnsi="Aptos" w:cs="Aptos"/>
        </w:rPr>
        <w:t>, and all breakdowns of health data</w:t>
      </w:r>
      <w:r w:rsidR="000813CC">
        <w:rPr>
          <w:rFonts w:ascii="Aptos" w:eastAsia="Aptos" w:hAnsi="Aptos" w:cs="Aptos"/>
        </w:rPr>
        <w:t xml:space="preserve"> have not yet been updated with 2025 Indices.</w:t>
      </w:r>
    </w:p>
    <w:p w14:paraId="4D676228" w14:textId="327B9D52" w:rsidR="007E15E0" w:rsidRDefault="00D14E9A" w:rsidP="007E15E0">
      <w:pPr>
        <w:pStyle w:val="Heading1"/>
      </w:pPr>
      <w:bookmarkStart w:id="3" w:name="_Toc214446980"/>
      <w:bookmarkStart w:id="4" w:name="_Toc214447000"/>
      <w:bookmarkStart w:id="5" w:name="_Toc214460945"/>
      <w:bookmarkStart w:id="6" w:name="_Toc220937603"/>
      <w:r>
        <w:t>Demographics</w:t>
      </w:r>
      <w:bookmarkEnd w:id="3"/>
      <w:bookmarkEnd w:id="4"/>
      <w:bookmarkEnd w:id="5"/>
      <w:bookmarkEnd w:id="6"/>
    </w:p>
    <w:p w14:paraId="370872D1" w14:textId="27CE6891" w:rsidR="00D14E9A" w:rsidRPr="00504AB2" w:rsidRDefault="00D14E9A" w:rsidP="00C93069">
      <w:pPr>
        <w:pStyle w:val="Heading2"/>
      </w:pPr>
      <w:bookmarkStart w:id="7" w:name="_Toc214447001"/>
      <w:bookmarkStart w:id="8" w:name="_Toc214460946"/>
      <w:bookmarkStart w:id="9" w:name="_Toc220937604"/>
      <w:r w:rsidRPr="00504AB2">
        <w:t>Age and sex</w:t>
      </w:r>
      <w:bookmarkEnd w:id="7"/>
      <w:bookmarkEnd w:id="8"/>
      <w:bookmarkEnd w:id="9"/>
    </w:p>
    <w:p w14:paraId="48036D23" w14:textId="77777777" w:rsidR="00812FB7" w:rsidRPr="00C87068" w:rsidRDefault="00812FB7" w:rsidP="004E1A8C">
      <w:pPr>
        <w:pStyle w:val="HNAHeader1"/>
      </w:pPr>
      <w:r w:rsidRPr="00504AB2">
        <w:lastRenderedPageBreak/>
        <w:t>The population structure of the NHS Lancashire and South Cumbria Integrated Care Board (ICB) in 2022 is illustrated by the population pyramid and accompanying summary data. Together, these show the age and sex distribution of the population and how it compares both within the ICB and against the national profile for England.</w:t>
      </w:r>
    </w:p>
    <w:p w14:paraId="467EC2CA" w14:textId="77777777" w:rsidR="00812FB7" w:rsidRDefault="00812FB7" w:rsidP="004E1A8C">
      <w:pPr>
        <w:pStyle w:val="HNAHeader1"/>
      </w:pPr>
      <w:r w:rsidRPr="00504AB2">
        <w:t>The total population of the ICB in 2022 was 1,738,156, comprising 855,915 males (49.2%) and 882,241 females (50.8%), indicating a broadly even gender balance. This is consistent with the England distribution, where females represent 51.0% of the population.</w:t>
      </w:r>
    </w:p>
    <w:p w14:paraId="6C4FAF42" w14:textId="77777777" w:rsidR="00812FB7" w:rsidRPr="00C87068" w:rsidRDefault="00812FB7" w:rsidP="00BC6563">
      <w:pPr>
        <w:pStyle w:val="HNAHeader1"/>
      </w:pPr>
    </w:p>
    <w:p w14:paraId="72BAE206" w14:textId="53B37F07" w:rsidR="00C87068" w:rsidRPr="00504AB2" w:rsidRDefault="00C87068" w:rsidP="007502FC">
      <w:pPr>
        <w:pStyle w:val="HNAHeader1"/>
        <w:jc w:val="center"/>
      </w:pPr>
      <w:r w:rsidRPr="00C87068">
        <w:rPr>
          <w:noProof/>
        </w:rPr>
        <w:drawing>
          <wp:inline distT="0" distB="0" distL="0" distR="0" wp14:anchorId="0E6D5F62" wp14:editId="7DDA434C">
            <wp:extent cx="5778382" cy="3924300"/>
            <wp:effectExtent l="0" t="0" r="0" b="0"/>
            <wp:docPr id="3" name="Picture 2" descr="A graph of different colored squares&#10;&#10;AI-generated content may be incorrect.">
              <a:extLst xmlns:a="http://schemas.openxmlformats.org/drawingml/2006/main">
                <a:ext uri="{FF2B5EF4-FFF2-40B4-BE49-F238E27FC236}">
                  <a16:creationId xmlns:a16="http://schemas.microsoft.com/office/drawing/2014/main" id="{DC8ADD2A-1643-462B-A375-BCDACBAED0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different colored squares&#10;&#10;AI-generated content may be incorrect.">
                      <a:extLst>
                        <a:ext uri="{FF2B5EF4-FFF2-40B4-BE49-F238E27FC236}">
                          <a16:creationId xmlns:a16="http://schemas.microsoft.com/office/drawing/2014/main" id="{DECF9838-53CC-71CE-6C35-D88633F135BC}"/>
                        </a:ext>
                      </a:extLst>
                    </pic:cNvPr>
                    <pic:cNvPicPr>
                      <a:picLocks noChangeAspect="1"/>
                    </pic:cNvPicPr>
                  </pic:nvPicPr>
                  <pic:blipFill>
                    <a:blip r:embed="rId11"/>
                    <a:stretch>
                      <a:fillRect/>
                    </a:stretch>
                  </pic:blipFill>
                  <pic:spPr>
                    <a:xfrm>
                      <a:off x="0" y="0"/>
                      <a:ext cx="5787438" cy="3930450"/>
                    </a:xfrm>
                    <a:prstGeom prst="rect">
                      <a:avLst/>
                    </a:prstGeom>
                  </pic:spPr>
                </pic:pic>
              </a:graphicData>
            </a:graphic>
          </wp:inline>
        </w:drawing>
      </w:r>
    </w:p>
    <w:p w14:paraId="632C4768" w14:textId="63F4E026" w:rsidR="00812FB7" w:rsidRPr="00504AB2" w:rsidRDefault="00812FB7" w:rsidP="00812FB7">
      <w:pPr>
        <w:pStyle w:val="HNAHeader1"/>
        <w:jc w:val="center"/>
      </w:pPr>
      <w:r w:rsidRPr="00504AB2">
        <w:rPr>
          <w:noProof/>
        </w:rPr>
        <w:lastRenderedPageBreak/>
        <w:drawing>
          <wp:inline distT="0" distB="0" distL="0" distR="0" wp14:anchorId="381B49A7" wp14:editId="04E1C2A5">
            <wp:extent cx="3103245" cy="3218815"/>
            <wp:effectExtent l="0" t="0" r="1905" b="635"/>
            <wp:docPr id="342985771" name="Picture 2">
              <a:extLst xmlns:a="http://schemas.openxmlformats.org/drawingml/2006/main">
                <a:ext uri="{FF2B5EF4-FFF2-40B4-BE49-F238E27FC236}">
                  <a16:creationId xmlns:a16="http://schemas.microsoft.com/office/drawing/2014/main" id="{5D0EB8D6-C823-479F-ACD1-9660D2225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3245" cy="3218815"/>
                    </a:xfrm>
                    <a:prstGeom prst="rect">
                      <a:avLst/>
                    </a:prstGeom>
                    <a:noFill/>
                  </pic:spPr>
                </pic:pic>
              </a:graphicData>
            </a:graphic>
          </wp:inline>
        </w:drawing>
      </w:r>
    </w:p>
    <w:p w14:paraId="17F59755" w14:textId="77777777" w:rsidR="00C87068" w:rsidRPr="00504AB2" w:rsidRDefault="00C87068" w:rsidP="000556E0">
      <w:pPr>
        <w:pStyle w:val="Heading3"/>
      </w:pPr>
      <w:r w:rsidRPr="00504AB2">
        <w:t>Age Composition</w:t>
      </w:r>
    </w:p>
    <w:p w14:paraId="43BB673A" w14:textId="77777777" w:rsidR="00C87068" w:rsidRPr="00C87068" w:rsidRDefault="00C87068" w:rsidP="00D54EA8">
      <w:pPr>
        <w:pStyle w:val="HNAHeader1"/>
        <w:ind w:left="720"/>
      </w:pPr>
      <w:r w:rsidRPr="00504AB2">
        <w:t>Within the ICB, 18% of residents were aged 0 to 15 years, 61% were aged 16 to 64 years, and 21% were aged 65 years and over. Compared with England overall (18.5%, 62.9%, and 18.6% respectively), the ICB shows a slightly older age profile, with a higher proportion of people aged 65 and over and a correspondingly smaller proportion of younger and working-age residents.</w:t>
      </w:r>
    </w:p>
    <w:p w14:paraId="077403A0" w14:textId="77777777" w:rsidR="00C87068" w:rsidRPr="007E15E0" w:rsidRDefault="00C87068" w:rsidP="007E15E0">
      <w:pPr>
        <w:pStyle w:val="Heading3"/>
      </w:pPr>
      <w:r w:rsidRPr="007E15E0">
        <w:t>Place Variation</w:t>
      </w:r>
    </w:p>
    <w:p w14:paraId="36F7B17A" w14:textId="562CCE5E" w:rsidR="00812FB7" w:rsidRPr="00504AB2" w:rsidRDefault="00812FB7" w:rsidP="00812FB7">
      <w:pPr>
        <w:pStyle w:val="HNAHeader1"/>
        <w:jc w:val="both"/>
      </w:pPr>
      <w:r w:rsidRPr="00504AB2">
        <w:rPr>
          <w:noProof/>
        </w:rPr>
        <w:drawing>
          <wp:inline distT="0" distB="0" distL="0" distR="0" wp14:anchorId="6E804B8C" wp14:editId="52BDCB4B">
            <wp:extent cx="5968365" cy="2182495"/>
            <wp:effectExtent l="0" t="0" r="0" b="8255"/>
            <wp:docPr id="1021526922" name="Picture 1">
              <a:extLst xmlns:a="http://schemas.openxmlformats.org/drawingml/2006/main">
                <a:ext uri="{FF2B5EF4-FFF2-40B4-BE49-F238E27FC236}">
                  <a16:creationId xmlns:a16="http://schemas.microsoft.com/office/drawing/2014/main" id="{A059D7CF-D784-44C9-9C41-5FF18C080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8365" cy="2182495"/>
                    </a:xfrm>
                    <a:prstGeom prst="rect">
                      <a:avLst/>
                    </a:prstGeom>
                    <a:noFill/>
                  </pic:spPr>
                </pic:pic>
              </a:graphicData>
            </a:graphic>
          </wp:inline>
        </w:drawing>
      </w:r>
    </w:p>
    <w:p w14:paraId="08BBC5A7" w14:textId="302FDB2A" w:rsidR="00C87068" w:rsidRPr="00C87068" w:rsidRDefault="00C87068" w:rsidP="00D54EA8">
      <w:pPr>
        <w:pStyle w:val="HNAHeader1"/>
        <w:ind w:left="720"/>
      </w:pPr>
      <w:r w:rsidRPr="00504AB2">
        <w:t>Across the five place areas of the ICB, the age distribution varies moderately:</w:t>
      </w:r>
    </w:p>
    <w:p w14:paraId="269A57CF" w14:textId="77777777" w:rsidR="00C87068" w:rsidRPr="00C87068" w:rsidRDefault="00C87068" w:rsidP="00BD0DD8">
      <w:pPr>
        <w:pStyle w:val="HNAHeader1"/>
        <w:numPr>
          <w:ilvl w:val="0"/>
          <w:numId w:val="11"/>
        </w:numPr>
        <w:tabs>
          <w:tab w:val="clear" w:pos="720"/>
          <w:tab w:val="num" w:pos="1080"/>
        </w:tabs>
        <w:spacing w:line="240" w:lineRule="auto"/>
        <w:ind w:left="1080"/>
      </w:pPr>
      <w:r w:rsidRPr="00504AB2">
        <w:t>Fylde Coast (25.1%) and Morecambe Bay (23.7%) have the highest proportions of residents aged 65 years and over.</w:t>
      </w:r>
    </w:p>
    <w:p w14:paraId="0A276643" w14:textId="77777777" w:rsidR="00C87068" w:rsidRPr="00C87068" w:rsidRDefault="00C87068" w:rsidP="00BD0DD8">
      <w:pPr>
        <w:pStyle w:val="HNAHeader1"/>
        <w:numPr>
          <w:ilvl w:val="0"/>
          <w:numId w:val="11"/>
        </w:numPr>
        <w:tabs>
          <w:tab w:val="clear" w:pos="720"/>
          <w:tab w:val="num" w:pos="1080"/>
        </w:tabs>
        <w:spacing w:line="240" w:lineRule="auto"/>
        <w:ind w:left="1080"/>
      </w:pPr>
      <w:r w:rsidRPr="00504AB2">
        <w:t>West Lancashire also records an older profile, with 22.1% aged 65 and over.</w:t>
      </w:r>
    </w:p>
    <w:p w14:paraId="248AC573" w14:textId="77777777" w:rsidR="00C87068" w:rsidRPr="00C87068" w:rsidRDefault="00C87068" w:rsidP="00BD0DD8">
      <w:pPr>
        <w:pStyle w:val="HNAHeader1"/>
        <w:numPr>
          <w:ilvl w:val="0"/>
          <w:numId w:val="11"/>
        </w:numPr>
        <w:tabs>
          <w:tab w:val="clear" w:pos="720"/>
          <w:tab w:val="num" w:pos="1080"/>
        </w:tabs>
        <w:spacing w:line="240" w:lineRule="auto"/>
        <w:ind w:left="1080"/>
      </w:pPr>
      <w:r w:rsidRPr="00504AB2">
        <w:t>Central Lancashire (18.8%) and Pennine Lancashire (18.1%) are more closely aligned with national averages.</w:t>
      </w:r>
    </w:p>
    <w:p w14:paraId="23EDF62D" w14:textId="5D6FA0EF" w:rsidR="00C87068" w:rsidRPr="00C87068" w:rsidRDefault="00C87068" w:rsidP="00BD0DD8">
      <w:pPr>
        <w:pStyle w:val="HNAHeader1"/>
        <w:numPr>
          <w:ilvl w:val="0"/>
          <w:numId w:val="11"/>
        </w:numPr>
        <w:tabs>
          <w:tab w:val="clear" w:pos="720"/>
          <w:tab w:val="num" w:pos="360"/>
        </w:tabs>
        <w:spacing w:line="240" w:lineRule="auto"/>
        <w:ind w:left="360"/>
      </w:pPr>
      <w:r w:rsidRPr="00504AB2">
        <w:lastRenderedPageBreak/>
        <w:t>The child population (0-15 years) ranges from 15.5% in Morecambe Bay to 20.5% in Pennine Lancashire, showing some variation in younger age structures across the sub-regions.</w:t>
      </w:r>
    </w:p>
    <w:p w14:paraId="07D5B845" w14:textId="77777777" w:rsidR="00C87068" w:rsidRPr="00504AB2" w:rsidRDefault="00C87068" w:rsidP="00C93069">
      <w:pPr>
        <w:pStyle w:val="Heading2"/>
      </w:pPr>
      <w:bookmarkStart w:id="10" w:name="_Toc214447002"/>
      <w:bookmarkStart w:id="11" w:name="_Toc214460947"/>
      <w:bookmarkStart w:id="12" w:name="_Toc220937605"/>
      <w:r w:rsidRPr="00504AB2">
        <w:t>Population Pyramid</w:t>
      </w:r>
      <w:bookmarkEnd w:id="10"/>
      <w:bookmarkEnd w:id="11"/>
      <w:bookmarkEnd w:id="12"/>
    </w:p>
    <w:p w14:paraId="2D0ADD73" w14:textId="77777777" w:rsidR="00C87068" w:rsidRPr="00C87068" w:rsidRDefault="00C87068" w:rsidP="007E15E0">
      <w:pPr>
        <w:pStyle w:val="HNAHeader1"/>
      </w:pPr>
      <w:r w:rsidRPr="00504AB2">
        <w:t>The population pyramid for the ICB further illustrates these patterns. The distribution across age bands is broadly consistent through the working-age population (20-64 years), with each five-year group representing between 5% and 7% of the total. The largest single cohort is the 55-59 age band, accounting for 7.21% of the population.</w:t>
      </w:r>
    </w:p>
    <w:p w14:paraId="14DE48F7" w14:textId="77777777" w:rsidR="00C87068" w:rsidRPr="00C87068" w:rsidRDefault="00C87068" w:rsidP="007E15E0">
      <w:pPr>
        <w:pStyle w:val="HNAHeader1"/>
      </w:pPr>
      <w:r w:rsidRPr="00504AB2">
        <w:t>The pyramid shows a balanced distribution between males and females up to around age 60. From this point onwards, females form a larger share of the population, particularly within the older age bands, reflecting longer female longevity. The population decreases steadily in size beyond age 65, resulting in a tapering effect at the upper end of the pyramid.</w:t>
      </w:r>
    </w:p>
    <w:p w14:paraId="2FF7975A" w14:textId="1F8A23F6" w:rsidR="00C87068" w:rsidRPr="00C87068" w:rsidRDefault="00C87068" w:rsidP="007E15E0">
      <w:pPr>
        <w:pStyle w:val="HNAHeader1"/>
      </w:pPr>
      <w:r w:rsidRPr="00504AB2">
        <w:t>When compared with the England profile (shown by the line overlay on the chart), the ICB exhibits a slightly older overall population structure, with marginally higher proportions in the older age groups and slightly lower proportions among children and younger adults.</w:t>
      </w:r>
    </w:p>
    <w:p w14:paraId="522460C8" w14:textId="0E7F4F70" w:rsidR="00D14E9A" w:rsidRPr="00504AB2" w:rsidRDefault="00D14E9A" w:rsidP="007E15E0">
      <w:pPr>
        <w:pStyle w:val="HNAHeader1"/>
        <w:rPr>
          <w:u w:val="single"/>
        </w:rPr>
      </w:pPr>
      <w:r w:rsidRPr="00504AB2">
        <w:t>Deprivation</w:t>
      </w:r>
    </w:p>
    <w:p w14:paraId="2B0B8083" w14:textId="77777777" w:rsidR="007502FC" w:rsidRDefault="007502FC" w:rsidP="007E15E0">
      <w:pPr>
        <w:pStyle w:val="HNAHeader1"/>
      </w:pPr>
      <w:r w:rsidRPr="007502FC">
        <w:t>The Index of Multiple Deprivation (IMD) 2019 provides a measure of relative deprivation across small areas (Lower Super Output Areas, or LSOAs) in England. Within the NHS Lancashire and South Cumbria Integrated Care Board (ICB), there is marked variation in deprivation both between and within place areas. The map displays national deciles, where Decile 1 represents the most deprived 10% of areas in England and Decile 10 the least deprived.</w:t>
      </w:r>
    </w:p>
    <w:p w14:paraId="17AE32ED" w14:textId="5C20CBEF" w:rsidR="007502FC" w:rsidRPr="007502FC" w:rsidRDefault="007502FC" w:rsidP="007502FC">
      <w:pPr>
        <w:pStyle w:val="HNAHeader1"/>
        <w:ind w:left="720"/>
      </w:pPr>
      <w:r w:rsidRPr="007502FC">
        <w:rPr>
          <w:noProof/>
        </w:rPr>
        <w:lastRenderedPageBreak/>
        <w:drawing>
          <wp:inline distT="0" distB="0" distL="0" distR="0" wp14:anchorId="713C7D97" wp14:editId="2938E795">
            <wp:extent cx="5731510" cy="4078605"/>
            <wp:effectExtent l="0" t="0" r="2540" b="0"/>
            <wp:docPr id="4" name="Picture 3" descr="A map of england with different colors&#10;&#10;AI-generated content may be incorrect.">
              <a:extLst xmlns:a="http://schemas.openxmlformats.org/drawingml/2006/main">
                <a:ext uri="{FF2B5EF4-FFF2-40B4-BE49-F238E27FC236}">
                  <a16:creationId xmlns:a16="http://schemas.microsoft.com/office/drawing/2014/main" id="{6DE215B1-3527-457E-9D75-75E26313F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england with different colors&#10;&#10;AI-generated content may be incorrect.">
                      <a:extLst>
                        <a:ext uri="{FF2B5EF4-FFF2-40B4-BE49-F238E27FC236}">
                          <a16:creationId xmlns:a16="http://schemas.microsoft.com/office/drawing/2014/main" id="{074B0513-E4D2-C583-0103-DFBD0C06955A}"/>
                        </a:ext>
                      </a:extLst>
                    </pic:cNvPr>
                    <pic:cNvPicPr>
                      <a:picLocks noChangeAspect="1"/>
                    </pic:cNvPicPr>
                  </pic:nvPicPr>
                  <pic:blipFill>
                    <a:blip r:embed="rId14"/>
                    <a:srcRect r="542" b="254"/>
                    <a:stretch>
                      <a:fillRect/>
                    </a:stretch>
                  </pic:blipFill>
                  <pic:spPr>
                    <a:xfrm>
                      <a:off x="0" y="0"/>
                      <a:ext cx="5731510" cy="4078605"/>
                    </a:xfrm>
                    <a:prstGeom prst="rect">
                      <a:avLst/>
                    </a:prstGeom>
                  </pic:spPr>
                </pic:pic>
              </a:graphicData>
            </a:graphic>
          </wp:inline>
        </w:drawing>
      </w:r>
    </w:p>
    <w:p w14:paraId="734DE09A" w14:textId="7C5734B1" w:rsidR="007502FC" w:rsidRPr="007502FC" w:rsidRDefault="001605B6" w:rsidP="007E15E0">
      <w:pPr>
        <w:pStyle w:val="HNAHeader1"/>
      </w:pPr>
      <w:r>
        <w:t xml:space="preserve">31% </w:t>
      </w:r>
      <w:r w:rsidR="007502FC" w:rsidRPr="007502FC">
        <w:t>of the ICB’s LSOAs fall within the most deprived 20% nationally. The highest concentrations of deprivation are found in Pennine Lancashire (particularly Blackburn with Darwen, Burnley, and Hyndburn) and across the Fylde Coast, notably within Blackpool. Blackpool contains one of the largest continuous clusters of Decile 1 areas in England, with widespread deprivation extending across the central and southern parts of the town</w:t>
      </w:r>
      <w:r w:rsidR="007502FC" w:rsidRPr="00846548">
        <w:t>. Significant pockets of deprivation are also</w:t>
      </w:r>
      <w:r w:rsidR="007502FC" w:rsidRPr="007502FC">
        <w:t xml:space="preserve"> present in Preston, parts of Pendle, and around Morecambe and Skelmersdale in West Lancashire.</w:t>
      </w:r>
    </w:p>
    <w:p w14:paraId="0DAE6AEF" w14:textId="77777777" w:rsidR="007502FC" w:rsidRPr="007502FC" w:rsidRDefault="007502FC" w:rsidP="007E15E0">
      <w:pPr>
        <w:pStyle w:val="HNAHeader1"/>
      </w:pPr>
      <w:r w:rsidRPr="007502FC">
        <w:t>Areas showing lower levels of deprivation (Deciles 7-10) are generally located in the more rural and semi-rural parts of the ICB, including northern Lancaster district, outer areas of Wyre and Fylde, and parts of Central Lancashire. These areas tend to contrast sharply with the highly deprived urban centres nearby, illustrating the pronounced spatial inequalities across the ICB footprint.</w:t>
      </w:r>
    </w:p>
    <w:p w14:paraId="33B5B3D3" w14:textId="48692563" w:rsidR="007502FC" w:rsidRPr="007502FC" w:rsidRDefault="007502FC" w:rsidP="007E15E0">
      <w:pPr>
        <w:pStyle w:val="HNAHeader1"/>
      </w:pPr>
      <w:r w:rsidRPr="007502FC">
        <w:t>Overall, the pattern within NHS Lancashire and South Cumbria ICB demonstrates a high concentration of severe deprivation in several urban areas, particularly Blackpool and the Pennine Lancashire towns, alongside comparatively less deprived rural</w:t>
      </w:r>
      <w:r w:rsidR="0019421D">
        <w:t xml:space="preserve"> </w:t>
      </w:r>
      <w:r w:rsidRPr="007502FC">
        <w:t>communities elsewhere in the region.</w:t>
      </w:r>
    </w:p>
    <w:p w14:paraId="70CFEF0D" w14:textId="1D0BA174" w:rsidR="00D14E9A" w:rsidRPr="00504AB2" w:rsidRDefault="00D14E9A" w:rsidP="00C93069">
      <w:pPr>
        <w:pStyle w:val="Heading2"/>
        <w:rPr>
          <w:u w:val="single"/>
        </w:rPr>
      </w:pPr>
      <w:bookmarkStart w:id="13" w:name="_Toc214447003"/>
      <w:bookmarkStart w:id="14" w:name="_Toc214460948"/>
      <w:bookmarkStart w:id="15" w:name="_Toc220937606"/>
      <w:r w:rsidRPr="00504AB2">
        <w:t>Household composition</w:t>
      </w:r>
      <w:bookmarkEnd w:id="13"/>
      <w:bookmarkEnd w:id="14"/>
      <w:bookmarkEnd w:id="15"/>
    </w:p>
    <w:p w14:paraId="281993BC" w14:textId="77777777" w:rsidR="007502FC" w:rsidRPr="007502FC" w:rsidRDefault="007502FC" w:rsidP="007E15E0">
      <w:pPr>
        <w:pStyle w:val="HNAHeader1"/>
      </w:pPr>
      <w:r w:rsidRPr="007502FC">
        <w:t xml:space="preserve">Understanding household composition is essential for assessing health needs, as it influences service demand, caregiving responsibilities, social isolation risks, and </w:t>
      </w:r>
      <w:r w:rsidRPr="007502FC">
        <w:lastRenderedPageBreak/>
        <w:t>housing suitability. Data from the 2021 Census provides insight into the structure and types of households across the Lancashire and South Cumbria Integrated Care Board (ICB) footprint, with comparisons to national figures.</w:t>
      </w:r>
    </w:p>
    <w:p w14:paraId="78456856" w14:textId="77777777" w:rsidR="007502FC" w:rsidRPr="00504AB2" w:rsidRDefault="007502FC" w:rsidP="000556E0">
      <w:pPr>
        <w:pStyle w:val="HNAHeader1"/>
        <w:rPr>
          <w:b/>
          <w:i/>
        </w:rPr>
      </w:pPr>
      <w:r w:rsidRPr="00504AB2">
        <w:rPr>
          <w:b/>
          <w:i/>
        </w:rPr>
        <w:t>Household Size</w:t>
      </w:r>
    </w:p>
    <w:p w14:paraId="19C0B1AB" w14:textId="77777777" w:rsidR="007502FC" w:rsidRDefault="007502FC" w:rsidP="000556E0">
      <w:pPr>
        <w:pStyle w:val="HNAHeader1"/>
      </w:pPr>
      <w:r w:rsidRPr="007502FC">
        <w:t>Across the ICB area, there were 734,339 households recorded. The most common household size was two people (34.7%), followed by one-person households (32.2%). This pattern is broadly consistent with national trends, although the ICB area has a slightly higher proportion of single-person households compared to England overall (30.1%).</w:t>
      </w:r>
    </w:p>
    <w:p w14:paraId="47193941" w14:textId="152FC701" w:rsidR="007502FC" w:rsidRPr="007502FC" w:rsidRDefault="007502FC" w:rsidP="007502FC">
      <w:pPr>
        <w:pStyle w:val="HNAHeader1"/>
        <w:ind w:left="360"/>
        <w:jc w:val="center"/>
      </w:pPr>
      <w:r>
        <w:rPr>
          <w:noProof/>
        </w:rPr>
        <w:drawing>
          <wp:inline distT="0" distB="0" distL="0" distR="0" wp14:anchorId="45CDCDBE" wp14:editId="1A42F14D">
            <wp:extent cx="4846955" cy="2377440"/>
            <wp:effectExtent l="0" t="0" r="0" b="3810"/>
            <wp:docPr id="1705795779" name="Picture 3">
              <a:extLst xmlns:a="http://schemas.openxmlformats.org/drawingml/2006/main">
                <a:ext uri="{FF2B5EF4-FFF2-40B4-BE49-F238E27FC236}">
                  <a16:creationId xmlns:a16="http://schemas.microsoft.com/office/drawing/2014/main" id="{C84F327F-32A0-4C4C-8184-507666F76D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6955" cy="2377440"/>
                    </a:xfrm>
                    <a:prstGeom prst="rect">
                      <a:avLst/>
                    </a:prstGeom>
                    <a:noFill/>
                  </pic:spPr>
                </pic:pic>
              </a:graphicData>
            </a:graphic>
          </wp:inline>
        </w:drawing>
      </w:r>
    </w:p>
    <w:p w14:paraId="106C9B81" w14:textId="77777777" w:rsidR="007502FC" w:rsidRPr="007502FC" w:rsidRDefault="007502FC" w:rsidP="00BD0DD8">
      <w:pPr>
        <w:pStyle w:val="HNAHeader1"/>
        <w:numPr>
          <w:ilvl w:val="0"/>
          <w:numId w:val="12"/>
        </w:numPr>
      </w:pPr>
      <w:r w:rsidRPr="007502FC">
        <w:t>Fylde Coast had the highest proportion of one-person households (35.1%), which may indicate increased risk of social isolation, particularly among older adults.</w:t>
      </w:r>
    </w:p>
    <w:p w14:paraId="3196680D" w14:textId="77777777" w:rsidR="007502FC" w:rsidRPr="007502FC" w:rsidRDefault="007502FC" w:rsidP="00BD0DD8">
      <w:pPr>
        <w:pStyle w:val="HNAHeader1"/>
        <w:numPr>
          <w:ilvl w:val="0"/>
          <w:numId w:val="12"/>
        </w:numPr>
      </w:pPr>
      <w:r w:rsidRPr="007502FC">
        <w:t>Morecambe Bay had the highest proportion of two-person households (37.1%), suggesting a predominance of smaller family units or couples.</w:t>
      </w:r>
    </w:p>
    <w:p w14:paraId="7222796F" w14:textId="77777777" w:rsidR="007502FC" w:rsidRPr="007502FC" w:rsidRDefault="007502FC" w:rsidP="00BD0DD8">
      <w:pPr>
        <w:pStyle w:val="HNAHeader1"/>
        <w:numPr>
          <w:ilvl w:val="0"/>
          <w:numId w:val="12"/>
        </w:numPr>
      </w:pPr>
      <w:r w:rsidRPr="007502FC">
        <w:t>Pennine Lancashire showed a distinct profile with the highest proportion of larger households, including five-person (5.3%) and six or more person households (3.9%), which may correlate with higher levels of multigenerational living or larger family sizes, potentially impacting housing and health service needs.</w:t>
      </w:r>
    </w:p>
    <w:p w14:paraId="3AF76132" w14:textId="3F589E85" w:rsidR="007502FC" w:rsidRPr="00504AB2" w:rsidRDefault="007502FC" w:rsidP="000556E0">
      <w:pPr>
        <w:pStyle w:val="Heading3"/>
      </w:pPr>
      <w:r w:rsidRPr="00504AB2">
        <w:lastRenderedPageBreak/>
        <w:t>Household Type</w:t>
      </w:r>
    </w:p>
    <w:p w14:paraId="7E043360" w14:textId="345BCA9E" w:rsidR="007502FC" w:rsidRPr="007502FC" w:rsidRDefault="007502FC" w:rsidP="007502FC">
      <w:pPr>
        <w:pStyle w:val="HNAHeader1"/>
        <w:ind w:left="360"/>
        <w:jc w:val="center"/>
        <w:rPr>
          <w:b/>
          <w:bCs/>
        </w:rPr>
      </w:pPr>
      <w:r>
        <w:rPr>
          <w:b/>
          <w:bCs/>
          <w:noProof/>
        </w:rPr>
        <w:drawing>
          <wp:inline distT="0" distB="0" distL="0" distR="0" wp14:anchorId="195AB909" wp14:editId="29B8DF50">
            <wp:extent cx="3590925" cy="2359660"/>
            <wp:effectExtent l="0" t="0" r="9525" b="2540"/>
            <wp:docPr id="274529378" name="Picture 4">
              <a:extLst xmlns:a="http://schemas.openxmlformats.org/drawingml/2006/main">
                <a:ext uri="{FF2B5EF4-FFF2-40B4-BE49-F238E27FC236}">
                  <a16:creationId xmlns:a16="http://schemas.microsoft.com/office/drawing/2014/main" id="{D1830E5E-8B31-4A14-9E08-ABA4FF2B3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0925" cy="2359660"/>
                    </a:xfrm>
                    <a:prstGeom prst="rect">
                      <a:avLst/>
                    </a:prstGeom>
                    <a:noFill/>
                  </pic:spPr>
                </pic:pic>
              </a:graphicData>
            </a:graphic>
          </wp:inline>
        </w:drawing>
      </w:r>
    </w:p>
    <w:p w14:paraId="3287C584" w14:textId="77777777" w:rsidR="007502FC" w:rsidRPr="007502FC" w:rsidRDefault="007502FC" w:rsidP="00BD0DD8">
      <w:pPr>
        <w:pStyle w:val="HNAHeader1"/>
        <w:numPr>
          <w:ilvl w:val="0"/>
          <w:numId w:val="13"/>
        </w:numPr>
      </w:pPr>
      <w:r w:rsidRPr="007502FC">
        <w:t>Single-family households accounted for 62.7% of all households in the ICB area, closely aligned with the national average of 63%.</w:t>
      </w:r>
    </w:p>
    <w:p w14:paraId="1DB13903" w14:textId="77777777" w:rsidR="007502FC" w:rsidRPr="007502FC" w:rsidRDefault="007502FC" w:rsidP="00BD0DD8">
      <w:pPr>
        <w:pStyle w:val="HNAHeader1"/>
        <w:numPr>
          <w:ilvl w:val="0"/>
          <w:numId w:val="13"/>
        </w:numPr>
      </w:pPr>
      <w:r w:rsidRPr="007502FC">
        <w:t>One-person households again featured prominently, comprising 32.2% of households in the ICB.</w:t>
      </w:r>
    </w:p>
    <w:p w14:paraId="32E4FCAF" w14:textId="77777777" w:rsidR="007502FC" w:rsidRPr="007502FC" w:rsidRDefault="007502FC" w:rsidP="00BD0DD8">
      <w:pPr>
        <w:pStyle w:val="HNAHeader1"/>
        <w:numPr>
          <w:ilvl w:val="0"/>
          <w:numId w:val="13"/>
        </w:numPr>
      </w:pPr>
      <w:r w:rsidRPr="007502FC">
        <w:t>Other household types (e.g., multi-family or non-related cohabiting individuals) were less common in the ICB (5.1%) compared to England (6.9%), suggesting less diversity in household arrangements locally.</w:t>
      </w:r>
    </w:p>
    <w:p w14:paraId="15BEA230" w14:textId="77777777" w:rsidR="007502FC" w:rsidRPr="00F247D1" w:rsidRDefault="007502FC" w:rsidP="00F247D1">
      <w:pPr>
        <w:rPr>
          <w:b/>
          <w:bCs/>
          <w:i/>
          <w:iCs/>
        </w:rPr>
      </w:pPr>
      <w:r w:rsidRPr="00F247D1">
        <w:rPr>
          <w:b/>
          <w:bCs/>
          <w:i/>
          <w:iCs/>
        </w:rPr>
        <w:t>Within the ICB:</w:t>
      </w:r>
    </w:p>
    <w:p w14:paraId="4D60D265" w14:textId="77777777" w:rsidR="007502FC" w:rsidRPr="007502FC" w:rsidRDefault="007502FC" w:rsidP="00BD0DD8">
      <w:pPr>
        <w:pStyle w:val="HNAHeader1"/>
        <w:numPr>
          <w:ilvl w:val="0"/>
          <w:numId w:val="14"/>
        </w:numPr>
        <w:tabs>
          <w:tab w:val="num" w:pos="720"/>
        </w:tabs>
      </w:pPr>
      <w:r w:rsidRPr="007502FC">
        <w:t>West Lancashire had the highest proportion of single-family households (65.6%), indicating a strong prevalence of traditional family structures.</w:t>
      </w:r>
    </w:p>
    <w:p w14:paraId="108326E0" w14:textId="5B17F024" w:rsidR="007502FC" w:rsidRPr="007502FC" w:rsidRDefault="007502FC" w:rsidP="00BD0DD8">
      <w:pPr>
        <w:pStyle w:val="HNAHeader1"/>
        <w:numPr>
          <w:ilvl w:val="0"/>
          <w:numId w:val="14"/>
        </w:numPr>
        <w:tabs>
          <w:tab w:val="num" w:pos="720"/>
        </w:tabs>
      </w:pPr>
      <w:r w:rsidRPr="007502FC">
        <w:t>Fylde Coast stood out with both the highest proportion of one-person households (35.1%) and the lowest proportion of single-family households (60.1%), highlighting a unique demographic profile that may require targeted interventions for social support and housing.</w:t>
      </w:r>
    </w:p>
    <w:p w14:paraId="5211B088" w14:textId="53AC0826" w:rsidR="3C0EED76" w:rsidRDefault="3C0EED76" w:rsidP="3C0EED76">
      <w:pPr>
        <w:pStyle w:val="HNAHeader1"/>
        <w:tabs>
          <w:tab w:val="num" w:pos="720"/>
        </w:tabs>
      </w:pPr>
    </w:p>
    <w:p w14:paraId="3417DAA5" w14:textId="485341C8" w:rsidR="2A52E555" w:rsidRDefault="51D43AC5" w:rsidP="2A52E555">
      <w:pPr>
        <w:pStyle w:val="HNAHeader1"/>
        <w:tabs>
          <w:tab w:val="num" w:pos="720"/>
        </w:tabs>
      </w:pPr>
      <w:r w:rsidRPr="517600A3">
        <w:rPr>
          <w:rStyle w:val="Heading3Char"/>
        </w:rPr>
        <w:lastRenderedPageBreak/>
        <w:t>Houses in Multiple Occupation</w:t>
      </w:r>
      <w:r>
        <w:rPr>
          <w:noProof/>
        </w:rPr>
        <w:drawing>
          <wp:inline distT="0" distB="0" distL="0" distR="0" wp14:anchorId="24D20D8B" wp14:editId="7BDD9931">
            <wp:extent cx="5724525" cy="3924300"/>
            <wp:effectExtent l="0" t="0" r="0" b="0"/>
            <wp:docPr id="1690525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25095" name="Picture 1690525095"/>
                    <pic:cNvPicPr/>
                  </pic:nvPicPr>
                  <pic:blipFill>
                    <a:blip r:embed="rId17">
                      <a:extLst>
                        <a:ext uri="{28A0092B-C50C-407E-A947-70E740481C1C}">
                          <a14:useLocalDpi xmlns:a14="http://schemas.microsoft.com/office/drawing/2010/main"/>
                        </a:ext>
                      </a:extLst>
                    </a:blip>
                    <a:stretch>
                      <a:fillRect/>
                    </a:stretch>
                  </pic:blipFill>
                  <pic:spPr>
                    <a:xfrm>
                      <a:off x="0" y="0"/>
                      <a:ext cx="5724525" cy="3924300"/>
                    </a:xfrm>
                    <a:prstGeom prst="rect">
                      <a:avLst/>
                    </a:prstGeom>
                  </pic:spPr>
                </pic:pic>
              </a:graphicData>
            </a:graphic>
          </wp:inline>
        </w:drawing>
      </w:r>
    </w:p>
    <w:p w14:paraId="1966E9BC" w14:textId="7545DD3E" w:rsidR="1C3D0344" w:rsidRDefault="1C3D0344" w:rsidP="6DB54540">
      <w:pPr>
        <w:pStyle w:val="HNAHeader1"/>
        <w:tabs>
          <w:tab w:val="num" w:pos="720"/>
        </w:tabs>
      </w:pPr>
      <w:r>
        <w:t xml:space="preserve">Across the Lancashire and South Cumbria area, there are 2,514 registered Houses in Multiple Occupation (HMOs). The distribution of these properties is highly uneven, with a small number of districts accounting for most of the HMO stock. Lancaster has the largest number 953 HMOs, with other notable concentrations in Preston (529 HMOs) and West Lancashire (416 HMOs). </w:t>
      </w:r>
      <w:r w:rsidR="002A1666">
        <w:t>This can partially be attributed to the high numbers of student accommodation in Preston and Lancaster.</w:t>
      </w:r>
    </w:p>
    <w:p w14:paraId="2D326556" w14:textId="5AD8BBBB" w:rsidR="1C3D0344" w:rsidRDefault="1C3D0344" w:rsidP="6DB54540">
      <w:pPr>
        <w:pStyle w:val="HNAHeader1"/>
        <w:tabs>
          <w:tab w:val="num" w:pos="720"/>
        </w:tabs>
      </w:pPr>
      <w:r>
        <w:t>Bedroom occupancy shows a mixed picture of the 2,514 HMOs within the ICB:</w:t>
      </w:r>
    </w:p>
    <w:p w14:paraId="519D1547" w14:textId="4D3045F4" w:rsidR="1C3D0344" w:rsidRDefault="1C3D0344" w:rsidP="7C54F387">
      <w:pPr>
        <w:pStyle w:val="HNAHeader1"/>
        <w:numPr>
          <w:ilvl w:val="0"/>
          <w:numId w:val="30"/>
        </w:numPr>
        <w:tabs>
          <w:tab w:val="num" w:pos="720"/>
        </w:tabs>
      </w:pPr>
      <w:r>
        <w:t xml:space="preserve">639 have an occupancy rating of +2 or more bedrooms, indicating at least two spare bedrooms. </w:t>
      </w:r>
    </w:p>
    <w:p w14:paraId="6933B24F" w14:textId="5917130A" w:rsidR="1C3D0344" w:rsidRDefault="1C3D0344" w:rsidP="7C54F387">
      <w:pPr>
        <w:pStyle w:val="HNAHeader1"/>
        <w:numPr>
          <w:ilvl w:val="0"/>
          <w:numId w:val="30"/>
        </w:numPr>
        <w:tabs>
          <w:tab w:val="num" w:pos="720"/>
        </w:tabs>
      </w:pPr>
      <w:r>
        <w:t>688 have an occupancy rating of +1, with one spare room.</w:t>
      </w:r>
    </w:p>
    <w:p w14:paraId="74ED798C" w14:textId="4B6D3A82" w:rsidR="1C3D0344" w:rsidRDefault="1C3D0344" w:rsidP="7C54F387">
      <w:pPr>
        <w:pStyle w:val="HNAHeader1"/>
        <w:numPr>
          <w:ilvl w:val="0"/>
          <w:numId w:val="30"/>
        </w:numPr>
        <w:tabs>
          <w:tab w:val="num" w:pos="720"/>
        </w:tabs>
      </w:pPr>
      <w:r>
        <w:t xml:space="preserve">876 have an occupancy rating of 0, suggesting bedrooms are fully occupied but not overcrowded. </w:t>
      </w:r>
    </w:p>
    <w:p w14:paraId="210BE498" w14:textId="54E666B6" w:rsidR="1C3D0344" w:rsidRDefault="1C3D0344" w:rsidP="3A37E13C">
      <w:pPr>
        <w:pStyle w:val="HNAHeader1"/>
        <w:numPr>
          <w:ilvl w:val="0"/>
          <w:numId w:val="30"/>
        </w:numPr>
        <w:tabs>
          <w:tab w:val="num" w:pos="720"/>
        </w:tabs>
      </w:pPr>
      <w:r>
        <w:t xml:space="preserve">311 HMOs have an occupancy rating of -1 or less, indicating overcrowding.   </w:t>
      </w:r>
    </w:p>
    <w:p w14:paraId="22BD8639" w14:textId="0A414A4D" w:rsidR="2A52E555" w:rsidRDefault="00433938" w:rsidP="2A52E555">
      <w:pPr>
        <w:pStyle w:val="HNAHeader1"/>
        <w:tabs>
          <w:tab w:val="num" w:pos="720"/>
        </w:tabs>
      </w:pPr>
      <w:r>
        <w:t xml:space="preserve">Notably, despite having </w:t>
      </w:r>
      <w:r w:rsidR="003D60CA">
        <w:t xml:space="preserve">high </w:t>
      </w:r>
      <w:r>
        <w:t>number of HMOs, Lancaster and West Lancashire have a lower proportion of HMOs that are overcrowded</w:t>
      </w:r>
      <w:r w:rsidR="003D60CA">
        <w:t>.</w:t>
      </w:r>
    </w:p>
    <w:p w14:paraId="73AC5556" w14:textId="44FA69C5" w:rsidR="00D14E9A" w:rsidRPr="00504AB2" w:rsidRDefault="00D14E9A" w:rsidP="00C93069">
      <w:pPr>
        <w:pStyle w:val="Heading2"/>
        <w:rPr>
          <w:u w:val="single"/>
        </w:rPr>
      </w:pPr>
      <w:bookmarkStart w:id="16" w:name="_Toc214447004"/>
      <w:bookmarkStart w:id="17" w:name="_Toc214460949"/>
      <w:bookmarkStart w:id="18" w:name="_Toc220937607"/>
      <w:r w:rsidRPr="00504AB2">
        <w:t>Ethnic group distribution</w:t>
      </w:r>
      <w:bookmarkEnd w:id="16"/>
      <w:bookmarkEnd w:id="17"/>
      <w:bookmarkEnd w:id="18"/>
    </w:p>
    <w:p w14:paraId="4A48D287" w14:textId="77777777" w:rsidR="007502FC" w:rsidRPr="007502FC" w:rsidRDefault="007502FC" w:rsidP="005F783D">
      <w:pPr>
        <w:pStyle w:val="HNAHeader1"/>
      </w:pPr>
      <w:r w:rsidRPr="007502FC">
        <w:lastRenderedPageBreak/>
        <w:t>The ethnic composition of the NHS Lancashire and South Cumbria Integrated Care Board (ICB) is predominantly White, though the degree of diversity varies across the constituent areas. Data from the 2021 Census show that 87.8% of the ICB population identify as White, compared with 81.0% nationally for England. Minority ethnic groups together account for around 12.2% of the ICB population. Within the ICB, the largest minority group is the Asian, Asian British or Asian Welsh population, representing 9.4% overall. Smaller proportions identify as Black, Black British, Black Welsh, Caribbean or African (0.6%), Mixed or Multiple ethnic groups (1.5%), and Other ethnic groups (0.7%).</w:t>
      </w:r>
    </w:p>
    <w:p w14:paraId="66C159EF" w14:textId="77777777" w:rsidR="007502FC" w:rsidRPr="00504AB2" w:rsidRDefault="007502FC" w:rsidP="000556E0">
      <w:pPr>
        <w:pStyle w:val="Heading3"/>
      </w:pPr>
      <w:r w:rsidRPr="00504AB2">
        <w:t>Place Variation</w:t>
      </w:r>
    </w:p>
    <w:p w14:paraId="22A41E50" w14:textId="77777777" w:rsidR="007502FC" w:rsidRDefault="007502FC" w:rsidP="005F783D">
      <w:pPr>
        <w:pStyle w:val="HNAHeader1"/>
      </w:pPr>
      <w:r w:rsidRPr="007502FC">
        <w:t>There is considerable variation in diversity across place areas:</w:t>
      </w:r>
    </w:p>
    <w:p w14:paraId="5D2104B2" w14:textId="14C2C1F9" w:rsidR="007502FC" w:rsidRPr="007502FC" w:rsidRDefault="007502FC" w:rsidP="007502FC">
      <w:pPr>
        <w:pStyle w:val="HNAHeader1"/>
        <w:ind w:left="360"/>
        <w:jc w:val="center"/>
      </w:pPr>
      <w:r w:rsidRPr="007502FC">
        <w:rPr>
          <w:noProof/>
        </w:rPr>
        <w:drawing>
          <wp:inline distT="0" distB="0" distL="0" distR="0" wp14:anchorId="0E981E8A" wp14:editId="7CD846A2">
            <wp:extent cx="4733926" cy="3193707"/>
            <wp:effectExtent l="0" t="0" r="0" b="6985"/>
            <wp:docPr id="6" name="Picture 5" descr="A graph of different colored squares&#10;&#10;AI-generated content may be incorrect.">
              <a:extLst xmlns:a="http://schemas.openxmlformats.org/drawingml/2006/main">
                <a:ext uri="{FF2B5EF4-FFF2-40B4-BE49-F238E27FC236}">
                  <a16:creationId xmlns:a16="http://schemas.microsoft.com/office/drawing/2014/main" id="{4754F09F-F230-46CD-81C4-B242258421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f different colored squares&#10;&#10;AI-generated content may be incorrect.">
                      <a:extLst>
                        <a:ext uri="{FF2B5EF4-FFF2-40B4-BE49-F238E27FC236}">
                          <a16:creationId xmlns:a16="http://schemas.microsoft.com/office/drawing/2014/main" id="{4DC1915A-DE8F-2B2B-F9F3-D86301DE9C31}"/>
                        </a:ext>
                      </a:extLst>
                    </pic:cNvPr>
                    <pic:cNvPicPr>
                      <a:picLocks noChangeAspect="1"/>
                    </pic:cNvPicPr>
                  </pic:nvPicPr>
                  <pic:blipFill>
                    <a:blip r:embed="rId18"/>
                    <a:stretch>
                      <a:fillRect/>
                    </a:stretch>
                  </pic:blipFill>
                  <pic:spPr>
                    <a:xfrm>
                      <a:off x="0" y="0"/>
                      <a:ext cx="4733926" cy="3193707"/>
                    </a:xfrm>
                    <a:prstGeom prst="rect">
                      <a:avLst/>
                    </a:prstGeom>
                  </pic:spPr>
                </pic:pic>
              </a:graphicData>
            </a:graphic>
          </wp:inline>
        </w:drawing>
      </w:r>
    </w:p>
    <w:p w14:paraId="0D2B998A" w14:textId="77777777" w:rsidR="007502FC" w:rsidRPr="007502FC" w:rsidRDefault="007502FC" w:rsidP="000556E0">
      <w:pPr>
        <w:pStyle w:val="HNAHeader1"/>
      </w:pPr>
      <w:r w:rsidRPr="00F247D1">
        <w:t>Pennine Lancashire (which includes Blackburn with Darwen and parts of Burnley and Pendle) has the most ethnically diverse profile, with 22.9% of its population belonging to minority ethnic groups. Central Lancashire also shows higher diversity, with 13.5% from minority groups, primarily of Asian heritage. By contrast, Fylde Coast (4.0%), Morecambe Bay (4.4%), and West Lancashire (3.1%) have comparatively small minority populations and are less ethnically mixed than the ICB average.</w:t>
      </w:r>
    </w:p>
    <w:p w14:paraId="5CADF8A1" w14:textId="77777777" w:rsidR="007502FC" w:rsidRPr="00504AB2" w:rsidRDefault="007502FC" w:rsidP="000556E0">
      <w:pPr>
        <w:pStyle w:val="Heading3"/>
      </w:pPr>
      <w:r w:rsidRPr="00504AB2">
        <w:t>Comparison with England</w:t>
      </w:r>
    </w:p>
    <w:p w14:paraId="19282CDB" w14:textId="77777777" w:rsidR="007502FC" w:rsidRPr="007502FC" w:rsidRDefault="007502FC" w:rsidP="000556E0">
      <w:pPr>
        <w:pStyle w:val="HNAHeader1"/>
      </w:pPr>
      <w:r w:rsidRPr="007502FC">
        <w:t>Compared with England as a whole, the ICB has a higher proportion of White residents and lower proportions in all minority categories. Nationally, 19% of residents identify with a minority ethnic group, whereas in Lancashire and South Cumbria this is around 12.2%. The contrast is most marked for Asian and Black ethnic groups, both of which form smaller proportions locally than across England.</w:t>
      </w:r>
    </w:p>
    <w:p w14:paraId="6B779852" w14:textId="27ECC8B9" w:rsidR="007502FC" w:rsidRPr="00504AB2" w:rsidRDefault="007502FC" w:rsidP="000556E0">
      <w:pPr>
        <w:pStyle w:val="Heading3"/>
      </w:pPr>
      <w:r w:rsidRPr="00504AB2">
        <w:lastRenderedPageBreak/>
        <w:t>Geographical Distribution</w:t>
      </w:r>
    </w:p>
    <w:p w14:paraId="79DD621E" w14:textId="77777777" w:rsidR="007502FC" w:rsidRDefault="007502FC" w:rsidP="000556E0">
      <w:pPr>
        <w:pStyle w:val="HNAHeader1"/>
      </w:pPr>
      <w:r w:rsidRPr="007502FC">
        <w:t>The spatial distribution of ethnic minority groups is shown in the accompanying map. Areas with higher concentrations (greater than 25%) are largely located within Blackburn with Darwen, Burnley, Pendle, and Preston. Most other LSOAs across the ICB record minority populations below 10%, reflecting the concentration of diversity within specific urban centres.</w:t>
      </w:r>
    </w:p>
    <w:p w14:paraId="10512A6C" w14:textId="6512C39B" w:rsidR="007502FC" w:rsidRPr="007502FC" w:rsidRDefault="007502FC" w:rsidP="007502FC">
      <w:pPr>
        <w:pStyle w:val="HNAHeader1"/>
        <w:ind w:left="360"/>
        <w:jc w:val="center"/>
      </w:pPr>
      <w:r w:rsidRPr="007502FC">
        <w:rPr>
          <w:noProof/>
        </w:rPr>
        <w:drawing>
          <wp:inline distT="0" distB="0" distL="0" distR="0" wp14:anchorId="1BE70886" wp14:editId="093EAFC9">
            <wp:extent cx="4760441" cy="4827116"/>
            <wp:effectExtent l="0" t="0" r="2540" b="0"/>
            <wp:docPr id="264907098" name="Picture 2" descr="A map of different countries/regions&#10;&#10;AI-generated content may be incorrect.">
              <a:extLst xmlns:a="http://schemas.openxmlformats.org/drawingml/2006/main">
                <a:ext uri="{FF2B5EF4-FFF2-40B4-BE49-F238E27FC236}">
                  <a16:creationId xmlns:a16="http://schemas.microsoft.com/office/drawing/2014/main" id="{26E87286-F770-45E7-A564-01670E806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different countries/regions&#10;&#10;AI-generated content may be incorrect.">
                      <a:extLst>
                        <a:ext uri="{FF2B5EF4-FFF2-40B4-BE49-F238E27FC236}">
                          <a16:creationId xmlns:a16="http://schemas.microsoft.com/office/drawing/2014/main" id="{08A3C4FC-B05D-EB44-6472-98E88B748E1D}"/>
                        </a:ext>
                      </a:extLst>
                    </pic:cNvPr>
                    <pic:cNvPicPr>
                      <a:picLocks noChangeAspect="1"/>
                    </pic:cNvPicPr>
                  </pic:nvPicPr>
                  <pic:blipFill>
                    <a:blip r:embed="rId19"/>
                    <a:stretch>
                      <a:fillRect/>
                    </a:stretch>
                  </pic:blipFill>
                  <pic:spPr>
                    <a:xfrm>
                      <a:off x="0" y="0"/>
                      <a:ext cx="4760441" cy="4827116"/>
                    </a:xfrm>
                    <a:prstGeom prst="rect">
                      <a:avLst/>
                    </a:prstGeom>
                  </pic:spPr>
                </pic:pic>
              </a:graphicData>
            </a:graphic>
          </wp:inline>
        </w:drawing>
      </w:r>
    </w:p>
    <w:p w14:paraId="230CD7D6" w14:textId="12F56AFD" w:rsidR="00D14E9A" w:rsidRPr="00504AB2" w:rsidRDefault="00D14E9A" w:rsidP="00C93069">
      <w:pPr>
        <w:pStyle w:val="Heading2"/>
        <w:rPr>
          <w:u w:val="single"/>
        </w:rPr>
      </w:pPr>
      <w:bookmarkStart w:id="19" w:name="_Toc214447005"/>
      <w:bookmarkStart w:id="20" w:name="_Toc214460950"/>
      <w:bookmarkStart w:id="21" w:name="_Toc220937608"/>
      <w:r w:rsidRPr="00504AB2">
        <w:t>Population change</w:t>
      </w:r>
      <w:bookmarkEnd w:id="19"/>
      <w:bookmarkEnd w:id="20"/>
      <w:bookmarkEnd w:id="21"/>
    </w:p>
    <w:p w14:paraId="472E2662" w14:textId="77777777" w:rsidR="00984ECA" w:rsidRPr="00504AB2" w:rsidRDefault="00984ECA" w:rsidP="000556E0">
      <w:pPr>
        <w:pStyle w:val="HNAHeader1"/>
      </w:pPr>
      <w:r w:rsidRPr="00504AB2">
        <w:t>The total population of NHS Lancashire and South Cumbria Integrated Care Board (ICB) was estimated at 1.72 million in mid-2021, rising to 1.74 million in mid-2022 (Office for National Statistics, 2022-based estimates). This represents a net annual increase of around 19,531 people (1.1%). Most of the growth during this period resulted from migration inflows, which outweighed the negative balance of natural change.</w:t>
      </w:r>
    </w:p>
    <w:p w14:paraId="67A5AD9D" w14:textId="6073CC90" w:rsidR="00984ECA" w:rsidRPr="00504AB2" w:rsidRDefault="00984ECA" w:rsidP="00984ECA">
      <w:pPr>
        <w:pStyle w:val="HNAHeader1"/>
        <w:ind w:left="360"/>
      </w:pPr>
      <w:r w:rsidRPr="00984ECA">
        <w:rPr>
          <w:noProof/>
        </w:rPr>
        <w:lastRenderedPageBreak/>
        <w:drawing>
          <wp:inline distT="0" distB="0" distL="0" distR="0" wp14:anchorId="557B9816" wp14:editId="2CBA198D">
            <wp:extent cx="4724400" cy="3271665"/>
            <wp:effectExtent l="0" t="0" r="0" b="5080"/>
            <wp:docPr id="11" name="Picture 10" descr="A graph of different colored lines&#10;&#10;AI-generated content may be incorrect.">
              <a:extLst xmlns:a="http://schemas.openxmlformats.org/drawingml/2006/main">
                <a:ext uri="{FF2B5EF4-FFF2-40B4-BE49-F238E27FC236}">
                  <a16:creationId xmlns:a16="http://schemas.microsoft.com/office/drawing/2014/main" id="{B8745A78-CBAE-4545-973E-492772F51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f different colored lines&#10;&#10;AI-generated content may be incorrect.">
                      <a:extLst>
                        <a:ext uri="{FF2B5EF4-FFF2-40B4-BE49-F238E27FC236}">
                          <a16:creationId xmlns:a16="http://schemas.microsoft.com/office/drawing/2014/main" id="{1E874075-4C93-472F-55B1-603D953746ED}"/>
                        </a:ext>
                      </a:extLst>
                    </pic:cNvPr>
                    <pic:cNvPicPr>
                      <a:picLocks noChangeAspect="1"/>
                    </pic:cNvPicPr>
                  </pic:nvPicPr>
                  <pic:blipFill>
                    <a:blip r:embed="rId20"/>
                    <a:stretch>
                      <a:fillRect/>
                    </a:stretch>
                  </pic:blipFill>
                  <pic:spPr>
                    <a:xfrm>
                      <a:off x="0" y="0"/>
                      <a:ext cx="4739927" cy="3282417"/>
                    </a:xfrm>
                    <a:prstGeom prst="rect">
                      <a:avLst/>
                    </a:prstGeom>
                  </pic:spPr>
                </pic:pic>
              </a:graphicData>
            </a:graphic>
          </wp:inline>
        </w:drawing>
      </w:r>
    </w:p>
    <w:p w14:paraId="50834C6D" w14:textId="77777777" w:rsidR="00984ECA" w:rsidRPr="00504AB2" w:rsidRDefault="00984ECA" w:rsidP="000556E0">
      <w:pPr>
        <w:pStyle w:val="Heading3"/>
      </w:pPr>
      <w:r w:rsidRPr="00504AB2">
        <w:t>Components of Change (2021-2022)</w:t>
      </w:r>
    </w:p>
    <w:p w14:paraId="5817CEBB" w14:textId="77777777" w:rsidR="00984ECA" w:rsidRPr="00984ECA" w:rsidRDefault="00984ECA" w:rsidP="000556E0">
      <w:pPr>
        <w:pStyle w:val="HNAHeader1"/>
      </w:pPr>
      <w:r w:rsidRPr="00504AB2">
        <w:t>Between mid-2021 and mid-2022, the ICB recorded:</w:t>
      </w:r>
    </w:p>
    <w:p w14:paraId="2462D3AC" w14:textId="77777777" w:rsidR="00984ECA" w:rsidRPr="00984ECA" w:rsidRDefault="00984ECA" w:rsidP="00BD0DD8">
      <w:pPr>
        <w:pStyle w:val="HNAHeader1"/>
        <w:numPr>
          <w:ilvl w:val="0"/>
          <w:numId w:val="15"/>
        </w:numPr>
        <w:tabs>
          <w:tab w:val="clear" w:pos="720"/>
          <w:tab w:val="num" w:pos="360"/>
        </w:tabs>
        <w:ind w:left="360"/>
      </w:pPr>
      <w:r w:rsidRPr="00504AB2">
        <w:t>16,883 births and 19,746 deaths, producing a natural change of -2,863.</w:t>
      </w:r>
    </w:p>
    <w:p w14:paraId="7E5F2AFF" w14:textId="77777777" w:rsidR="00984ECA" w:rsidRPr="00984ECA" w:rsidRDefault="00984ECA" w:rsidP="00BD0DD8">
      <w:pPr>
        <w:pStyle w:val="HNAHeader1"/>
        <w:numPr>
          <w:ilvl w:val="0"/>
          <w:numId w:val="15"/>
        </w:numPr>
        <w:tabs>
          <w:tab w:val="clear" w:pos="720"/>
          <w:tab w:val="num" w:pos="360"/>
        </w:tabs>
        <w:ind w:left="360"/>
      </w:pPr>
      <w:r w:rsidRPr="00504AB2">
        <w:t>Internal migration inflow of approximately 105,526 people and international inflow of 19,391, offset by internal outflow (95,591) and international outflow (7,039).</w:t>
      </w:r>
    </w:p>
    <w:p w14:paraId="24017DB6" w14:textId="77777777" w:rsidR="00984ECA" w:rsidRPr="00984ECA" w:rsidRDefault="00984ECA" w:rsidP="00BD0DD8">
      <w:pPr>
        <w:pStyle w:val="HNAHeader1"/>
        <w:numPr>
          <w:ilvl w:val="0"/>
          <w:numId w:val="15"/>
        </w:numPr>
        <w:tabs>
          <w:tab w:val="clear" w:pos="720"/>
          <w:tab w:val="num" w:pos="360"/>
        </w:tabs>
        <w:ind w:left="360"/>
      </w:pPr>
      <w:r w:rsidRPr="00504AB2">
        <w:t>Net migration therefore added around 22,287 people, fully accounting for the overall population increase.</w:t>
      </w:r>
    </w:p>
    <w:p w14:paraId="1B63D263" w14:textId="672F8FA2" w:rsidR="00984ECA" w:rsidRPr="00984ECA" w:rsidRDefault="00984ECA" w:rsidP="00984ECA">
      <w:pPr>
        <w:pStyle w:val="HNAHeader1"/>
        <w:ind w:left="360"/>
      </w:pPr>
      <w:r w:rsidRPr="00984ECA">
        <w:rPr>
          <w:noProof/>
        </w:rPr>
        <w:drawing>
          <wp:inline distT="0" distB="0" distL="0" distR="0" wp14:anchorId="26A617F7" wp14:editId="4C1CE7B1">
            <wp:extent cx="5172039" cy="3454400"/>
            <wp:effectExtent l="0" t="0" r="0" b="0"/>
            <wp:docPr id="16" name="Picture 15" descr="A graph with numbers and a bar&#10;&#10;AI-generated content may be incorrect.">
              <a:extLst xmlns:a="http://schemas.openxmlformats.org/drawingml/2006/main">
                <a:ext uri="{FF2B5EF4-FFF2-40B4-BE49-F238E27FC236}">
                  <a16:creationId xmlns:a16="http://schemas.microsoft.com/office/drawing/2014/main" id="{95035252-DAF4-4CB7-AC37-1A25300CF6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aph with numbers and a bar&#10;&#10;AI-generated content may be incorrect.">
                      <a:extLst>
                        <a:ext uri="{FF2B5EF4-FFF2-40B4-BE49-F238E27FC236}">
                          <a16:creationId xmlns:a16="http://schemas.microsoft.com/office/drawing/2014/main" id="{5D081BA3-055B-6D3E-C06A-811D02F06615}"/>
                        </a:ext>
                      </a:extLst>
                    </pic:cNvPr>
                    <pic:cNvPicPr>
                      <a:picLocks noChangeAspect="1"/>
                    </pic:cNvPicPr>
                  </pic:nvPicPr>
                  <pic:blipFill>
                    <a:blip r:embed="rId21"/>
                    <a:stretch>
                      <a:fillRect/>
                    </a:stretch>
                  </pic:blipFill>
                  <pic:spPr>
                    <a:xfrm>
                      <a:off x="0" y="0"/>
                      <a:ext cx="5178139" cy="3458474"/>
                    </a:xfrm>
                    <a:prstGeom prst="rect">
                      <a:avLst/>
                    </a:prstGeom>
                  </pic:spPr>
                </pic:pic>
              </a:graphicData>
            </a:graphic>
          </wp:inline>
        </w:drawing>
      </w:r>
    </w:p>
    <w:p w14:paraId="6840795E" w14:textId="77777777" w:rsidR="00984ECA" w:rsidRPr="00504AB2" w:rsidRDefault="00984ECA" w:rsidP="000556E0">
      <w:pPr>
        <w:pStyle w:val="Heading3"/>
      </w:pPr>
      <w:r w:rsidRPr="00504AB2">
        <w:lastRenderedPageBreak/>
        <w:t>Natural Change</w:t>
      </w:r>
    </w:p>
    <w:p w14:paraId="0C7D0B94" w14:textId="77777777" w:rsidR="00984ECA" w:rsidRPr="00504AB2" w:rsidRDefault="00984ECA" w:rsidP="000556E0">
      <w:pPr>
        <w:pStyle w:val="HNAHeader1"/>
      </w:pPr>
      <w:r w:rsidRPr="00504AB2">
        <w:t>Birth and death data show that births have declined steadily across the ICB since 2011, while deaths have increased slightly, leading to a negative natural change since 2018. The birth to death ratio fell from around 1.14 in 2011 to 0.82 by 2021, indicating that deaths now exceed births annually. This pattern is consistent across most place areas, though Pennine Lancashire continues to show relatively higher birth rates compared with the rest of the ICB.</w:t>
      </w:r>
    </w:p>
    <w:p w14:paraId="280E8C16" w14:textId="5BEE7C4F" w:rsidR="00984ECA" w:rsidRPr="00984ECA" w:rsidRDefault="00984ECA" w:rsidP="00984ECA">
      <w:pPr>
        <w:pStyle w:val="HNAHeader1"/>
        <w:ind w:left="360"/>
      </w:pPr>
      <w:r w:rsidRPr="00984ECA">
        <w:rPr>
          <w:noProof/>
        </w:rPr>
        <w:drawing>
          <wp:inline distT="0" distB="0" distL="0" distR="0" wp14:anchorId="6723C78D" wp14:editId="1D581088">
            <wp:extent cx="4738817" cy="3404544"/>
            <wp:effectExtent l="0" t="0" r="5080" b="5715"/>
            <wp:docPr id="17" name="Picture 16" descr="A graph of numbers and colors&#10;&#10;AI-generated content may be incorrect.">
              <a:extLst xmlns:a="http://schemas.openxmlformats.org/drawingml/2006/main">
                <a:ext uri="{FF2B5EF4-FFF2-40B4-BE49-F238E27FC236}">
                  <a16:creationId xmlns:a16="http://schemas.microsoft.com/office/drawing/2014/main" id="{71CA9ABE-F25E-4DD4-AA30-9C1322005C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aph of numbers and colors&#10;&#10;AI-generated content may be incorrect.">
                      <a:extLst>
                        <a:ext uri="{FF2B5EF4-FFF2-40B4-BE49-F238E27FC236}">
                          <a16:creationId xmlns:a16="http://schemas.microsoft.com/office/drawing/2014/main" id="{C62E3343-6E24-1951-3FFD-CD651EDBEFFA}"/>
                        </a:ext>
                      </a:extLst>
                    </pic:cNvPr>
                    <pic:cNvPicPr>
                      <a:picLocks noChangeAspect="1"/>
                    </pic:cNvPicPr>
                  </pic:nvPicPr>
                  <pic:blipFill>
                    <a:blip r:embed="rId22"/>
                    <a:stretch>
                      <a:fillRect/>
                    </a:stretch>
                  </pic:blipFill>
                  <pic:spPr>
                    <a:xfrm>
                      <a:off x="0" y="0"/>
                      <a:ext cx="4738817" cy="3404544"/>
                    </a:xfrm>
                    <a:prstGeom prst="rect">
                      <a:avLst/>
                    </a:prstGeom>
                  </pic:spPr>
                </pic:pic>
              </a:graphicData>
            </a:graphic>
          </wp:inline>
        </w:drawing>
      </w:r>
    </w:p>
    <w:p w14:paraId="3431ECFB" w14:textId="77777777" w:rsidR="00984ECA" w:rsidRPr="00504AB2" w:rsidRDefault="00984ECA" w:rsidP="000556E0">
      <w:pPr>
        <w:pStyle w:val="Heading3"/>
      </w:pPr>
      <w:r w:rsidRPr="00504AB2">
        <w:t>Migration</w:t>
      </w:r>
    </w:p>
    <w:p w14:paraId="7A5D2635" w14:textId="77777777" w:rsidR="00984ECA" w:rsidRPr="00504AB2" w:rsidRDefault="00984ECA" w:rsidP="000556E0">
      <w:pPr>
        <w:pStyle w:val="HNAHeader1"/>
      </w:pPr>
      <w:r w:rsidRPr="00504AB2">
        <w:t>Migration has become the principal driver of population growth. Both internal migration (movement within the UK) and international migration contribute positively, with net migration projected to remain above 12,000 people per year throughout the 2020s and 2030s. Migration gains are sufficient to offset natural population decline and sustain modest overall growth.</w:t>
      </w:r>
    </w:p>
    <w:p w14:paraId="61BCEE9E" w14:textId="75907982" w:rsidR="00984ECA" w:rsidRPr="00984ECA" w:rsidRDefault="00984ECA" w:rsidP="00984ECA">
      <w:pPr>
        <w:pStyle w:val="HNAHeader1"/>
        <w:ind w:left="360"/>
      </w:pPr>
      <w:r w:rsidRPr="00984ECA">
        <w:rPr>
          <w:noProof/>
        </w:rPr>
        <w:lastRenderedPageBreak/>
        <w:drawing>
          <wp:inline distT="0" distB="0" distL="0" distR="0" wp14:anchorId="429270BB" wp14:editId="3476EB24">
            <wp:extent cx="5175504" cy="3587570"/>
            <wp:effectExtent l="0" t="0" r="6350" b="0"/>
            <wp:docPr id="12" name="Picture 11" descr="A graph of different colored bars&#10;&#10;AI-generated content may be incorrect.">
              <a:extLst xmlns:a="http://schemas.openxmlformats.org/drawingml/2006/main">
                <a:ext uri="{FF2B5EF4-FFF2-40B4-BE49-F238E27FC236}">
                  <a16:creationId xmlns:a16="http://schemas.microsoft.com/office/drawing/2014/main" id="{5D90EDBB-25BF-4AB6-B0BD-2DEE67091B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aph of different colored bars&#10;&#10;AI-generated content may be incorrect.">
                      <a:extLst>
                        <a:ext uri="{FF2B5EF4-FFF2-40B4-BE49-F238E27FC236}">
                          <a16:creationId xmlns:a16="http://schemas.microsoft.com/office/drawing/2014/main" id="{88F207A4-87E8-D324-1FDE-8E9E9217E31E}"/>
                        </a:ext>
                      </a:extLst>
                    </pic:cNvPr>
                    <pic:cNvPicPr>
                      <a:picLocks noChangeAspect="1"/>
                    </pic:cNvPicPr>
                  </pic:nvPicPr>
                  <pic:blipFill>
                    <a:blip r:embed="rId23"/>
                    <a:stretch>
                      <a:fillRect/>
                    </a:stretch>
                  </pic:blipFill>
                  <pic:spPr>
                    <a:xfrm>
                      <a:off x="0" y="0"/>
                      <a:ext cx="5189985" cy="3597608"/>
                    </a:xfrm>
                    <a:prstGeom prst="rect">
                      <a:avLst/>
                    </a:prstGeom>
                  </pic:spPr>
                </pic:pic>
              </a:graphicData>
            </a:graphic>
          </wp:inline>
        </w:drawing>
      </w:r>
    </w:p>
    <w:p w14:paraId="628FB4F7" w14:textId="77777777" w:rsidR="00984ECA" w:rsidRPr="00504AB2" w:rsidRDefault="00984ECA" w:rsidP="000556E0">
      <w:pPr>
        <w:pStyle w:val="Heading3"/>
      </w:pPr>
      <w:r w:rsidRPr="00504AB2">
        <w:t>Population Projections (2022 - 2047)</w:t>
      </w:r>
    </w:p>
    <w:p w14:paraId="3E1E4F5B" w14:textId="77777777" w:rsidR="00984ECA" w:rsidRPr="00984ECA" w:rsidRDefault="00984ECA" w:rsidP="000556E0">
      <w:pPr>
        <w:pStyle w:val="HNAHeader1"/>
      </w:pPr>
      <w:r w:rsidRPr="00504AB2">
        <w:t>ONS 2023-based subnational projections indicate that the total population of the ICB will continue to rise gradually over the next two decades, reaching approximately 1.96 million by 2047. Growth will not be uniform across age groups:</w:t>
      </w:r>
    </w:p>
    <w:p w14:paraId="13B5E903" w14:textId="336A6BB3" w:rsidR="00984ECA" w:rsidRPr="00504AB2" w:rsidRDefault="00984ECA" w:rsidP="00984ECA">
      <w:pPr>
        <w:pStyle w:val="HNAHeader1"/>
        <w:ind w:left="360"/>
      </w:pPr>
      <w:r w:rsidRPr="00504AB2">
        <w:rPr>
          <w:noProof/>
        </w:rPr>
        <w:drawing>
          <wp:inline distT="0" distB="0" distL="0" distR="0" wp14:anchorId="025D54B8" wp14:editId="2DE252D5">
            <wp:extent cx="5219700" cy="1311555"/>
            <wp:effectExtent l="0" t="0" r="0" b="0"/>
            <wp:docPr id="1039614382" name="Picture 5">
              <a:extLst xmlns:a="http://schemas.openxmlformats.org/drawingml/2006/main">
                <a:ext uri="{FF2B5EF4-FFF2-40B4-BE49-F238E27FC236}">
                  <a16:creationId xmlns:a16="http://schemas.microsoft.com/office/drawing/2014/main" id="{9FE21471-E8D4-43AC-816E-099FCB1FD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6165" cy="1313179"/>
                    </a:xfrm>
                    <a:prstGeom prst="rect">
                      <a:avLst/>
                    </a:prstGeom>
                    <a:noFill/>
                  </pic:spPr>
                </pic:pic>
              </a:graphicData>
            </a:graphic>
          </wp:inline>
        </w:drawing>
      </w:r>
    </w:p>
    <w:p w14:paraId="7A88EE63" w14:textId="3435EC45" w:rsidR="00984ECA" w:rsidRPr="00984ECA" w:rsidRDefault="00984ECA" w:rsidP="000556E0">
      <w:pPr>
        <w:pStyle w:val="HNAHeader1"/>
      </w:pPr>
      <w:r w:rsidRPr="00504AB2">
        <w:t>The most pronounced increase is projected in the 65 and over age group, which is expected to rise by around 131,011 people, reflecting continued population ageing. The number of children and young people (0-19 years) is projected to decline gradually, while both the working-age (20-64 years) and older adult populations are expected to grow modestly.</w:t>
      </w:r>
    </w:p>
    <w:p w14:paraId="722E38C2" w14:textId="77777777" w:rsidR="00984ECA" w:rsidRPr="00504AB2" w:rsidRDefault="00984ECA" w:rsidP="000556E0">
      <w:pPr>
        <w:pStyle w:val="Heading3"/>
      </w:pPr>
      <w:r w:rsidRPr="00504AB2">
        <w:t>Place Variation</w:t>
      </w:r>
    </w:p>
    <w:p w14:paraId="724460C9" w14:textId="77777777" w:rsidR="00984ECA" w:rsidRPr="00504AB2" w:rsidRDefault="00984ECA" w:rsidP="000556E0">
      <w:pPr>
        <w:pStyle w:val="HNAHeader1"/>
      </w:pPr>
      <w:r w:rsidRPr="00504AB2">
        <w:t>Population change varies across the five place areas:</w:t>
      </w:r>
    </w:p>
    <w:p w14:paraId="63900651" w14:textId="692982E9" w:rsidR="00984ECA" w:rsidRPr="00984ECA" w:rsidRDefault="00984ECA" w:rsidP="00984ECA">
      <w:pPr>
        <w:pStyle w:val="HNAHeader1"/>
        <w:ind w:left="360"/>
      </w:pPr>
      <w:r w:rsidRPr="00984ECA">
        <w:rPr>
          <w:noProof/>
        </w:rPr>
        <w:lastRenderedPageBreak/>
        <w:drawing>
          <wp:inline distT="0" distB="0" distL="0" distR="0" wp14:anchorId="7890169B" wp14:editId="5FA6A92E">
            <wp:extent cx="5336516" cy="3860800"/>
            <wp:effectExtent l="0" t="0" r="0" b="6350"/>
            <wp:docPr id="15" name="Picture 14" descr="A graph of different colored lines&#10;&#10;AI-generated content may be incorrect.">
              <a:extLst xmlns:a="http://schemas.openxmlformats.org/drawingml/2006/main">
                <a:ext uri="{FF2B5EF4-FFF2-40B4-BE49-F238E27FC236}">
                  <a16:creationId xmlns:a16="http://schemas.microsoft.com/office/drawing/2014/main" id="{E4241EFC-AF38-414F-A639-2D0C6C7CF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graph of different colored lines&#10;&#10;AI-generated content may be incorrect.">
                      <a:extLst>
                        <a:ext uri="{FF2B5EF4-FFF2-40B4-BE49-F238E27FC236}">
                          <a16:creationId xmlns:a16="http://schemas.microsoft.com/office/drawing/2014/main" id="{4C547BCE-34EF-1B2A-3561-7147D509B892}"/>
                        </a:ext>
                      </a:extLst>
                    </pic:cNvPr>
                    <pic:cNvPicPr>
                      <a:picLocks noChangeAspect="1"/>
                    </pic:cNvPicPr>
                  </pic:nvPicPr>
                  <pic:blipFill>
                    <a:blip r:embed="rId25"/>
                    <a:stretch>
                      <a:fillRect/>
                    </a:stretch>
                  </pic:blipFill>
                  <pic:spPr>
                    <a:xfrm>
                      <a:off x="0" y="0"/>
                      <a:ext cx="5344075" cy="3866269"/>
                    </a:xfrm>
                    <a:prstGeom prst="rect">
                      <a:avLst/>
                    </a:prstGeom>
                  </pic:spPr>
                </pic:pic>
              </a:graphicData>
            </a:graphic>
          </wp:inline>
        </w:drawing>
      </w:r>
    </w:p>
    <w:p w14:paraId="4441F807" w14:textId="77777777" w:rsidR="00984ECA" w:rsidRPr="00984ECA" w:rsidRDefault="00984ECA" w:rsidP="00BD0DD8">
      <w:pPr>
        <w:pStyle w:val="HNAHeader1"/>
        <w:numPr>
          <w:ilvl w:val="0"/>
          <w:numId w:val="16"/>
        </w:numPr>
      </w:pPr>
      <w:r w:rsidRPr="00504AB2">
        <w:t>Central Lancashire and Morecambe Bay show the strongest overall growth, driven by sustained net migration.</w:t>
      </w:r>
    </w:p>
    <w:p w14:paraId="31D50BDF" w14:textId="77777777" w:rsidR="00984ECA" w:rsidRPr="00984ECA" w:rsidRDefault="00984ECA" w:rsidP="00BD0DD8">
      <w:pPr>
        <w:pStyle w:val="HNAHeader1"/>
        <w:numPr>
          <w:ilvl w:val="0"/>
          <w:numId w:val="16"/>
        </w:numPr>
      </w:pPr>
      <w:r w:rsidRPr="00504AB2">
        <w:t>Pennine Lancashire records slower growth, with natural change close to zero.</w:t>
      </w:r>
    </w:p>
    <w:p w14:paraId="06ADF944" w14:textId="3F7EBD43" w:rsidR="007502FC" w:rsidRPr="00504AB2" w:rsidRDefault="24CDD9EF" w:rsidP="00BD0DD8">
      <w:pPr>
        <w:pStyle w:val="HNAHeader1"/>
        <w:numPr>
          <w:ilvl w:val="0"/>
          <w:numId w:val="16"/>
        </w:numPr>
      </w:pPr>
      <w:r w:rsidRPr="00504AB2">
        <w:t>Fylde Coast and West Lancashire are projected to experience limited growth or relative stability, with natural decrease offset by migration gains.</w:t>
      </w:r>
    </w:p>
    <w:p w14:paraId="1A0EBC9D" w14:textId="02EA7725" w:rsidR="2E14577A" w:rsidRPr="00504AB2" w:rsidRDefault="6DB6C47E" w:rsidP="000556E0">
      <w:pPr>
        <w:pStyle w:val="Heading3"/>
      </w:pPr>
      <w:r w:rsidRPr="00504AB2">
        <w:t>Projected Disease Prevalence to 2045 Adults Aged 65+</w:t>
      </w:r>
    </w:p>
    <w:p w14:paraId="26749352" w14:textId="6FB320DF" w:rsidR="2E14577A" w:rsidRPr="00504AB2" w:rsidRDefault="2E14577A" w:rsidP="5EF2BDAB">
      <w:pPr>
        <w:pStyle w:val="HNAHeader1"/>
      </w:pPr>
    </w:p>
    <w:p w14:paraId="164DBE95" w14:textId="2CE74D94" w:rsidR="6DB6C47E" w:rsidRDefault="6DB6C47E" w:rsidP="7F78E839">
      <w:pPr>
        <w:pStyle w:val="HNAHeader1"/>
        <w:ind w:left="363"/>
        <w:jc w:val="center"/>
      </w:pPr>
      <w:r>
        <w:rPr>
          <w:noProof/>
        </w:rPr>
        <w:lastRenderedPageBreak/>
        <w:drawing>
          <wp:inline distT="0" distB="0" distL="0" distR="0" wp14:anchorId="131BB083" wp14:editId="7880A890">
            <wp:extent cx="5724525" cy="5705475"/>
            <wp:effectExtent l="0" t="0" r="0" b="0"/>
            <wp:docPr id="1242876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76322" name=""/>
                    <pic:cNvPicPr/>
                  </pic:nvPicPr>
                  <pic:blipFill>
                    <a:blip r:embed="rId26">
                      <a:extLst>
                        <a:ext uri="{28A0092B-C50C-407E-A947-70E740481C1C}">
                          <a14:useLocalDpi xmlns:a14="http://schemas.microsoft.com/office/drawing/2010/main" val="0"/>
                        </a:ext>
                      </a:extLst>
                    </a:blip>
                    <a:stretch>
                      <a:fillRect/>
                    </a:stretch>
                  </pic:blipFill>
                  <pic:spPr>
                    <a:xfrm>
                      <a:off x="0" y="0"/>
                      <a:ext cx="5724525" cy="5705475"/>
                    </a:xfrm>
                    <a:prstGeom prst="rect">
                      <a:avLst/>
                    </a:prstGeom>
                  </pic:spPr>
                </pic:pic>
              </a:graphicData>
            </a:graphic>
          </wp:inline>
        </w:drawing>
      </w:r>
    </w:p>
    <w:p w14:paraId="55FB5121" w14:textId="4A2892FB" w:rsidR="66A427FD" w:rsidRDefault="66A427FD" w:rsidP="000556E0">
      <w:pPr>
        <w:pStyle w:val="HNAHeader1"/>
      </w:pPr>
      <w:r>
        <w:t>Population ageing within NHS Lancashire and South Cumbria ICB is expected to drive a substantial rise in long-term conditions among people aged 65 and over. Projections suggest that between 2025 and 2045, the number of older adults living with cardiovascular disease, diabetes, dementia and obesity will increase markedly across both males and females. For men aged 65+, cases of cardiovascular disease are projected to rise from 66,806 in 2025 to over 85,755 by 2045, while dementia is expected to increase from 20,020 to 30,109. Among women, projected growth is similar, with dementia cases rising from 32,575 to 49,272 and obesity affecting more than 76,647 by 2045.</w:t>
      </w:r>
    </w:p>
    <w:p w14:paraId="732F4CF9" w14:textId="3CDE0BBA" w:rsidR="66A427FD" w:rsidRDefault="66A427FD" w:rsidP="000556E0">
      <w:pPr>
        <w:pStyle w:val="HNAHeader1"/>
      </w:pPr>
      <w:r>
        <w:t>Conditions such as mobility limitations, continence problems and falls also show steady growth, reflecting the combined impact of ageing and multi-morbidity. By 2045, over 126,335 older males and 187,429 females are expected to experience at least one of these major conditions.</w:t>
      </w:r>
    </w:p>
    <w:p w14:paraId="78959699" w14:textId="165A1979" w:rsidR="66A427FD" w:rsidRDefault="66A427FD" w:rsidP="000556E0">
      <w:pPr>
        <w:pStyle w:val="HNAHeader1"/>
      </w:pPr>
      <w:r>
        <w:lastRenderedPageBreak/>
        <w:t>These projections highlight the scale of anticipated demand for preventive, rehabilitative and long-term care services, particularly for dementia, cardiovascular health and frailty-related conditions.</w:t>
      </w:r>
    </w:p>
    <w:p w14:paraId="266BB9E6" w14:textId="03262437" w:rsidR="00D14E9A" w:rsidRPr="00504AB2" w:rsidRDefault="00D14E9A" w:rsidP="00C93069">
      <w:pPr>
        <w:pStyle w:val="Heading2"/>
        <w:rPr>
          <w:u w:val="single"/>
        </w:rPr>
      </w:pPr>
      <w:bookmarkStart w:id="22" w:name="_Toc214447006"/>
      <w:bookmarkStart w:id="23" w:name="_Toc214460951"/>
      <w:bookmarkStart w:id="24" w:name="_Toc220937609"/>
      <w:r w:rsidRPr="00504AB2">
        <w:t>Wider determinants of health</w:t>
      </w:r>
      <w:bookmarkEnd w:id="22"/>
      <w:bookmarkEnd w:id="23"/>
      <w:bookmarkEnd w:id="24"/>
    </w:p>
    <w:p w14:paraId="3E8B9D2C" w14:textId="7B66EC3D" w:rsidR="00F64EA6" w:rsidRDefault="009D04B0" w:rsidP="000556E0">
      <w:pPr>
        <w:pStyle w:val="HNAHeader1"/>
      </w:pPr>
      <w:r w:rsidRPr="009D04B0">
        <w:t>Wider determinants of health are a diverse range of social, economic and environmental factors which impact on people’s health such as quality of housing, education, and unemployment.</w:t>
      </w:r>
    </w:p>
    <w:p w14:paraId="2476982B" w14:textId="77777777" w:rsidR="00984ECA" w:rsidRPr="00504AB2" w:rsidRDefault="00984ECA" w:rsidP="000556E0">
      <w:pPr>
        <w:pStyle w:val="Heading3"/>
      </w:pPr>
      <w:r w:rsidRPr="00504AB2">
        <w:t xml:space="preserve">The built and natural environment </w:t>
      </w:r>
    </w:p>
    <w:p w14:paraId="74B869FB" w14:textId="5549701B" w:rsidR="00984ECA" w:rsidRPr="00984ECA" w:rsidRDefault="471A05B0" w:rsidP="000556E0">
      <w:pPr>
        <w:pStyle w:val="HNAHeader1"/>
      </w:pPr>
      <w:r w:rsidRPr="00504AB2">
        <w:t>Measures of air quality are generally better in Lancashire and South Cumbria than both the rest of the North West and the rest of England. In 2023 across England, 5.2% of mortality rates was attributable to particulate air pollution. Across Lancashire and South Cumbria, these rates were 4.5%.</w:t>
      </w:r>
      <w:r w:rsidR="00366607">
        <w:rPr>
          <w:rStyle w:val="FootnoteReference"/>
        </w:rPr>
        <w:footnoteReference w:id="1"/>
      </w:r>
    </w:p>
    <w:p w14:paraId="61C6C382" w14:textId="77777777" w:rsidR="00984ECA" w:rsidRPr="00504AB2" w:rsidRDefault="00984ECA" w:rsidP="000556E0">
      <w:pPr>
        <w:pStyle w:val="Heading3"/>
      </w:pPr>
      <w:r w:rsidRPr="00504AB2">
        <w:t xml:space="preserve">Housing </w:t>
      </w:r>
    </w:p>
    <w:p w14:paraId="21473FD9" w14:textId="012CD987" w:rsidR="00984ECA" w:rsidRPr="00984ECA" w:rsidRDefault="471A05B0" w:rsidP="000556E0">
      <w:pPr>
        <w:pStyle w:val="HNAHeader1"/>
      </w:pPr>
      <w:r w:rsidRPr="00504AB2">
        <w:t xml:space="preserve">Lancashire and South Cumbria </w:t>
      </w:r>
      <w:proofErr w:type="gramStart"/>
      <w:r w:rsidRPr="00504AB2">
        <w:t>has</w:t>
      </w:r>
      <w:proofErr w:type="gramEnd"/>
      <w:r w:rsidRPr="00504AB2">
        <w:t xml:space="preserve"> lower rates of overcrowded households overall when compared to England. Only Blackburn with Darwen (6.4%) and Pendle (5.3%) have higher overcrowding rates than England (4.8%), with all other districts being either lower than or equal to the England rates.</w:t>
      </w:r>
      <w:r w:rsidR="02E400C8">
        <w:t xml:space="preserve"> </w:t>
      </w:r>
      <w:r w:rsidR="00DC577C">
        <w:rPr>
          <w:rStyle w:val="FootnoteReference"/>
        </w:rPr>
        <w:footnoteReference w:id="2"/>
      </w:r>
    </w:p>
    <w:p w14:paraId="54EF672F" w14:textId="468D34E0" w:rsidR="00FA0793" w:rsidRDefault="003D547F" w:rsidP="000556E0">
      <w:pPr>
        <w:pStyle w:val="HNAHeader1"/>
      </w:pPr>
      <w:r>
        <w:t xml:space="preserve">Government modelling based on the </w:t>
      </w:r>
      <w:r w:rsidR="00DF1AC4">
        <w:t xml:space="preserve">English Housing Survey </w:t>
      </w:r>
      <w:r w:rsidR="00B72B82">
        <w:t>estimated the percentage of properties in local authorities across the North West for houses not of a decent standard, Category 1 hazards, and damp. The resulting maps can be seen below, but the raw data is not available. However, a clear pattern can be seen of worse housing conditions in all three categories in the private renting sector,</w:t>
      </w:r>
      <w:r w:rsidR="002239E7">
        <w:t xml:space="preserve"> particularly in Blackpool.</w:t>
      </w:r>
    </w:p>
    <w:p w14:paraId="0CF153C6" w14:textId="6C0D0A9A" w:rsidR="00275955" w:rsidRDefault="0049677F" w:rsidP="000556E0">
      <w:pPr>
        <w:pStyle w:val="HNAHeader1"/>
      </w:pPr>
      <w:r>
        <w:rPr>
          <w:noProof/>
        </w:rPr>
        <w:lastRenderedPageBreak/>
        <w:drawing>
          <wp:inline distT="0" distB="0" distL="0" distR="0" wp14:anchorId="4E43F14A" wp14:editId="49B1F842">
            <wp:extent cx="4789410" cy="4789410"/>
            <wp:effectExtent l="0" t="0" r="0" b="0"/>
            <wp:docPr id="152933618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36180" name="Graphic 1529336180"/>
                    <pic:cNvPicPr/>
                  </pic:nvPicPr>
                  <pic:blipFill>
                    <a:blip r:embed="rId27">
                      <a:extLst>
                        <a:ext uri="{96DAC541-7B7A-43D3-8B79-37D633B846F1}">
                          <asvg:svgBlip xmlns:asvg="http://schemas.microsoft.com/office/drawing/2016/SVG/main" r:embed="rId28"/>
                        </a:ext>
                      </a:extLst>
                    </a:blip>
                    <a:stretch>
                      <a:fillRect/>
                    </a:stretch>
                  </pic:blipFill>
                  <pic:spPr>
                    <a:xfrm>
                      <a:off x="0" y="0"/>
                      <a:ext cx="4792655" cy="4792655"/>
                    </a:xfrm>
                    <a:prstGeom prst="rect">
                      <a:avLst/>
                    </a:prstGeom>
                  </pic:spPr>
                </pic:pic>
              </a:graphicData>
            </a:graphic>
          </wp:inline>
        </w:drawing>
      </w:r>
      <w:r w:rsidR="0028121F">
        <w:rPr>
          <w:rStyle w:val="FootnoteReference"/>
        </w:rPr>
        <w:footnoteReference w:id="3"/>
      </w:r>
    </w:p>
    <w:p w14:paraId="708AE65B" w14:textId="1791F1A1" w:rsidR="00984ECA" w:rsidRPr="00984ECA" w:rsidRDefault="471A05B0" w:rsidP="000556E0">
      <w:pPr>
        <w:pStyle w:val="HNAHeader1"/>
      </w:pPr>
      <w:r w:rsidRPr="00504AB2">
        <w:t>As well as being a major contributor to excess winter deaths, cold housing adds to the burden of circulatory and respiratory disease, colds and flu, exacerbates chronic conditions such as rheumatism and arthritis, and has a negative effect upon mental health. In 2023, there were an estimated 98,384 households across Lancashire and South Cumbria in fuel poverty, which was 13% of overall households. The England average is 11.4%.</w:t>
      </w:r>
      <w:r w:rsidR="00934BED">
        <w:rPr>
          <w:rStyle w:val="FootnoteReference"/>
        </w:rPr>
        <w:footnoteReference w:id="4"/>
      </w:r>
    </w:p>
    <w:p w14:paraId="1BB41577" w14:textId="77777777" w:rsidR="00984ECA" w:rsidRPr="00504AB2" w:rsidRDefault="00984ECA" w:rsidP="000556E0">
      <w:pPr>
        <w:pStyle w:val="Heading3"/>
      </w:pPr>
      <w:r w:rsidRPr="00504AB2">
        <w:t xml:space="preserve">Education </w:t>
      </w:r>
    </w:p>
    <w:p w14:paraId="66A838FD" w14:textId="65B6E5A0" w:rsidR="00984ECA" w:rsidRPr="00984ECA" w:rsidRDefault="00984ECA" w:rsidP="000556E0">
      <w:pPr>
        <w:pStyle w:val="HNAHeader1"/>
      </w:pPr>
      <w:r w:rsidRPr="00504AB2">
        <w:t xml:space="preserve">The percentage of children achieving a good level of development at the end of reception is a useful measure of childhood development - a significant predictor of health in later life. The level of development for all children was lower in all local authorities across Lancashire and South Cumbria (64.6%) than it was for England (67.7%), with minimal variance between areas. There was more variance in school readiness for children who receive free school meals. The England average for this is 51.5%, and the Lancashire and South Cumbria average is below this at 48.3%. This </w:t>
      </w:r>
      <w:r w:rsidRPr="00504AB2">
        <w:lastRenderedPageBreak/>
        <w:t>varies in local authorities from the lowest being 47.2% in Lancashire to the highest of 55.2% in Blackburn with Darwen, meaning there is a significant gap.</w:t>
      </w:r>
    </w:p>
    <w:p w14:paraId="5E9F3C0B" w14:textId="68F7A033" w:rsidR="00984ECA" w:rsidRPr="00984ECA" w:rsidRDefault="471A05B0" w:rsidP="000556E0">
      <w:pPr>
        <w:pStyle w:val="HNAHeader1"/>
      </w:pPr>
      <w:r w:rsidRPr="00504AB2">
        <w:t>Educational achievement throughout childhood and teenage years is also a known predictor of health outcomes in later life. This is measured using educational attainment. This is one area</w:t>
      </w:r>
      <w:r w:rsidR="56886469" w:rsidRPr="00504AB2">
        <w:t xml:space="preserve"> where</w:t>
      </w:r>
      <w:r w:rsidRPr="00504AB2">
        <w:t xml:space="preserve"> there are more detailed indicators, breaking down to district level. Across Lancashire and South Cumbria there are varied attainment scores, with several districts having lower attainment scores when compared to England and several others having much higher attainment scores. The lowest attainment scores were in Blackpool, and the highest were in Ribble Valley.</w:t>
      </w:r>
      <w:r w:rsidR="5CB63A6F">
        <w:t xml:space="preserve"> </w:t>
      </w:r>
      <w:r w:rsidR="00A03B30">
        <w:rPr>
          <w:rStyle w:val="FootnoteReference"/>
        </w:rPr>
        <w:footnoteReference w:id="5"/>
      </w:r>
    </w:p>
    <w:p w14:paraId="1DCF4EAF" w14:textId="627FB716" w:rsidR="00984ECA" w:rsidRPr="00504AB2" w:rsidRDefault="00984ECA" w:rsidP="000556E0">
      <w:pPr>
        <w:pStyle w:val="Heading3"/>
      </w:pPr>
      <w:r w:rsidRPr="008D1870">
        <w:t xml:space="preserve">Work and the labour </w:t>
      </w:r>
      <w:r w:rsidR="008D1870" w:rsidRPr="008D1870">
        <w:t>market</w:t>
      </w:r>
    </w:p>
    <w:p w14:paraId="14A8BA58" w14:textId="77777777" w:rsidR="00AF11D9" w:rsidRDefault="006C09BD" w:rsidP="00AF11D9">
      <w:pPr>
        <w:pStyle w:val="HNAHeader1"/>
      </w:pPr>
      <w:r>
        <w:t>Economic inactivity</w:t>
      </w:r>
      <w:r w:rsidR="007648FA">
        <w:t xml:space="preserve"> rates (defined as not in work or looking for work, and excluding students)</w:t>
      </w:r>
      <w:r>
        <w:t xml:space="preserve"> w</w:t>
      </w:r>
      <w:r w:rsidR="007648FA">
        <w:t>ere</w:t>
      </w:r>
      <w:r>
        <w:t xml:space="preserve"> higher in Blackpool</w:t>
      </w:r>
      <w:r w:rsidR="007648FA">
        <w:t>, Blackburn with Darwen and Pendle. They were lower in Ribble Valley and South Ribble.</w:t>
      </w:r>
      <w:r w:rsidR="00E673D0">
        <w:t xml:space="preserve"> There was no data for Westmoreland and Furness. </w:t>
      </w:r>
    </w:p>
    <w:p w14:paraId="71163D27" w14:textId="1693AC97" w:rsidR="00AF11D9" w:rsidRPr="00AF11D9" w:rsidRDefault="59007689" w:rsidP="00AF11D9">
      <w:pPr>
        <w:pStyle w:val="HNAHeader1"/>
      </w:pPr>
      <w:r w:rsidRPr="00AF11D9">
        <w:t xml:space="preserve">Since 2022, there has been a 10% annual increase in the number of individuals assessed as unfit for work through DWP Health Assessments, with </w:t>
      </w:r>
      <w:proofErr w:type="gramStart"/>
      <w:r w:rsidRPr="00AF11D9">
        <w:t>the majority of</w:t>
      </w:r>
      <w:proofErr w:type="gramEnd"/>
      <w:r w:rsidRPr="00AF11D9">
        <w:t xml:space="preserve"> individuals with No Work Requirements citing mental health, musculoskeletal (MSK), and nervous system conditions (representing c.70% of all reported heath issues). Over 80% of Employment and Support Allowance (ESA) claimants are currently living with three or more health conditions, significantly reducing their ability to re-enter the labour market without wraparound health and employment support. Nine of wider Lancashire’s fourteen local/unitary authorities have seen growth rates in health claimants higher than the national average (e.g. 41.5% in Pendle versus a national average of 40%).</w:t>
      </w:r>
      <w:r w:rsidR="599D576C">
        <w:t xml:space="preserve"> </w:t>
      </w:r>
      <w:r w:rsidR="008D1870">
        <w:rPr>
          <w:rStyle w:val="FootnoteReference"/>
        </w:rPr>
        <w:footnoteReference w:id="6"/>
      </w:r>
    </w:p>
    <w:p w14:paraId="1C03E6EA" w14:textId="77777777" w:rsidR="00AF11D9" w:rsidRDefault="00AF11D9" w:rsidP="000556E0">
      <w:pPr>
        <w:pStyle w:val="HNAHeader1"/>
      </w:pPr>
    </w:p>
    <w:p w14:paraId="6C2879C3" w14:textId="30652C65" w:rsidR="00B66EFE" w:rsidRPr="00984ECA" w:rsidRDefault="006C09BD" w:rsidP="000556E0">
      <w:pPr>
        <w:pStyle w:val="HNAHeader1"/>
      </w:pPr>
      <w:r>
        <w:rPr>
          <w:noProof/>
        </w:rPr>
        <w:lastRenderedPageBreak/>
        <w:drawing>
          <wp:inline distT="0" distB="0" distL="0" distR="0" wp14:anchorId="3464F71C" wp14:editId="31D81284">
            <wp:extent cx="3026266" cy="4343400"/>
            <wp:effectExtent l="0" t="0" r="3175" b="0"/>
            <wp:docPr id="1" name="Picture 1"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different colored areas&#10;&#10;Description automatically generated"/>
                    <pic:cNvPicPr/>
                  </pic:nvPicPr>
                  <pic:blipFill rotWithShape="1">
                    <a:blip r:embed="rId29" cstate="print">
                      <a:extLst>
                        <a:ext uri="{28A0092B-C50C-407E-A947-70E740481C1C}">
                          <a14:useLocalDpi xmlns:a14="http://schemas.microsoft.com/office/drawing/2010/main" val="0"/>
                        </a:ext>
                      </a:extLst>
                    </a:blip>
                    <a:srcRect l="8463" t="4963" r="10413" b="12696"/>
                    <a:stretch/>
                  </pic:blipFill>
                  <pic:spPr bwMode="auto">
                    <a:xfrm>
                      <a:off x="0" y="0"/>
                      <a:ext cx="3029977" cy="4348726"/>
                    </a:xfrm>
                    <a:prstGeom prst="rect">
                      <a:avLst/>
                    </a:prstGeom>
                    <a:ln>
                      <a:noFill/>
                    </a:ln>
                    <a:extLst>
                      <a:ext uri="{53640926-AAD7-44D8-BBD7-CCE9431645EC}">
                        <a14:shadowObscured xmlns:a14="http://schemas.microsoft.com/office/drawing/2010/main"/>
                      </a:ext>
                    </a:extLst>
                  </pic:spPr>
                </pic:pic>
              </a:graphicData>
            </a:graphic>
          </wp:inline>
        </w:drawing>
      </w:r>
    </w:p>
    <w:p w14:paraId="1C46F3C0" w14:textId="5AEFB171" w:rsidR="003675B2" w:rsidRDefault="00504970" w:rsidP="00065A26">
      <w:pPr>
        <w:pStyle w:val="Heading3"/>
      </w:pPr>
      <w:r w:rsidRPr="003675B2">
        <w:t>Digital exclusion</w:t>
      </w:r>
    </w:p>
    <w:p w14:paraId="0F42F4C0" w14:textId="6E9B4A04" w:rsidR="008F1931" w:rsidRDefault="16D4BA1D" w:rsidP="00504970">
      <w:r>
        <w:t>An NHS</w:t>
      </w:r>
      <w:r w:rsidR="53656CD0">
        <w:t xml:space="preserve"> England</w:t>
      </w:r>
      <w:r>
        <w:t xml:space="preserve"> funded heatmap of digital exclusion levels for North West ICBs can be seen below. </w:t>
      </w:r>
      <w:r w:rsidR="53656CD0">
        <w:t xml:space="preserve">The heatmap is based on an Index of Digital Exclusion, which was derived from two main categories – risk and capacity. This resulted in every LSOA being ranked from 1 (most deprived) to 10 (least deprived). At </w:t>
      </w:r>
      <w:r w:rsidR="7AFF60E2">
        <w:t>district</w:t>
      </w:r>
      <w:r w:rsidR="53656CD0">
        <w:t xml:space="preserve"> level, Blackpool</w:t>
      </w:r>
      <w:r w:rsidR="7AFF60E2">
        <w:t xml:space="preserve"> (2.6)</w:t>
      </w:r>
      <w:r w:rsidR="53656CD0">
        <w:t xml:space="preserve"> was the most deprived for digital exclusion, </w:t>
      </w:r>
      <w:r w:rsidR="7AFF60E2">
        <w:t>with Burnley (3.5) and Hyndburn (3.9) being the next most deprived. South Lakeland (6.1), Ribble Valley (6.6) and South Ribble (6.6) were the least deprived for digital exclusion.</w:t>
      </w:r>
      <w:r w:rsidR="6BF237F6">
        <w:t xml:space="preserve"> </w:t>
      </w:r>
      <w:r w:rsidR="003C494B">
        <w:rPr>
          <w:rStyle w:val="FootnoteReference"/>
        </w:rPr>
        <w:footnoteReference w:id="7"/>
      </w:r>
      <w:r w:rsidR="3C6C7210">
        <w:t xml:space="preserve"> </w:t>
      </w:r>
      <w:r w:rsidR="2E3A373C">
        <w:t>There is strong emphasis on moving from analogue</w:t>
      </w:r>
      <w:r w:rsidR="00575430">
        <w:t xml:space="preserve"> to digital</w:t>
      </w:r>
      <w:r w:rsidR="2E3A373C">
        <w:t xml:space="preserve"> in the NHS 10 Year Pla</w:t>
      </w:r>
      <w:r w:rsidR="3C6C7210">
        <w:t>n, which could have implications for this population group and how they access and experience healthcare services.</w:t>
      </w:r>
    </w:p>
    <w:p w14:paraId="245C2AE0" w14:textId="7F2BE883" w:rsidR="00504970" w:rsidRDefault="00D50517" w:rsidP="00504970">
      <w:r>
        <w:rPr>
          <w:noProof/>
        </w:rPr>
        <w:lastRenderedPageBreak/>
        <mc:AlternateContent>
          <mc:Choice Requires="wps">
            <w:drawing>
              <wp:anchor distT="45720" distB="45720" distL="114300" distR="114300" simplePos="0" relativeHeight="251683328" behindDoc="0" locked="0" layoutInCell="1" allowOverlap="1" wp14:anchorId="5283E226" wp14:editId="27816DD1">
                <wp:simplePos x="0" y="0"/>
                <wp:positionH relativeFrom="column">
                  <wp:posOffset>3979701</wp:posOffset>
                </wp:positionH>
                <wp:positionV relativeFrom="paragraph">
                  <wp:posOffset>4685869</wp:posOffset>
                </wp:positionV>
                <wp:extent cx="2360930" cy="1404620"/>
                <wp:effectExtent l="0" t="0" r="0" b="6350"/>
                <wp:wrapNone/>
                <wp:docPr id="2083959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A09C9FE" w14:textId="688242F7" w:rsidR="00D50517" w:rsidRPr="00384510" w:rsidRDefault="00D50517">
                            <w:pPr>
                              <w:rPr>
                                <w:sz w:val="16"/>
                                <w:szCs w:val="16"/>
                              </w:rPr>
                            </w:pPr>
                            <w:r w:rsidRPr="00384510">
                              <w:rPr>
                                <w:sz w:val="16"/>
                                <w:szCs w:val="16"/>
                              </w:rPr>
                              <w:t xml:space="preserve">Source: </w:t>
                            </w:r>
                            <w:r w:rsidR="00384510" w:rsidRPr="00384510">
                              <w:rPr>
                                <w:sz w:val="16"/>
                                <w:szCs w:val="16"/>
                              </w:rPr>
                              <w:t>North West Digital Exclusion Dashboard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83E226" id="_x0000_t202" coordsize="21600,21600" o:spt="202" path="m,l,21600r21600,l21600,xe">
                <v:stroke joinstyle="miter"/>
                <v:path gradientshapeok="t" o:connecttype="rect"/>
              </v:shapetype>
              <v:shape id="Text Box 2" o:spid="_x0000_s1026" type="#_x0000_t202" style="position:absolute;margin-left:313.35pt;margin-top:368.95pt;width:185.9pt;height:110.6pt;z-index:251683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" stroked="f">
                <v:textbox style="mso-fit-shape-to-text:t">
                  <w:txbxContent>
                    <w:p w14:paraId="6A09C9FE" w14:textId="688242F7" w:rsidR="00D50517" w:rsidRPr="00384510" w:rsidRDefault="00D50517">
                      <w:pPr>
                        <w:rPr>
                          <w:sz w:val="16"/>
                          <w:szCs w:val="16"/>
                        </w:rPr>
                      </w:pPr>
                      <w:r w:rsidRPr="00384510">
                        <w:rPr>
                          <w:sz w:val="16"/>
                          <w:szCs w:val="16"/>
                        </w:rPr>
                        <w:t xml:space="preserve">Source: </w:t>
                      </w:r>
                      <w:r w:rsidR="00384510" w:rsidRPr="00384510">
                        <w:rPr>
                          <w:sz w:val="16"/>
                          <w:szCs w:val="16"/>
                        </w:rPr>
                        <w:t>North West Digital Exclusion Dashboard</w:t>
                      </w:r>
                    </w:p>
                  </w:txbxContent>
                </v:textbox>
              </v:shape>
            </w:pict>
          </mc:Fallback>
        </mc:AlternateContent>
      </w:r>
      <w:r w:rsidR="003675B2" w:rsidRPr="003675B2">
        <w:rPr>
          <w:noProof/>
        </w:rPr>
        <w:drawing>
          <wp:inline distT="0" distB="0" distL="0" distR="0" wp14:anchorId="27DB3000" wp14:editId="082B2F76">
            <wp:extent cx="3951027" cy="5053965"/>
            <wp:effectExtent l="0" t="0" r="0" b="0"/>
            <wp:docPr id="1305154530" name="Picture 1" descr="A map of united kingdom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54530" name="Picture 1" descr="A map of united kingdom with different colored areas&#10;&#10;AI-generated content may be incorrect."/>
                    <pic:cNvPicPr/>
                  </pic:nvPicPr>
                  <pic:blipFill rotWithShape="1">
                    <a:blip r:embed="rId30"/>
                    <a:srcRect l="2884" r="8597"/>
                    <a:stretch>
                      <a:fillRect/>
                    </a:stretch>
                  </pic:blipFill>
                  <pic:spPr bwMode="auto">
                    <a:xfrm>
                      <a:off x="0" y="0"/>
                      <a:ext cx="3951727" cy="5054860"/>
                    </a:xfrm>
                    <a:prstGeom prst="rect">
                      <a:avLst/>
                    </a:prstGeom>
                    <a:ln>
                      <a:noFill/>
                    </a:ln>
                    <a:extLst>
                      <a:ext uri="{53640926-AAD7-44D8-BBD7-CCE9431645EC}">
                        <a14:shadowObscured xmlns:a14="http://schemas.microsoft.com/office/drawing/2010/main"/>
                      </a:ext>
                    </a:extLst>
                  </pic:spPr>
                </pic:pic>
              </a:graphicData>
            </a:graphic>
          </wp:inline>
        </w:drawing>
      </w:r>
    </w:p>
    <w:p w14:paraId="1C47BA09" w14:textId="4DB9A8A0" w:rsidR="00D50517" w:rsidRPr="00504970" w:rsidRDefault="00D50517" w:rsidP="00504970">
      <w:r>
        <w:t>Digital exclusion can mean that i</w:t>
      </w:r>
      <w:r w:rsidRPr="0052118C">
        <w:t>ndividuals without reliable internet, digital skills, or devices may struggle to book appointments, access remote consultations, or use health apps</w:t>
      </w:r>
      <w:r>
        <w:t xml:space="preserve">. </w:t>
      </w:r>
      <w:r w:rsidRPr="0052118C">
        <w:t>This can lead to poorer health outcomes and reduced engagement with preventative care</w:t>
      </w:r>
      <w:r>
        <w:t xml:space="preserve"> among the digitally excluded, and people who are in vulnerable groups or live in high deprivation areas are more likely to be digitally excluded.</w:t>
      </w:r>
    </w:p>
    <w:p w14:paraId="652ECE7C" w14:textId="4EA7E913" w:rsidR="00984ECA" w:rsidRPr="00504AB2" w:rsidRDefault="00984ECA" w:rsidP="000556E0">
      <w:pPr>
        <w:pStyle w:val="Heading3"/>
      </w:pPr>
      <w:r w:rsidRPr="00504AB2">
        <w:t xml:space="preserve">Crime </w:t>
      </w:r>
    </w:p>
    <w:p w14:paraId="4FB44A6E" w14:textId="77777777" w:rsidR="00984ECA" w:rsidRPr="00984ECA" w:rsidRDefault="00984ECA" w:rsidP="000556E0">
      <w:pPr>
        <w:pStyle w:val="HNAHeader1"/>
      </w:pPr>
      <w:r w:rsidRPr="00504AB2">
        <w:t xml:space="preserve">Across Lancashire and South Cumbria there are varied rates in relation to crime, with generally higher rates for violent crimes and offences when compared to England.  </w:t>
      </w:r>
    </w:p>
    <w:p w14:paraId="1BEAA629" w14:textId="77777777" w:rsidR="00FD4EEB" w:rsidRPr="00FD4EEB" w:rsidRDefault="00984ECA" w:rsidP="00FD4EEB">
      <w:r w:rsidRPr="00FD4EEB">
        <w:t xml:space="preserve">Blackburn with Darwen, Blackpool, Burnley, Pendle, Preston, West Lancashire, and Hyndburn all have higher rates of hospital admissions for violent crime, with the latter having the highest rate at 88.4 - double the England rate. There are lower rates for hospital admissions for violent crime in Chorley, Fylde, South Lakeland, South Ribble, Wyre, and Ribble Valley. </w:t>
      </w:r>
    </w:p>
    <w:p w14:paraId="33AC3F50" w14:textId="6DDEEB02" w:rsidR="00FD4EEB" w:rsidRDefault="00FD4EEB" w:rsidP="00FD4EEB">
      <w:pPr>
        <w:pStyle w:val="Heading3"/>
      </w:pPr>
      <w:r>
        <w:lastRenderedPageBreak/>
        <w:t>Health effects of c</w:t>
      </w:r>
      <w:r w:rsidRPr="00FD4EEB">
        <w:t>limate change</w:t>
      </w:r>
    </w:p>
    <w:p w14:paraId="479E2B81" w14:textId="764C00BE" w:rsidR="00984ECA" w:rsidRDefault="44FC485D" w:rsidP="007A140B">
      <w:r>
        <w:t xml:space="preserve">The Health Effects of Climate Change (HECC) report produced by UKHSA in 2023 concluded that climate change is already </w:t>
      </w:r>
      <w:r w:rsidRPr="008C7839">
        <w:t xml:space="preserve">affecting public health and </w:t>
      </w:r>
      <w:r>
        <w:t>is projected to worsen. Temperature related mortality will increase, climate sensitive diseases may become more common within the UK, and natural disasters like flooding will happen more regularly. All of these are likely to most impact vulnerable groups like older adults and low-income communities.</w:t>
      </w:r>
      <w:r w:rsidR="6BF237F6">
        <w:t xml:space="preserve"> </w:t>
      </w:r>
      <w:r w:rsidR="003C494B">
        <w:rPr>
          <w:rStyle w:val="FootnoteReference"/>
        </w:rPr>
        <w:footnoteReference w:id="8"/>
      </w:r>
    </w:p>
    <w:p w14:paraId="1F862F49" w14:textId="77777777" w:rsidR="00262C3E" w:rsidRPr="00984ECA" w:rsidRDefault="00262C3E" w:rsidP="007A140B"/>
    <w:p w14:paraId="46614CC2" w14:textId="2C9D6E2F" w:rsidR="00D14E9A" w:rsidRDefault="00D14E9A" w:rsidP="00C93069">
      <w:pPr>
        <w:pStyle w:val="Heading2"/>
      </w:pPr>
      <w:bookmarkStart w:id="25" w:name="_Toc214447007"/>
      <w:bookmarkStart w:id="26" w:name="_Toc214460952"/>
      <w:bookmarkStart w:id="27" w:name="_Toc220937610"/>
      <w:r w:rsidRPr="00504AB2">
        <w:t>Health inclusion groups</w:t>
      </w:r>
      <w:bookmarkEnd w:id="25"/>
      <w:bookmarkEnd w:id="26"/>
      <w:bookmarkEnd w:id="27"/>
    </w:p>
    <w:p w14:paraId="67B11FD2" w14:textId="77777777" w:rsidR="00984ECA" w:rsidRPr="00504AB2" w:rsidRDefault="00984ECA" w:rsidP="000556E0">
      <w:pPr>
        <w:pStyle w:val="Heading3"/>
      </w:pPr>
      <w:r w:rsidRPr="00504AB2">
        <w:t>Carers </w:t>
      </w:r>
    </w:p>
    <w:p w14:paraId="111EAA1C" w14:textId="451C35FF" w:rsidR="00984ECA" w:rsidRPr="00984ECA" w:rsidRDefault="471A05B0" w:rsidP="000556E0">
      <w:pPr>
        <w:pStyle w:val="HNAHeader1"/>
      </w:pPr>
      <w:r w:rsidRPr="00504AB2">
        <w:t>Across Lancashire and South Cumbria, there are generally higher rates of carers, with a mean value rate of 20.2% of people with a caring responsibility compared to England at 18.2%. In terms of unpaid care, there are generally similar rates of people providing unpaid care when compared to England with slight variation in the rate of carers across each district.</w:t>
      </w:r>
      <w:r w:rsidR="00BB4C96">
        <w:rPr>
          <w:rStyle w:val="FootnoteReference"/>
        </w:rPr>
        <w:footnoteReference w:id="9"/>
      </w:r>
    </w:p>
    <w:p w14:paraId="6070C072" w14:textId="3FCD3991" w:rsidR="00984ECA" w:rsidRPr="00984ECA" w:rsidRDefault="471A05B0" w:rsidP="000556E0">
      <w:pPr>
        <w:pStyle w:val="HNAHeader1"/>
      </w:pPr>
      <w:r w:rsidRPr="00504AB2">
        <w:t>A survey of carers in Lancashire demonstrated the impact on health and wellbeing for carers. More than three quarters of Carers (78.6%) say they feel tired, stressed, depressed or irritable. Only a small minority of Carers (7.9%) say they have not suffered any negative impact on their physical or mental health and well-being.</w:t>
      </w:r>
      <w:r w:rsidR="007B08B6">
        <w:rPr>
          <w:rStyle w:val="FootnoteReference"/>
        </w:rPr>
        <w:footnoteReference w:id="10"/>
      </w:r>
    </w:p>
    <w:p w14:paraId="75794CDA" w14:textId="0D0E72FB" w:rsidR="00F4476F" w:rsidRDefault="00984ECA" w:rsidP="00F4476F">
      <w:pPr>
        <w:pStyle w:val="HNAHeader1"/>
      </w:pPr>
      <w:r w:rsidRPr="00504AB2">
        <w:t>Carers may face challenges to health related to balancing multiple responsibilities, age restrictions, travel limitations, and accessibility needs.  They may require flexibility in healthcare appointments for themselves and the person they care for.  </w:t>
      </w:r>
    </w:p>
    <w:p w14:paraId="6D8F4E66" w14:textId="51F27FD5" w:rsidR="00F4476F" w:rsidRPr="00F4476F" w:rsidRDefault="2E8DDA0F" w:rsidP="00F4476F">
      <w:pPr>
        <w:pStyle w:val="HNAHeader1"/>
      </w:pPr>
      <w:r>
        <w:t xml:space="preserve">Young carers (under 18) </w:t>
      </w:r>
      <w:r w:rsidR="69E33701">
        <w:t xml:space="preserve">are a small but important group to consider, as they face their own health challenges both mental and physical. </w:t>
      </w:r>
      <w:r w:rsidR="7797AF50">
        <w:t xml:space="preserve">For children known to be carers by their school, </w:t>
      </w:r>
      <w:r w:rsidR="6A56EFEC">
        <w:t>Blackpool (164 young carers or 0.82%) and Westmorland and Furness (</w:t>
      </w:r>
      <w:r w:rsidR="268690D6">
        <w:t xml:space="preserve">265 or </w:t>
      </w:r>
      <w:r w:rsidR="6A56EFEC">
        <w:t>0.86%) had the highest rates</w:t>
      </w:r>
      <w:r w:rsidR="268690D6">
        <w:t xml:space="preserve"> and were above the England average (0.6%). Lancashire (0.13%) and Blackburn with Darwen (</w:t>
      </w:r>
      <w:r w:rsidR="6D9AF952">
        <w:t xml:space="preserve">0.34%) </w:t>
      </w:r>
      <w:r w:rsidR="268690D6">
        <w:t>were lower than the average national rate.</w:t>
      </w:r>
      <w:r w:rsidR="6D9AF952">
        <w:t xml:space="preserve"> </w:t>
      </w:r>
      <w:r w:rsidR="008E6EF6">
        <w:rPr>
          <w:rStyle w:val="FootnoteReference"/>
        </w:rPr>
        <w:footnoteReference w:id="11"/>
      </w:r>
      <w:r w:rsidR="658A42EC">
        <w:t xml:space="preserve"> </w:t>
      </w:r>
      <w:r w:rsidR="6D9AF952">
        <w:t>These figures may not capture the true rates, as schools may be unaware of students who have caring responsibilities.</w:t>
      </w:r>
    </w:p>
    <w:p w14:paraId="21F2A605" w14:textId="0BAFE1E2" w:rsidR="00984ECA" w:rsidRPr="00504AB2" w:rsidRDefault="00984ECA" w:rsidP="000556E0">
      <w:pPr>
        <w:pStyle w:val="Heading3"/>
      </w:pPr>
      <w:r w:rsidRPr="00504AB2">
        <w:t>Asylum seekers and refugees </w:t>
      </w:r>
    </w:p>
    <w:p w14:paraId="74D7E4F5" w14:textId="18F37BC0" w:rsidR="00984ECA" w:rsidRDefault="471A05B0" w:rsidP="000556E0">
      <w:pPr>
        <w:pStyle w:val="HNAHeader1"/>
      </w:pPr>
      <w:r w:rsidRPr="00504AB2">
        <w:t>In March 2025, the percentage of asylum seekers in receipt of Government support was 0.47%, close to the percentage for England (0.42%)</w:t>
      </w:r>
      <w:r w:rsidR="25EC14BB">
        <w:t xml:space="preserve">, with 9,189 asylum seekers </w:t>
      </w:r>
      <w:r w:rsidR="1F5F9E22">
        <w:t>living in Lancashire and South Cumbria</w:t>
      </w:r>
      <w:r w:rsidRPr="00504AB2">
        <w:t xml:space="preserve">. There was considerable variation between districts. </w:t>
      </w:r>
      <w:r w:rsidRPr="00504AB2">
        <w:lastRenderedPageBreak/>
        <w:t xml:space="preserve">The </w:t>
      </w:r>
      <w:r w:rsidR="6AE4B25B">
        <w:t xml:space="preserve">district with the highest percentage was </w:t>
      </w:r>
      <w:r w:rsidRPr="00504AB2">
        <w:t>Pendle (</w:t>
      </w:r>
      <w:r w:rsidR="6AE4B25B">
        <w:t xml:space="preserve">649, </w:t>
      </w:r>
      <w:r w:rsidRPr="00504AB2">
        <w:t>0.67%)</w:t>
      </w:r>
      <w:r w:rsidR="6AE4B25B">
        <w:t>,</w:t>
      </w:r>
      <w:r w:rsidRPr="00504AB2">
        <w:t xml:space="preserve"> and the lowest was Ribble Valley (</w:t>
      </w:r>
      <w:r w:rsidR="460E2B63">
        <w:t xml:space="preserve">190, </w:t>
      </w:r>
      <w:r w:rsidRPr="00504AB2">
        <w:t>0.28%). </w:t>
      </w:r>
      <w:r w:rsidR="00416DEE">
        <w:rPr>
          <w:rStyle w:val="FootnoteReference"/>
        </w:rPr>
        <w:footnoteReference w:id="12"/>
      </w:r>
    </w:p>
    <w:p w14:paraId="19776E5D" w14:textId="77777777" w:rsidR="00984ECA" w:rsidRPr="00984ECA" w:rsidRDefault="00984ECA" w:rsidP="000556E0">
      <w:pPr>
        <w:pStyle w:val="HNAHeader1"/>
      </w:pPr>
      <w:r w:rsidRPr="00504AB2">
        <w:t>Asylum seekers and refugees may experience complex health-related needs that relate to their experiences. Additionally, there are more barriers to seeking healthcare for this group, including language barriers, lack of knowledge of the healthcare system and their entitlements, and difficulties using public transport to attend appointments.  </w:t>
      </w:r>
    </w:p>
    <w:p w14:paraId="6609EEC1" w14:textId="783E3205" w:rsidR="00504970" w:rsidRDefault="00504970" w:rsidP="000556E0">
      <w:pPr>
        <w:pStyle w:val="Heading3"/>
      </w:pPr>
      <w:r w:rsidRPr="00C04851">
        <w:t>Children in care and care leavers</w:t>
      </w:r>
    </w:p>
    <w:p w14:paraId="64B5F6C2" w14:textId="5B4C23A0" w:rsidR="008538C9" w:rsidRDefault="0E6AFAB4" w:rsidP="00504970">
      <w:r>
        <w:t xml:space="preserve">In 2023-24, there were 2.830 children in care across Lancashire and South Cumbria. </w:t>
      </w:r>
      <w:r w:rsidR="4F155645">
        <w:t>This was a rate of 79 per 10,000 children which was higher than the England rate of 70 per 10,000.</w:t>
      </w:r>
      <w:r w:rsidR="286667FB">
        <w:t xml:space="preserve"> </w:t>
      </w:r>
      <w:r w:rsidR="490558F3">
        <w:t xml:space="preserve">The percentage of care leavers aged 17-21 across L&amp;SC who were in </w:t>
      </w:r>
      <w:r w:rsidR="3EA6B1F4">
        <w:t>education, employment or training was lower than that of England overall.</w:t>
      </w:r>
      <w:r w:rsidR="7AE4A0FD">
        <w:t xml:space="preserve"> </w:t>
      </w:r>
      <w:r w:rsidR="008B2EC4">
        <w:rPr>
          <w:rStyle w:val="FootnoteReference"/>
        </w:rPr>
        <w:footnoteReference w:id="13"/>
      </w:r>
    </w:p>
    <w:p w14:paraId="2F6A2D6B" w14:textId="608F6E8E" w:rsidR="00C04851" w:rsidRDefault="00C04851" w:rsidP="00504970">
      <w:r>
        <w:rPr>
          <w:noProof/>
        </w:rPr>
        <w:drawing>
          <wp:inline distT="0" distB="0" distL="0" distR="0" wp14:anchorId="79911938" wp14:editId="63381813">
            <wp:extent cx="4588332" cy="2760235"/>
            <wp:effectExtent l="0" t="0" r="3175" b="2540"/>
            <wp:docPr id="1818284748" name="Chart 1">
              <a:extLst xmlns:a="http://schemas.openxmlformats.org/drawingml/2006/main">
                <a:ext uri="{FF2B5EF4-FFF2-40B4-BE49-F238E27FC236}">
                  <a16:creationId xmlns:a16="http://schemas.microsoft.com/office/drawing/2014/main" id="{B42D06A8-4E46-FBC8-2287-30EEB132A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9DE56D" w14:textId="474C851C" w:rsidR="15A50DA1" w:rsidRDefault="15A50DA1" w:rsidP="1FC98660">
      <w:r w:rsidRPr="1FC98660">
        <w:rPr>
          <w:rFonts w:ascii="Aptos" w:eastAsia="Aptos" w:hAnsi="Aptos" w:cs="Aptos"/>
        </w:rPr>
        <w:t xml:space="preserve">Children in care and care leavers are at particularly high risk of poor mental health, often </w:t>
      </w:r>
      <w:proofErr w:type="gramStart"/>
      <w:r w:rsidRPr="1FC98660">
        <w:rPr>
          <w:rFonts w:ascii="Aptos" w:eastAsia="Aptos" w:hAnsi="Aptos" w:cs="Aptos"/>
        </w:rPr>
        <w:t>as a result of</w:t>
      </w:r>
      <w:proofErr w:type="gramEnd"/>
      <w:r w:rsidRPr="1FC98660">
        <w:rPr>
          <w:rFonts w:ascii="Aptos" w:eastAsia="Aptos" w:hAnsi="Aptos" w:cs="Aptos"/>
        </w:rPr>
        <w:t xml:space="preserve"> exposure to Adverse Childhood Experiences (ACEs) such as abuse, neglect, and family breakdown. According to NICE, almost half (45%) of children in care meet the criteria for a psychiatric disorder, compared with just 10% of children in the general population.</w:t>
      </w:r>
      <w:r w:rsidRPr="1FC98660">
        <w:rPr>
          <w:rStyle w:val="FootnoteReference"/>
          <w:rFonts w:ascii="Aptos" w:eastAsia="Aptos" w:hAnsi="Aptos" w:cs="Aptos"/>
        </w:rPr>
        <w:footnoteReference w:id="14"/>
      </w:r>
      <w:r w:rsidRPr="1FC98660">
        <w:rPr>
          <w:rFonts w:ascii="Aptos" w:eastAsia="Aptos" w:hAnsi="Aptos" w:cs="Aptos"/>
        </w:rPr>
        <w:t xml:space="preserve"> As young people leave care, they may face additional challenges such as social isolation, difficulties accessing mental health support, and increased risk of substance misuse and homelessness. The transition to independent living can exacerbate existing mental health issues, particularly when support networks are limited.</w:t>
      </w:r>
    </w:p>
    <w:p w14:paraId="5E94E469" w14:textId="2519861D" w:rsidR="1FC98660" w:rsidRPr="001663E0" w:rsidRDefault="15A50DA1" w:rsidP="1FC98660">
      <w:r w:rsidRPr="1FC98660">
        <w:rPr>
          <w:rFonts w:ascii="Aptos" w:eastAsia="Aptos" w:hAnsi="Aptos" w:cs="Aptos"/>
        </w:rPr>
        <w:lastRenderedPageBreak/>
        <w:t>Addressing these challenges requires trauma-informed, coordinated support across health, social care, and education, with a strong focus on early intervention and continuity of care.</w:t>
      </w:r>
    </w:p>
    <w:p w14:paraId="29EED6D5" w14:textId="5AB29A79" w:rsidR="00010427" w:rsidRPr="00D434D6" w:rsidRDefault="00010427" w:rsidP="000556E0">
      <w:pPr>
        <w:pStyle w:val="Heading3"/>
      </w:pPr>
      <w:r w:rsidRPr="00D434D6">
        <w:t>People in contact with the justice system</w:t>
      </w:r>
    </w:p>
    <w:p w14:paraId="0CBE9406" w14:textId="115EEA14" w:rsidR="006C2E7C" w:rsidRPr="006C2E7C" w:rsidRDefault="00F94E27" w:rsidP="006C2E7C">
      <w:pPr>
        <w:rPr>
          <w:rFonts w:ascii="Aptos" w:hAnsi="Aptos"/>
          <w:color w:val="000000"/>
        </w:rPr>
      </w:pPr>
      <w:r>
        <w:rPr>
          <w:rFonts w:ascii="Aptos" w:hAnsi="Aptos"/>
          <w:color w:val="000000"/>
        </w:rPr>
        <w:t xml:space="preserve">There are six men’s prisons in Lancashire and South Cumbria, with a prison population of </w:t>
      </w:r>
      <w:r w:rsidR="004E0D0D">
        <w:rPr>
          <w:rFonts w:ascii="Aptos" w:hAnsi="Aptos"/>
          <w:color w:val="000000"/>
        </w:rPr>
        <w:t>around 4,200</w:t>
      </w:r>
      <w:r w:rsidR="00F014FC">
        <w:rPr>
          <w:rFonts w:ascii="Aptos" w:hAnsi="Aptos"/>
          <w:color w:val="000000"/>
        </w:rPr>
        <w:t xml:space="preserve">, with </w:t>
      </w:r>
      <w:r w:rsidR="00F014FC" w:rsidRPr="00F014FC">
        <w:rPr>
          <w:rFonts w:ascii="Aptos" w:hAnsi="Aptos"/>
          <w:color w:val="000000"/>
        </w:rPr>
        <w:t>3,747</w:t>
      </w:r>
      <w:r w:rsidR="00F014FC">
        <w:rPr>
          <w:rFonts w:ascii="Aptos" w:hAnsi="Aptos"/>
          <w:color w:val="000000"/>
        </w:rPr>
        <w:t xml:space="preserve"> of these being in Lancashire prisons. </w:t>
      </w:r>
      <w:r w:rsidR="0007677A">
        <w:rPr>
          <w:rFonts w:ascii="Aptos" w:hAnsi="Aptos"/>
          <w:color w:val="000000"/>
        </w:rPr>
        <w:t xml:space="preserve">The </w:t>
      </w:r>
      <w:r w:rsidR="00B15034">
        <w:rPr>
          <w:rFonts w:ascii="Aptos" w:hAnsi="Aptos"/>
          <w:color w:val="000000"/>
        </w:rPr>
        <w:t xml:space="preserve">report by the Chief Medical Officer on </w:t>
      </w:r>
      <w:r w:rsidR="001746CE">
        <w:rPr>
          <w:rFonts w:ascii="Aptos" w:hAnsi="Aptos"/>
          <w:color w:val="000000"/>
        </w:rPr>
        <w:t>t</w:t>
      </w:r>
      <w:r w:rsidR="001746CE" w:rsidRPr="001746CE">
        <w:rPr>
          <w:rFonts w:ascii="Aptos" w:hAnsi="Aptos"/>
          <w:color w:val="000000"/>
        </w:rPr>
        <w:t>he health of people in priso</w:t>
      </w:r>
      <w:r w:rsidR="001746CE">
        <w:rPr>
          <w:rFonts w:ascii="Aptos" w:hAnsi="Aptos"/>
          <w:color w:val="000000"/>
        </w:rPr>
        <w:t>n and</w:t>
      </w:r>
      <w:r w:rsidR="001746CE" w:rsidRPr="001746CE">
        <w:rPr>
          <w:rFonts w:ascii="Aptos" w:hAnsi="Aptos"/>
          <w:color w:val="000000"/>
        </w:rPr>
        <w:t xml:space="preserve"> on probation</w:t>
      </w:r>
      <w:r w:rsidR="001746CE">
        <w:rPr>
          <w:rFonts w:ascii="Aptos" w:hAnsi="Aptos"/>
          <w:color w:val="000000"/>
        </w:rPr>
        <w:t xml:space="preserve"> highlights the challenges for health in this population. They </w:t>
      </w:r>
      <w:r w:rsidR="006C2E7C" w:rsidRPr="006C2E7C">
        <w:rPr>
          <w:rFonts w:ascii="Aptos" w:hAnsi="Aptos"/>
          <w:color w:val="000000"/>
        </w:rPr>
        <w:t>experience disproportionately high levels of physical and mental health issues compared to the general population. Social determinants</w:t>
      </w:r>
      <w:r w:rsidR="00E80749">
        <w:rPr>
          <w:rFonts w:ascii="Aptos" w:hAnsi="Aptos"/>
          <w:color w:val="000000"/>
        </w:rPr>
        <w:t xml:space="preserve"> </w:t>
      </w:r>
      <w:r w:rsidR="006C2E7C" w:rsidRPr="006C2E7C">
        <w:rPr>
          <w:rFonts w:ascii="Aptos" w:hAnsi="Aptos"/>
          <w:color w:val="000000"/>
        </w:rPr>
        <w:t>such as poverty, trauma, and prior healthcare inequalities</w:t>
      </w:r>
      <w:r w:rsidR="00E80749">
        <w:rPr>
          <w:rFonts w:ascii="Aptos" w:hAnsi="Aptos"/>
          <w:color w:val="000000"/>
        </w:rPr>
        <w:t xml:space="preserve"> </w:t>
      </w:r>
      <w:r w:rsidR="006C2E7C" w:rsidRPr="006C2E7C">
        <w:rPr>
          <w:rFonts w:ascii="Aptos" w:hAnsi="Aptos"/>
          <w:color w:val="000000"/>
        </w:rPr>
        <w:t>compound these risks</w:t>
      </w:r>
      <w:r w:rsidR="00812CD1">
        <w:rPr>
          <w:rFonts w:ascii="Aptos" w:hAnsi="Aptos"/>
          <w:color w:val="000000"/>
        </w:rPr>
        <w:t xml:space="preserve">. </w:t>
      </w:r>
      <w:r w:rsidR="00812CD1" w:rsidRPr="00812CD1">
        <w:rPr>
          <w:rFonts w:ascii="Aptos" w:hAnsi="Aptos"/>
          <w:color w:val="000000"/>
        </w:rPr>
        <w:t xml:space="preserve">Access to healthcare in prisons is often constrained by the secure environment and operational priorities. </w:t>
      </w:r>
      <w:r w:rsidR="00812CD1">
        <w:rPr>
          <w:rFonts w:ascii="Aptos" w:hAnsi="Aptos"/>
          <w:color w:val="000000"/>
        </w:rPr>
        <w:t>D</w:t>
      </w:r>
      <w:r w:rsidR="00812CD1" w:rsidRPr="00812CD1">
        <w:rPr>
          <w:rFonts w:ascii="Aptos" w:hAnsi="Aptos"/>
          <w:color w:val="000000"/>
        </w:rPr>
        <w:t xml:space="preserve">elays in appointments, limited specialist care, and restricted movement can hinder timely treatment. Continuity of care is a major challenge, particularly during transfers or release, which can lead to gaps in medication and follow-up. </w:t>
      </w:r>
    </w:p>
    <w:p w14:paraId="44F64149" w14:textId="0AD0A7FA" w:rsidR="00066592" w:rsidRPr="00010427" w:rsidRDefault="741AC331" w:rsidP="00010427">
      <w:r>
        <w:rPr>
          <w:rFonts w:ascii="Aptos" w:hAnsi="Aptos"/>
          <w:color w:val="000000"/>
        </w:rPr>
        <w:t>There are a</w:t>
      </w:r>
      <w:r w:rsidR="7E328417" w:rsidRPr="00774BA1">
        <w:rPr>
          <w:rFonts w:ascii="Aptos" w:hAnsi="Aptos"/>
          <w:color w:val="000000"/>
        </w:rPr>
        <w:t xml:space="preserve">pproximately </w:t>
      </w:r>
      <w:r w:rsidR="780F55B8" w:rsidRPr="00167514">
        <w:rPr>
          <w:rFonts w:ascii="Aptos" w:hAnsi="Aptos"/>
          <w:color w:val="000000"/>
        </w:rPr>
        <w:t>25,934</w:t>
      </w:r>
      <w:r w:rsidR="780F55B8">
        <w:rPr>
          <w:rFonts w:ascii="Aptos" w:hAnsi="Aptos"/>
          <w:color w:val="000000"/>
        </w:rPr>
        <w:t xml:space="preserve"> </w:t>
      </w:r>
      <w:r w:rsidR="7E328417" w:rsidRPr="00774BA1">
        <w:rPr>
          <w:rFonts w:ascii="Aptos" w:hAnsi="Aptos"/>
          <w:color w:val="000000"/>
        </w:rPr>
        <w:t>individuals are under supervision</w:t>
      </w:r>
      <w:r w:rsidR="37D4D7A0">
        <w:rPr>
          <w:rFonts w:ascii="Aptos" w:hAnsi="Aptos"/>
          <w:color w:val="000000"/>
        </w:rPr>
        <w:t xml:space="preserve"> of the Probation Service</w:t>
      </w:r>
      <w:r w:rsidR="7E328417" w:rsidRPr="00774BA1">
        <w:rPr>
          <w:rFonts w:ascii="Aptos" w:hAnsi="Aptos"/>
          <w:color w:val="000000"/>
        </w:rPr>
        <w:t xml:space="preserve"> in the </w:t>
      </w:r>
      <w:r w:rsidR="64CA980C">
        <w:rPr>
          <w:rFonts w:ascii="Aptos" w:hAnsi="Aptos"/>
          <w:color w:val="000000"/>
        </w:rPr>
        <w:t>North West</w:t>
      </w:r>
      <w:r w:rsidR="7E328417" w:rsidRPr="00774BA1">
        <w:rPr>
          <w:rFonts w:ascii="Aptos" w:hAnsi="Aptos"/>
          <w:color w:val="000000"/>
        </w:rPr>
        <w:t>.</w:t>
      </w:r>
      <w:r w:rsidR="1CB5D5EA">
        <w:rPr>
          <w:rFonts w:ascii="Aptos" w:hAnsi="Aptos"/>
          <w:color w:val="000000"/>
        </w:rPr>
        <w:t xml:space="preserve"> </w:t>
      </w:r>
      <w:r w:rsidR="1CB5D5EA" w:rsidRPr="002F17CE">
        <w:rPr>
          <w:rFonts w:ascii="Aptos" w:hAnsi="Aptos"/>
          <w:color w:val="000000"/>
        </w:rPr>
        <w:t xml:space="preserve">People on probation often experience similar vulnerabilities </w:t>
      </w:r>
      <w:r w:rsidR="1CB5D5EA">
        <w:rPr>
          <w:rFonts w:ascii="Aptos" w:hAnsi="Aptos"/>
          <w:color w:val="000000"/>
        </w:rPr>
        <w:t xml:space="preserve">to those in prison, </w:t>
      </w:r>
      <w:r w:rsidR="1CB5D5EA" w:rsidRPr="002F17CE">
        <w:rPr>
          <w:rFonts w:ascii="Aptos" w:hAnsi="Aptos"/>
          <w:color w:val="000000"/>
        </w:rPr>
        <w:t xml:space="preserve">but in community settings </w:t>
      </w:r>
      <w:r w:rsidR="5EB90620">
        <w:rPr>
          <w:rFonts w:ascii="Aptos" w:hAnsi="Aptos"/>
          <w:color w:val="000000"/>
        </w:rPr>
        <w:t>there are different challenges like</w:t>
      </w:r>
      <w:r w:rsidR="1CB5D5EA" w:rsidRPr="002F17CE">
        <w:rPr>
          <w:rFonts w:ascii="Aptos" w:hAnsi="Aptos"/>
          <w:color w:val="000000"/>
        </w:rPr>
        <w:t xml:space="preserve"> instability and social exclusion. Many struggle to register with a GP or attend appointments due to chaotic lifestyles or lack of documentation. Mental health and substance misuse services are often fragmented, and engagement can be low without proactive outreach.</w:t>
      </w:r>
      <w:r w:rsidR="000F59A0">
        <w:rPr>
          <w:rStyle w:val="FootnoteReference"/>
          <w:rFonts w:ascii="Aptos" w:hAnsi="Aptos"/>
          <w:color w:val="000000"/>
        </w:rPr>
        <w:footnoteReference w:id="15"/>
      </w:r>
    </w:p>
    <w:p w14:paraId="15D193DE" w14:textId="029BB156" w:rsidR="00984ECA" w:rsidRPr="00504AB2" w:rsidRDefault="00984ECA" w:rsidP="000556E0">
      <w:pPr>
        <w:pStyle w:val="Heading3"/>
      </w:pPr>
      <w:r w:rsidRPr="00504AB2">
        <w:t>Military veterans and their families </w:t>
      </w:r>
    </w:p>
    <w:p w14:paraId="24227A53" w14:textId="2B4BFBA4" w:rsidR="00984ECA" w:rsidRPr="00984ECA" w:rsidRDefault="1810AF4E" w:rsidP="000556E0">
      <w:pPr>
        <w:pStyle w:val="HNAHeader1"/>
      </w:pPr>
      <w:r w:rsidRPr="00504AB2">
        <w:t>Across Lancashire and South Cumbria there are</w:t>
      </w:r>
      <w:r w:rsidR="43AC000A">
        <w:t xml:space="preserve"> approximately 65,500 veterans, with </w:t>
      </w:r>
      <w:r w:rsidRPr="00504AB2">
        <w:t>generally higher rates of veterans across all districts when compared to the England rate of 2.9</w:t>
      </w:r>
      <w:r w:rsidR="043798DF">
        <w:t>%. The districts with the highest proportion of veterans are Fylde (6.1%), Wyre (5.7%) and Blackpool (5.1%), but t</w:t>
      </w:r>
      <w:r w:rsidRPr="00504AB2">
        <w:t>here are higher rates of all veterans in 14 of 16 districts across Lancashire and South Cumbria when compared to England.</w:t>
      </w:r>
      <w:r w:rsidR="00F14673">
        <w:rPr>
          <w:rStyle w:val="FootnoteReference"/>
        </w:rPr>
        <w:footnoteReference w:id="16"/>
      </w:r>
    </w:p>
    <w:p w14:paraId="59BB915A" w14:textId="2DF68229" w:rsidR="00984ECA" w:rsidRPr="00984ECA" w:rsidRDefault="1810AF4E" w:rsidP="000556E0">
      <w:pPr>
        <w:pStyle w:val="HNAHeader1"/>
      </w:pPr>
      <w:r w:rsidRPr="00504AB2">
        <w:t xml:space="preserve">Certain health conditions can be more prevalent in military veterans, and health outcomes are worse in this group. </w:t>
      </w:r>
      <w:r w:rsidR="59A83D07">
        <w:t>52% of veterans have a long-term illness or disability, 12% experience PTSD and 23% suffer from common mental health disorders.</w:t>
      </w:r>
      <w:r w:rsidR="0BB5FBC4">
        <w:t xml:space="preserve"> </w:t>
      </w:r>
      <w:r w:rsidR="001663E0">
        <w:rPr>
          <w:rStyle w:val="FootnoteReference"/>
        </w:rPr>
        <w:footnoteReference w:id="17"/>
      </w:r>
    </w:p>
    <w:p w14:paraId="0BC40350" w14:textId="77777777" w:rsidR="00984ECA" w:rsidRPr="00504AB2" w:rsidRDefault="00984ECA" w:rsidP="000556E0">
      <w:pPr>
        <w:pStyle w:val="Heading3"/>
      </w:pPr>
      <w:r w:rsidRPr="00504AB2">
        <w:lastRenderedPageBreak/>
        <w:t>Rural communities </w:t>
      </w:r>
    </w:p>
    <w:p w14:paraId="79BFD0D3" w14:textId="77777777" w:rsidR="00984ECA" w:rsidRPr="00984ECA" w:rsidRDefault="00984ECA" w:rsidP="000556E0">
      <w:pPr>
        <w:pStyle w:val="HNAHeader1"/>
      </w:pPr>
      <w:r w:rsidRPr="00504AB2">
        <w:t xml:space="preserve">The Rural or Urban Classification for Lancashire and South Cumbria </w:t>
      </w:r>
      <w:proofErr w:type="gramStart"/>
      <w:r w:rsidRPr="00504AB2">
        <w:t>shows</w:t>
      </w:r>
      <w:proofErr w:type="gramEnd"/>
      <w:r w:rsidRPr="00504AB2">
        <w:t xml:space="preserve"> that there is a complex mixture of urban cities and towns such as Preston, Lancaster, Blackpool and Kendal, and large rural areas in the central and northern areas of the region. </w:t>
      </w:r>
    </w:p>
    <w:p w14:paraId="4EBB3AC5" w14:textId="77E91F63" w:rsidR="00984ECA" w:rsidRPr="00984ECA" w:rsidRDefault="1810AF4E" w:rsidP="000556E0">
      <w:pPr>
        <w:pStyle w:val="HNAHeader1"/>
      </w:pPr>
      <w:r w:rsidRPr="00504AB2">
        <w:t>The rural deprivation index for health for Lancashire and South Cumbria shows that there is variation in terms of the rural deprivation index for health, with the most 10% deprived areas in Preston, Blackpool, Burnley, Morecambe, and Barrow-in-Furness. There are also pockets of the highest deprivation in Chorley, Blackburn with Darwen, Hyndburn and Pendle. The least deprived areas are situated within south Lancaster.</w:t>
      </w:r>
      <w:r w:rsidR="0DE12B87">
        <w:t xml:space="preserve"> </w:t>
      </w:r>
      <w:r w:rsidR="00840319">
        <w:rPr>
          <w:rStyle w:val="FootnoteReference"/>
        </w:rPr>
        <w:footnoteReference w:id="18"/>
      </w:r>
    </w:p>
    <w:p w14:paraId="7FCA64D0" w14:textId="77777777" w:rsidR="00984ECA" w:rsidRPr="00984ECA" w:rsidRDefault="00984ECA" w:rsidP="000556E0">
      <w:pPr>
        <w:pStyle w:val="HNAHeader1"/>
      </w:pPr>
      <w:r w:rsidRPr="00504AB2">
        <w:t>Nationally, outward migration of young people and inward migration of older people, is resulting in a rural population that is increasingly older than the urban population, with accompanying health and social care needs.  </w:t>
      </w:r>
    </w:p>
    <w:p w14:paraId="128A8A2F" w14:textId="77777777" w:rsidR="00984ECA" w:rsidRPr="00984ECA" w:rsidRDefault="00984ECA" w:rsidP="000556E0">
      <w:pPr>
        <w:pStyle w:val="HNAHeader1"/>
      </w:pPr>
      <w:r w:rsidRPr="00504AB2">
        <w:t>Access to health and social care services to people living in rural areas may be a concern; travel distances, travel costs and scarcity of public transport links to access services may determine how and when people living in rural communities are able to access hospital sites.  </w:t>
      </w:r>
    </w:p>
    <w:p w14:paraId="67E3E20C" w14:textId="77777777" w:rsidR="00984ECA" w:rsidRPr="00504AB2" w:rsidRDefault="00984ECA" w:rsidP="000556E0">
      <w:pPr>
        <w:pStyle w:val="Heading3"/>
      </w:pPr>
      <w:r w:rsidRPr="00504AB2">
        <w:t>Gypsy, Roma and Traveller communities </w:t>
      </w:r>
    </w:p>
    <w:p w14:paraId="2C63D04F" w14:textId="1F48A2E3" w:rsidR="00984ECA" w:rsidRPr="00984ECA" w:rsidRDefault="00984ECA" w:rsidP="000556E0">
      <w:pPr>
        <w:pStyle w:val="HNAHeader1"/>
      </w:pPr>
      <w:r w:rsidRPr="00504AB2">
        <w:t>Data from the 2021 Census indicates that across Lancashire and South Cumbria there are approximately 2770 people from Gypsy, Roma, and Traveller communities, which is about 0.2% of the total population. Blackpool and Lancaster have the highest proportion of people from Gypsy, Roma and Traveller communities, with the lowest numbers in Ribble Valley. </w:t>
      </w:r>
      <w:r w:rsidR="001F6A50">
        <w:t xml:space="preserve">These numbers are </w:t>
      </w:r>
      <w:r w:rsidR="003D75ED">
        <w:t xml:space="preserve">likely to be an underestimate of true population size however, as </w:t>
      </w:r>
      <w:proofErr w:type="gramStart"/>
      <w:r w:rsidR="00E93A98">
        <w:t>a number of</w:t>
      </w:r>
      <w:proofErr w:type="gramEnd"/>
      <w:r w:rsidR="00E93A98">
        <w:t xml:space="preserve"> factors meant engagement rate with reporting ethnicity in the Census was low for this community.</w:t>
      </w:r>
    </w:p>
    <w:p w14:paraId="0C3B3A66" w14:textId="77777777" w:rsidR="00984ECA" w:rsidRPr="00984ECA" w:rsidRDefault="00984ECA" w:rsidP="000556E0">
      <w:pPr>
        <w:pStyle w:val="HNAHeader1"/>
      </w:pPr>
      <w:r w:rsidRPr="00504AB2">
        <w:t>Exclusion across wider health, social, education and employment sectors place Gypsy, Roma and Traveller communities at risk of poorer health outcomes. Gypsy, Roma and Traveller communities generally experience a shorter life expectancy of between 10 and 25 years compared to the rest of the population, and there is a higher prevalence of some long-term health conditions and disabilities. </w:t>
      </w:r>
    </w:p>
    <w:p w14:paraId="573C0A69" w14:textId="77777777" w:rsidR="00984ECA" w:rsidRPr="00984ECA" w:rsidRDefault="00984ECA" w:rsidP="000556E0">
      <w:pPr>
        <w:pStyle w:val="HNAHeader1"/>
      </w:pPr>
      <w:r w:rsidRPr="00504AB2">
        <w:t>Communities are more likely to experience barriers when accessing health and social care, both face to face and digitally. These barriers include accessing services, poor communication from health services, and poor relationship and trust between the communities and health services. </w:t>
      </w:r>
    </w:p>
    <w:p w14:paraId="7ADCEC9F" w14:textId="76AF4F1C" w:rsidR="00115739" w:rsidRPr="00504AB2" w:rsidRDefault="00115739" w:rsidP="000556E0">
      <w:pPr>
        <w:pStyle w:val="Heading3"/>
      </w:pPr>
      <w:r w:rsidRPr="00504AB2">
        <w:lastRenderedPageBreak/>
        <w:t>People with experience of trauma</w:t>
      </w:r>
      <w:r w:rsidR="00D71EC6" w:rsidRPr="00504AB2">
        <w:t xml:space="preserve"> and ACEs</w:t>
      </w:r>
    </w:p>
    <w:p w14:paraId="1A40D3B0" w14:textId="77777777" w:rsidR="00D71EC6" w:rsidRPr="00504AB2" w:rsidRDefault="00D71EC6" w:rsidP="00D71EC6">
      <w:r w:rsidRPr="00504AB2">
        <w:t>Psychological trauma data is difficult to capture due to its sensitive nature, under-reporting, and systemic barriers in data collection. Many cases remain hidden within unstructured records, and health professionals may lack the resources or training to identify or respond to trauma. National figures show trauma is widespread, with women more affected than men. In 2023/24, around 1 in 20 adults screened positive for PTSD, particularly among women, younger people, and certain ethnic groups. Trauma is more common in deprived and financially insecure groups. Many affected individuals experience difficulties engaging with health services, and some avoid care altogether.</w:t>
      </w:r>
    </w:p>
    <w:p w14:paraId="65A8DD5B" w14:textId="79158EFF" w:rsidR="00D71EC6" w:rsidRPr="00504AB2" w:rsidRDefault="00D71EC6" w:rsidP="00D71EC6">
      <w:r w:rsidRPr="00504AB2">
        <w:t>Adverse Childhood Experiences (ACEs) are traumatic events that can significantly affect children and young people throughout their lives. Nearly half of adults in England have experienced at least one ACE, and around 8–9% have experienced four or more. There is a strong dose-response relationship, meaning the more ACEs a person has, the greater their risk of poor physical, mental, and behavioural health outcomes. ACEs are linked to increased rates of substance misuse, violence, chronic conditions, and mental illness, with an estimated annual cost of £42.8 billion in England and Wales, primarily due to mental illness and cancer. The Office for National Statistics reports that 8.5 million adults experienced childhood abuse before age 16, and children living in households affected by mental ill-health or domestic abuse are at heightened risk of victimisation.</w:t>
      </w:r>
    </w:p>
    <w:p w14:paraId="35683031" w14:textId="58E85F9D" w:rsidR="00984ECA" w:rsidRPr="00504AB2" w:rsidRDefault="00984ECA" w:rsidP="000556E0">
      <w:pPr>
        <w:pStyle w:val="Heading3"/>
      </w:pPr>
      <w:r w:rsidRPr="00504AB2">
        <w:t>LGBTQ+ </w:t>
      </w:r>
    </w:p>
    <w:p w14:paraId="504B351A" w14:textId="6CB27F8D" w:rsidR="00A429A1" w:rsidRPr="00A429A1" w:rsidRDefault="00A429A1" w:rsidP="00E45499">
      <w:pPr>
        <w:pStyle w:val="HNAHeader1"/>
      </w:pPr>
      <w:proofErr w:type="gramStart"/>
      <w:r w:rsidRPr="00A429A1">
        <w:t>The majority of</w:t>
      </w:r>
      <w:proofErr w:type="gramEnd"/>
      <w:r w:rsidRPr="00A429A1">
        <w:t xml:space="preserve"> people in Lancashire and South Cumbria identify as heterosexual or straight, with 90.2% of the population selecting this option in the 2021 Census, which is slightly higher than the national average. The proportion of people identifying as gay or lesbian is 1.5%, matching the figure for England as a whole, while 1.1% identify as bisexual, which is just below the national rate. There is some local variation: Blackpool has the highest proportion of people identifying as gay or lesbian (3.3%) and bisexual (1.4%) in the region, </w:t>
      </w:r>
      <w:r w:rsidR="00EE6A79">
        <w:t xml:space="preserve">with </w:t>
      </w:r>
      <w:r w:rsidR="00432DD8">
        <w:t>higher percent</w:t>
      </w:r>
      <w:r w:rsidR="001D1FCD">
        <w:t>ages of people identifying as gay, lesbian, bisexual or other sexual identity in Lancaster (</w:t>
      </w:r>
      <w:r w:rsidR="00E45499">
        <w:t>4.4%) and Preston (3.8%).</w:t>
      </w:r>
    </w:p>
    <w:p w14:paraId="3BD7637F" w14:textId="18D6F825" w:rsidR="00A429A1" w:rsidRPr="00984ECA" w:rsidRDefault="71664579" w:rsidP="000556E0">
      <w:pPr>
        <w:pStyle w:val="HNAHeader1"/>
      </w:pPr>
      <w:r w:rsidRPr="000C05CF">
        <w:t>Regarding gender identity, 94.0% of the population in Lancashire and South Cumbria reported that their gender identity is the same as their sex registered at birth, which is slightly above the national average. Around 0.2% of people indicated that their gender identity is different from their sex at birth, in line with the figure for England. Some districts</w:t>
      </w:r>
      <w:r w:rsidR="5BC806DE">
        <w:t xml:space="preserve"> have higher rates of people whose gender identity differs from their sex at birth, including Blackburn with Darwen</w:t>
      </w:r>
      <w:r w:rsidR="02A243E8">
        <w:t xml:space="preserve"> (0.6%)</w:t>
      </w:r>
      <w:r w:rsidR="556E3BB7">
        <w:t xml:space="preserve">, </w:t>
      </w:r>
      <w:r w:rsidRPr="000C05CF">
        <w:t>Burnley</w:t>
      </w:r>
      <w:r w:rsidR="02A243E8">
        <w:t xml:space="preserve"> (</w:t>
      </w:r>
      <w:r w:rsidR="3AB82371">
        <w:t>0.6%)</w:t>
      </w:r>
      <w:r w:rsidRPr="000C05CF">
        <w:t>, Pendle</w:t>
      </w:r>
      <w:r w:rsidR="3AB82371">
        <w:t xml:space="preserve"> (</w:t>
      </w:r>
      <w:r w:rsidR="5DEB866C">
        <w:t>0.6%)</w:t>
      </w:r>
      <w:r w:rsidRPr="000C05CF">
        <w:t>, and Preston</w:t>
      </w:r>
      <w:r w:rsidR="5DEB866C">
        <w:t xml:space="preserve"> (</w:t>
      </w:r>
      <w:r w:rsidR="608B72D3">
        <w:t>0.6%)</w:t>
      </w:r>
      <w:r w:rsidRPr="000C05CF">
        <w:t xml:space="preserve">, while Ribble Valley and South Ribble have the </w:t>
      </w:r>
      <w:r w:rsidR="6C6E396B">
        <w:t xml:space="preserve">lowest rates. It should be noted that </w:t>
      </w:r>
      <w:r w:rsidR="6BFD60C0">
        <w:t xml:space="preserve">the ONS have </w:t>
      </w:r>
      <w:r w:rsidR="15C25137">
        <w:t xml:space="preserve">stated there are some quality issues with the data regarding gender </w:t>
      </w:r>
      <w:r w:rsidR="15C25137">
        <w:lastRenderedPageBreak/>
        <w:t>identity</w:t>
      </w:r>
      <w:r w:rsidR="48C334D6">
        <w:t xml:space="preserve"> and particularly for </w:t>
      </w:r>
      <w:r w:rsidR="383F5BE4">
        <w:t>people with lower levels of English proficiency</w:t>
      </w:r>
      <w:r w:rsidR="15C25137">
        <w:t>, and these are no longer official accredited statistics.</w:t>
      </w:r>
      <w:r w:rsidR="00D2480F">
        <w:rPr>
          <w:rStyle w:val="FootnoteReference"/>
        </w:rPr>
        <w:footnoteReference w:id="19"/>
      </w:r>
    </w:p>
    <w:p w14:paraId="4C65C7CF" w14:textId="7535099E" w:rsidR="00984ECA" w:rsidRPr="00984ECA" w:rsidRDefault="00984ECA" w:rsidP="000556E0">
      <w:pPr>
        <w:pStyle w:val="HNAHeader1"/>
      </w:pPr>
      <w:r>
        <w:t>Despite the legal duty of health and social care organisations to prove inclusive, equal treatment, LGBTQ+ communities face barriers and disadvantage when accessing health and social care. Barriers could include fear, or experience, of discrimination when accessing services, assumptions of sexuality and gender status, inappropriate curiosity and insensitive questions or lack of understanding from healthcare staff regarding LGBTQ+ health needs. Poor past experiences of healthcare services, or fears of discrimination while using services may impact how and when LGBTQ+ service users access hospital services. </w:t>
      </w:r>
      <w:r w:rsidR="00EF377C">
        <w:t xml:space="preserve">For Trans and Gender Diverse people, </w:t>
      </w:r>
      <w:r w:rsidR="00717D06">
        <w:t xml:space="preserve">these have been exacerbated by recent </w:t>
      </w:r>
      <w:r w:rsidR="00FA3233">
        <w:t>legal rulings</w:t>
      </w:r>
      <w:r w:rsidR="00717D06">
        <w:t xml:space="preserve"> regarding </w:t>
      </w:r>
      <w:r w:rsidR="00FA3233">
        <w:t>accommodation for people whose gender identity differs from their sex at birth, and this should be monitored.</w:t>
      </w:r>
    </w:p>
    <w:p w14:paraId="2B55FC6D" w14:textId="4E325400" w:rsidR="00506669" w:rsidRDefault="00BD4121" w:rsidP="00BD4121">
      <w:pPr>
        <w:pStyle w:val="Heading3"/>
      </w:pPr>
      <w:r>
        <w:t>People with Severe Mental Illness (SMI)</w:t>
      </w:r>
    </w:p>
    <w:p w14:paraId="161E1D87" w14:textId="5E648981" w:rsidR="00BD4121" w:rsidRPr="003F2870" w:rsidRDefault="6D8D6419" w:rsidP="00BD4121">
      <w:r w:rsidRPr="003F2870">
        <w:t>People living with Severe Mental Illness (SMI) including conditions such as schizophrenia and bipolar disorder face health inequalities in Lancashire and South Cumbria. Nationally, individuals with SMI die on average 15–20 years earlier than the general population</w:t>
      </w:r>
      <w:r w:rsidR="00B00431" w:rsidRPr="003F2870">
        <w:rPr>
          <w:rStyle w:val="FootnoteReference"/>
        </w:rPr>
        <w:footnoteReference w:id="20"/>
      </w:r>
      <w:r w:rsidRPr="003F2870">
        <w:t xml:space="preserve">, with two-thirds of these deaths attributable to preventable </w:t>
      </w:r>
      <w:r w:rsidR="42B866D6" w:rsidRPr="003F2870">
        <w:t>disease</w:t>
      </w:r>
      <w:r w:rsidR="42B866D6">
        <w:t>.</w:t>
      </w:r>
      <w:r w:rsidR="003F2870" w:rsidRPr="003F2870">
        <w:rPr>
          <w:rStyle w:val="FootnoteReference"/>
        </w:rPr>
        <w:footnoteReference w:id="21"/>
      </w:r>
    </w:p>
    <w:p w14:paraId="52539EC0" w14:textId="44856D54" w:rsidR="00BD4121" w:rsidRPr="00BD4121" w:rsidRDefault="6D8D6419" w:rsidP="00BD4121">
      <w:r w:rsidRPr="003F2870">
        <w:t>People with SMI are more likely to experience multiple risk factors, including higher rates of smoking, obesity, diabetes, and hypertension. For example, they are three times as likely to be smokers or have high blood pressure, double the risk of obesity and diabetes, and five times the risk of lipid imbalance compared to the general population.</w:t>
      </w:r>
      <w:r w:rsidR="3CD95BAA">
        <w:t xml:space="preserve"> </w:t>
      </w:r>
      <w:r w:rsidR="001451BC">
        <w:rPr>
          <w:rStyle w:val="FootnoteReference"/>
        </w:rPr>
        <w:footnoteReference w:id="22"/>
      </w:r>
      <w:r w:rsidRPr="003F2870">
        <w:t xml:space="preserve"> These risk factors contribute to a widening gap in life expectancy and health outcomes over time. Annual health checks for people with SMI are a key intervention, supporting early detection of physical health conditions and improving access to evidence-based care. However, barriers remain, including stigma, fragmented care pathways, and challenges in accessing both mental and physical healthcare services. </w:t>
      </w:r>
    </w:p>
    <w:p w14:paraId="3846331A" w14:textId="5315FA7B" w:rsidR="00BD4121" w:rsidRDefault="00BD4121" w:rsidP="00BD4121">
      <w:pPr>
        <w:pStyle w:val="Heading3"/>
      </w:pPr>
      <w:r>
        <w:t>People with Learning Disability and Autism (LD&amp;A)</w:t>
      </w:r>
    </w:p>
    <w:p w14:paraId="1F1F7C1D" w14:textId="77777777" w:rsidR="00206B9E" w:rsidRDefault="30BEBA86" w:rsidP="00206B9E">
      <w:pPr>
        <w:rPr>
          <w:rFonts w:eastAsiaTheme="minorEastAsia"/>
          <w:color w:val="000000" w:themeColor="text1"/>
        </w:rPr>
      </w:pPr>
      <w:r w:rsidRPr="1FC98660">
        <w:rPr>
          <w:rFonts w:eastAsiaTheme="minorEastAsia"/>
          <w:color w:val="000000" w:themeColor="text1"/>
        </w:rPr>
        <w:t xml:space="preserve">The rate of people with learning disability was the same for Lancashire and South Cumbria (0.6%) as it was for England (0.6%). However, standardised rates showed that in IMD 1 it was over 0.9%, higher than England’s average, and lower in IMD 10 at approx. 0.35%. Nationally, people with learning disabilities have a median age at death of 62 years, which is over 20 years less than the general population, and for 49% of deaths it </w:t>
      </w:r>
      <w:r w:rsidRPr="1FC98660">
        <w:rPr>
          <w:rFonts w:eastAsiaTheme="minorEastAsia"/>
          <w:color w:val="000000" w:themeColor="text1"/>
        </w:rPr>
        <w:lastRenderedPageBreak/>
        <w:t xml:space="preserve">was found that they could have been prevented by good quality healthcare, as compared to 22% in the general population. </w:t>
      </w:r>
      <w:r w:rsidR="00206B9E" w:rsidRPr="1FC98660">
        <w:rPr>
          <w:rStyle w:val="FootnoteReference"/>
          <w:rFonts w:eastAsiaTheme="minorEastAsia"/>
          <w:color w:val="000000" w:themeColor="text1"/>
        </w:rPr>
        <w:footnoteReference w:id="23"/>
      </w:r>
      <w:r w:rsidRPr="1FC98660">
        <w:rPr>
          <w:rFonts w:eastAsiaTheme="minorEastAsia"/>
          <w:color w:val="000000" w:themeColor="text1"/>
        </w:rPr>
        <w:t xml:space="preserve"> They are also less likely to be in paid employment, more likely to live in poverty, and more likely to experience chronic loneliness, as well as increased likelihood of bullying and discrimination. </w:t>
      </w:r>
      <w:r w:rsidR="00206B9E" w:rsidRPr="1FC98660">
        <w:rPr>
          <w:rStyle w:val="FootnoteReference"/>
          <w:rFonts w:eastAsiaTheme="minorEastAsia"/>
          <w:color w:val="000000" w:themeColor="text1"/>
        </w:rPr>
        <w:footnoteReference w:id="24"/>
      </w:r>
    </w:p>
    <w:p w14:paraId="6B3A0038" w14:textId="27F84CC6" w:rsidR="00BD4121" w:rsidRPr="00BD4121" w:rsidRDefault="00191363" w:rsidP="00191363">
      <w:r w:rsidRPr="00206B9E">
        <w:t>Barriers to healthcare for people with LD&amp;A include communication difficulties, lack of accessible information, and insufficient reasonable adjustments within services. These barriers can result in late diagnosis, poorer management of long-term conditions, and reduced uptake of preventive care. People with LD&amp;A are also more likely to experience multiple long-term conditions and co-morbidities, further increasing their risk of poor health outcomes. National and local strategies emphasise the importance of annual health checks, personalised care planning, and co-production with people with LD&amp;A and their families to improve access and outcomes.</w:t>
      </w:r>
    </w:p>
    <w:p w14:paraId="44A5B572" w14:textId="651EDE53" w:rsidR="00506669" w:rsidRPr="00504AB2" w:rsidRDefault="00506669" w:rsidP="00506669">
      <w:pPr>
        <w:pStyle w:val="Style1"/>
      </w:pPr>
      <w:bookmarkStart w:id="28" w:name="_Toc214446981"/>
      <w:bookmarkStart w:id="29" w:name="_Toc214447008"/>
      <w:bookmarkStart w:id="30" w:name="_Toc214460953"/>
      <w:bookmarkStart w:id="31" w:name="_Toc220937611"/>
      <w:r w:rsidRPr="00504AB2">
        <w:rPr>
          <w:noProof/>
        </w:rPr>
        <w:lastRenderedPageBreak/>
        <mc:AlternateContent>
          <mc:Choice Requires="wps">
            <w:drawing>
              <wp:anchor distT="45720" distB="45720" distL="114300" distR="114300" simplePos="0" relativeHeight="251655680" behindDoc="0" locked="0" layoutInCell="1" allowOverlap="1" wp14:anchorId="673870B0" wp14:editId="19B02D5D">
                <wp:simplePos x="0" y="0"/>
                <wp:positionH relativeFrom="margin">
                  <wp:align>left</wp:align>
                </wp:positionH>
                <wp:positionV relativeFrom="paragraph">
                  <wp:posOffset>352425</wp:posOffset>
                </wp:positionV>
                <wp:extent cx="5928995" cy="7390130"/>
                <wp:effectExtent l="0" t="0" r="14605"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7390356"/>
                        </a:xfrm>
                        <a:prstGeom prst="rect">
                          <a:avLst/>
                        </a:prstGeom>
                        <a:solidFill>
                          <a:schemeClr val="tx2">
                            <a:lumMod val="10000"/>
                            <a:lumOff val="90000"/>
                          </a:schemeClr>
                        </a:solidFill>
                        <a:ln w="9525">
                          <a:solidFill>
                            <a:srgbClr val="000000"/>
                          </a:solidFill>
                          <a:miter lim="800000"/>
                          <a:headEnd/>
                          <a:tailEnd/>
                        </a:ln>
                      </wps:spPr>
                      <wps:txbx>
                        <w:txbxContent>
                          <w:p w14:paraId="0B86CCE6" w14:textId="77777777" w:rsidR="00506669" w:rsidRPr="00504AB2" w:rsidRDefault="00506669" w:rsidP="00506669">
                            <w:r w:rsidRPr="00504AB2">
                              <w:t>Lancashire and South Cumbria’s population of around 1.7 million people is spread across a large geographical area and varies considerably by location.</w:t>
                            </w:r>
                          </w:p>
                          <w:p w14:paraId="4D6F4B27" w14:textId="77777777" w:rsidR="00506669" w:rsidRPr="00504AB2" w:rsidRDefault="00506669" w:rsidP="00BD0DD8">
                            <w:pPr>
                              <w:pStyle w:val="ListParagraph"/>
                              <w:numPr>
                                <w:ilvl w:val="0"/>
                                <w:numId w:val="19"/>
                              </w:numPr>
                            </w:pPr>
                            <w:r w:rsidRPr="00504AB2">
                              <w:t xml:space="preserve">Overall, the population is slightly older than the England average, particularly in the Fylde Coast, Morecambe Bay and West Lancashire. </w:t>
                            </w:r>
                          </w:p>
                          <w:p w14:paraId="41A2E877" w14:textId="77777777" w:rsidR="00506669" w:rsidRPr="00504AB2" w:rsidRDefault="00506669" w:rsidP="00BD0DD8">
                            <w:pPr>
                              <w:pStyle w:val="ListParagraph"/>
                              <w:numPr>
                                <w:ilvl w:val="0"/>
                                <w:numId w:val="19"/>
                              </w:numPr>
                            </w:pPr>
                            <w:r w:rsidRPr="00504AB2">
                              <w:t xml:space="preserve">Almost 30% of residents live in LSOAs in the ICB that are within the most deprived areas nationally, with a pattern of severe deprivation in urban areas and less deprived rural communities. </w:t>
                            </w:r>
                          </w:p>
                          <w:p w14:paraId="21BCFA25" w14:textId="1FAE954E" w:rsidR="00506669" w:rsidRPr="00504AB2" w:rsidRDefault="00506669" w:rsidP="00BD0DD8">
                            <w:pPr>
                              <w:pStyle w:val="ListParagraph"/>
                              <w:numPr>
                                <w:ilvl w:val="0"/>
                                <w:numId w:val="19"/>
                              </w:numPr>
                            </w:pPr>
                            <w:r w:rsidRPr="00504AB2">
                              <w:t xml:space="preserve">The ethnic composition is also very varied, with Pennine Lancashire having the highest proportion of the population belonging to </w:t>
                            </w:r>
                            <w:r w:rsidR="00832737" w:rsidRPr="00504AB2">
                              <w:t>minority</w:t>
                            </w:r>
                            <w:r w:rsidRPr="00504AB2">
                              <w:t xml:space="preserve"> ethnic groups and West Lancashire the lowest. </w:t>
                            </w:r>
                          </w:p>
                          <w:p w14:paraId="69D519E8" w14:textId="77777777" w:rsidR="00506669" w:rsidRPr="00504AB2" w:rsidRDefault="00506669" w:rsidP="00BD0DD8">
                            <w:pPr>
                              <w:pStyle w:val="ListParagraph"/>
                              <w:numPr>
                                <w:ilvl w:val="0"/>
                                <w:numId w:val="19"/>
                              </w:numPr>
                            </w:pPr>
                            <w:r w:rsidRPr="00504AB2">
                              <w:t xml:space="preserve">ONS projections indicate that the total population will rise gradually in the next two decades, with a declining birth rate being compensation by migration. The growth will be highest in the 65+ year age range. </w:t>
                            </w:r>
                          </w:p>
                          <w:p w14:paraId="2F4FC986" w14:textId="77777777" w:rsidR="00506669" w:rsidRPr="00504AB2" w:rsidRDefault="00506669" w:rsidP="00BD0DD8">
                            <w:pPr>
                              <w:pStyle w:val="ListParagraph"/>
                              <w:numPr>
                                <w:ilvl w:val="0"/>
                                <w:numId w:val="19"/>
                              </w:numPr>
                            </w:pPr>
                            <w:r w:rsidRPr="00504AB2">
                              <w:t>Wider determinants of health affect the population in multiple different ways, with some groups being more likely to experience poorer health access, experience and outcomes.</w:t>
                            </w:r>
                          </w:p>
                          <w:p w14:paraId="22F2F744" w14:textId="77777777" w:rsidR="00506669" w:rsidRPr="00504AB2" w:rsidRDefault="00506669" w:rsidP="00506669">
                            <w:pPr>
                              <w:rPr>
                                <w:b/>
                                <w:bCs/>
                              </w:rPr>
                            </w:pPr>
                            <w:r w:rsidRPr="00504AB2">
                              <w:rPr>
                                <w:b/>
                                <w:bCs/>
                              </w:rPr>
                              <w:t>Implications for health:</w:t>
                            </w:r>
                          </w:p>
                          <w:p w14:paraId="5E04C085" w14:textId="77777777" w:rsidR="00506669" w:rsidRPr="00504AB2" w:rsidRDefault="00506669" w:rsidP="00BD0DD8">
                            <w:pPr>
                              <w:pStyle w:val="ListParagraph"/>
                              <w:numPr>
                                <w:ilvl w:val="0"/>
                                <w:numId w:val="20"/>
                              </w:numPr>
                            </w:pPr>
                            <w:r w:rsidRPr="00504AB2">
                              <w:t>Deprivation has a significant impact on people’s health. This report will include indicators broken down by IMD level to further emphasise this. Consideration should be given to how services can better meet this group’s needs to improve health inequalities.</w:t>
                            </w:r>
                          </w:p>
                          <w:p w14:paraId="0AD24634" w14:textId="77777777" w:rsidR="00FE725C" w:rsidRPr="00504AB2" w:rsidRDefault="001D4C8E" w:rsidP="00BD0DD8">
                            <w:pPr>
                              <w:pStyle w:val="ListParagraph"/>
                              <w:numPr>
                                <w:ilvl w:val="0"/>
                                <w:numId w:val="20"/>
                              </w:numPr>
                            </w:pPr>
                            <w:r w:rsidRPr="00504AB2">
                              <w:t>The population of those aged 65 and over in NHS Lancashire and South Cumbria ICB is growing, leading to higher rates of conditions like dementia, frailty, and mobility issues. with increased demand on health and social care services, especially for older adults. This trend will require more preventive, rehabilitative, and long-term care, particularly for dementia and cardiovascular issues, potentially straining hospitals and community services unless service models adapt.</w:t>
                            </w:r>
                          </w:p>
                          <w:p w14:paraId="6AB28F55" w14:textId="0F0696C2" w:rsidR="00506669" w:rsidRPr="00504AB2" w:rsidRDefault="00506669" w:rsidP="00BD0DD8">
                            <w:pPr>
                              <w:pStyle w:val="ListParagraph"/>
                              <w:numPr>
                                <w:ilvl w:val="0"/>
                                <w:numId w:val="20"/>
                              </w:numPr>
                            </w:pPr>
                            <w:r w:rsidRPr="00504AB2">
                              <w:t>Different population groups (including ethnicity and health inclusion groups) will have very different patterns of health, and so the ICB’s approach to service design and delivery should consider these populations needs individually and thoroughly.</w:t>
                            </w:r>
                          </w:p>
                          <w:p w14:paraId="1767CF05" w14:textId="1BB50B7F" w:rsidR="00506669" w:rsidRPr="00504AB2" w:rsidRDefault="00506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870B0" id="_x0000_s1027" type="#_x0000_t202" style="position:absolute;margin-left:0;margin-top:27.75pt;width:466.85pt;height:581.9pt;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" fillcolor="#dceaf7 [351]">
                <v:textbox>
                  <w:txbxContent>
                    <w:p w14:paraId="0B86CCE6" w14:textId="77777777" w:rsidR="00506669" w:rsidRPr="00504AB2" w:rsidRDefault="00506669" w:rsidP="00506669">
                      <w:r w:rsidRPr="00504AB2">
                        <w:t>Lancashire and South Cumbria’s population of around 1.7 million people is spread across a large geographical area and varies considerably by location.</w:t>
                      </w:r>
                    </w:p>
                    <w:p w14:paraId="4D6F4B27" w14:textId="77777777" w:rsidR="00506669" w:rsidRPr="00504AB2" w:rsidRDefault="00506669" w:rsidP="00BD0DD8">
                      <w:pPr>
                        <w:pStyle w:val="ListParagraph"/>
                        <w:numPr>
                          <w:ilvl w:val="0"/>
                          <w:numId w:val="19"/>
                        </w:numPr>
                      </w:pPr>
                      <w:r w:rsidRPr="00504AB2">
                        <w:t xml:space="preserve">Overall, the population is slightly older than the England average, particularly in the Fylde Coast, Morecambe Bay and West Lancashire. </w:t>
                      </w:r>
                    </w:p>
                    <w:p w14:paraId="41A2E877" w14:textId="77777777" w:rsidR="00506669" w:rsidRPr="00504AB2" w:rsidRDefault="00506669" w:rsidP="00BD0DD8">
                      <w:pPr>
                        <w:pStyle w:val="ListParagraph"/>
                        <w:numPr>
                          <w:ilvl w:val="0"/>
                          <w:numId w:val="19"/>
                        </w:numPr>
                      </w:pPr>
                      <w:r w:rsidRPr="00504AB2">
                        <w:t xml:space="preserve">Almost 30% of residents live in LSOAs in the ICB that are within the most deprived areas nationally, with a pattern of severe deprivation in urban areas and less deprived rural communities. </w:t>
                      </w:r>
                    </w:p>
                    <w:p w14:paraId="21BCFA25" w14:textId="1FAE954E" w:rsidR="00506669" w:rsidRPr="00504AB2" w:rsidRDefault="00506669" w:rsidP="00BD0DD8">
                      <w:pPr>
                        <w:pStyle w:val="ListParagraph"/>
                        <w:numPr>
                          <w:ilvl w:val="0"/>
                          <w:numId w:val="19"/>
                        </w:numPr>
                      </w:pPr>
                      <w:r w:rsidRPr="00504AB2">
                        <w:t xml:space="preserve">The ethnic composition is also very varied, with Pennine Lancashire having the highest proportion of the population belonging to </w:t>
                      </w:r>
                      <w:r w:rsidR="00832737" w:rsidRPr="00504AB2">
                        <w:t>minority</w:t>
                      </w:r>
                      <w:r w:rsidRPr="00504AB2">
                        <w:t xml:space="preserve"> ethnic groups and West Lancashire the lowest. </w:t>
                      </w:r>
                    </w:p>
                    <w:p w14:paraId="69D519E8" w14:textId="77777777" w:rsidR="00506669" w:rsidRPr="00504AB2" w:rsidRDefault="00506669" w:rsidP="00BD0DD8">
                      <w:pPr>
                        <w:pStyle w:val="ListParagraph"/>
                        <w:numPr>
                          <w:ilvl w:val="0"/>
                          <w:numId w:val="19"/>
                        </w:numPr>
                      </w:pPr>
                      <w:r w:rsidRPr="00504AB2">
                        <w:t xml:space="preserve">ONS projections indicate that the total population will rise gradually in the next two decades, with a declining birth rate being compensation by migration. The growth will be highest in the 65+ year age range. </w:t>
                      </w:r>
                    </w:p>
                    <w:p w14:paraId="2F4FC986" w14:textId="77777777" w:rsidR="00506669" w:rsidRPr="00504AB2" w:rsidRDefault="00506669" w:rsidP="00BD0DD8">
                      <w:pPr>
                        <w:pStyle w:val="ListParagraph"/>
                        <w:numPr>
                          <w:ilvl w:val="0"/>
                          <w:numId w:val="19"/>
                        </w:numPr>
                      </w:pPr>
                      <w:r w:rsidRPr="00504AB2">
                        <w:t>Wider determinants of health affect the population in multiple different ways, with some groups being more likely to experience poorer health access, experience and outcomes.</w:t>
                      </w:r>
                    </w:p>
                    <w:p w14:paraId="22F2F744" w14:textId="77777777" w:rsidR="00506669" w:rsidRPr="00504AB2" w:rsidRDefault="00506669" w:rsidP="00506669">
                      <w:pPr>
                        <w:rPr>
                          <w:b/>
                          <w:bCs/>
                        </w:rPr>
                      </w:pPr>
                      <w:r w:rsidRPr="00504AB2">
                        <w:rPr>
                          <w:b/>
                          <w:bCs/>
                        </w:rPr>
                        <w:t>Implications for health:</w:t>
                      </w:r>
                    </w:p>
                    <w:p w14:paraId="5E04C085" w14:textId="77777777" w:rsidR="00506669" w:rsidRPr="00504AB2" w:rsidRDefault="00506669" w:rsidP="00BD0DD8">
                      <w:pPr>
                        <w:pStyle w:val="ListParagraph"/>
                        <w:numPr>
                          <w:ilvl w:val="0"/>
                          <w:numId w:val="20"/>
                        </w:numPr>
                      </w:pPr>
                      <w:r w:rsidRPr="00504AB2">
                        <w:t>Deprivation has a significant impact on people’s health. This report will include indicators broken down by IMD level to further emphasise this. Consideration should be given to how services can better meet this group’s needs to improve health inequalities.</w:t>
                      </w:r>
                    </w:p>
                    <w:p w14:paraId="0AD24634" w14:textId="77777777" w:rsidR="00FE725C" w:rsidRPr="00504AB2" w:rsidRDefault="001D4C8E" w:rsidP="00BD0DD8">
                      <w:pPr>
                        <w:pStyle w:val="ListParagraph"/>
                        <w:numPr>
                          <w:ilvl w:val="0"/>
                          <w:numId w:val="20"/>
                        </w:numPr>
                      </w:pPr>
                      <w:r w:rsidRPr="00504AB2">
                        <w:t>The population of those aged 65 and over in NHS Lancashire and South Cumbria ICB is growing, leading to higher rates of conditions like dementia, frailty, and mobility issues. with increased demand on health and social care services, especially for older adults. This trend will require more preventive, rehabilitative, and long-term care, particularly for dementia and cardiovascular issues, potentially straining hospitals and community services unless service models adapt.</w:t>
                      </w:r>
                    </w:p>
                    <w:p w14:paraId="6AB28F55" w14:textId="0F0696C2" w:rsidR="00506669" w:rsidRPr="00504AB2" w:rsidRDefault="00506669" w:rsidP="00BD0DD8">
                      <w:pPr>
                        <w:pStyle w:val="ListParagraph"/>
                        <w:numPr>
                          <w:ilvl w:val="0"/>
                          <w:numId w:val="20"/>
                        </w:numPr>
                      </w:pPr>
                      <w:r w:rsidRPr="00504AB2">
                        <w:t>Different population groups (including ethnicity and health inclusion groups) will have very different patterns of health, and so the ICB’s approach to service design and delivery should consider these populations needs individually and thoroughly.</w:t>
                      </w:r>
                    </w:p>
                    <w:p w14:paraId="1767CF05" w14:textId="1BB50B7F" w:rsidR="00506669" w:rsidRPr="00504AB2" w:rsidRDefault="00506669"/>
                  </w:txbxContent>
                </v:textbox>
                <w10:wrap type="topAndBottom" anchorx="margin"/>
              </v:shape>
            </w:pict>
          </mc:Fallback>
        </mc:AlternateContent>
      </w:r>
      <w:r w:rsidR="00BD7F18" w:rsidRPr="00504AB2">
        <w:t>Demographics summary and key points for consideration:</w:t>
      </w:r>
      <w:bookmarkEnd w:id="28"/>
      <w:bookmarkEnd w:id="29"/>
      <w:bookmarkEnd w:id="30"/>
      <w:bookmarkEnd w:id="31"/>
    </w:p>
    <w:p w14:paraId="0A5FF520" w14:textId="08E8AA75" w:rsidR="00506669" w:rsidRDefault="00506669" w:rsidP="111A65C7">
      <w:pPr>
        <w:pStyle w:val="HNAHeader1"/>
      </w:pPr>
    </w:p>
    <w:p w14:paraId="32C6C597" w14:textId="77777777" w:rsidR="00361A81" w:rsidRDefault="00361A81" w:rsidP="111A65C7">
      <w:pPr>
        <w:pStyle w:val="HNAHeader1"/>
      </w:pPr>
    </w:p>
    <w:p w14:paraId="509D8062" w14:textId="77777777" w:rsidR="00361A81" w:rsidRPr="00504AB2" w:rsidRDefault="00361A81" w:rsidP="111A65C7">
      <w:pPr>
        <w:pStyle w:val="HNAHeader1"/>
      </w:pPr>
    </w:p>
    <w:p w14:paraId="789945D7" w14:textId="24C5EBBB" w:rsidR="2A77D681" w:rsidRDefault="2A77D681" w:rsidP="2A77D681">
      <w:pPr>
        <w:pStyle w:val="HNAHeader1"/>
      </w:pPr>
    </w:p>
    <w:p w14:paraId="34954869" w14:textId="6D93BDF7" w:rsidR="00D14E9A" w:rsidRPr="007E15E0" w:rsidRDefault="00D14E9A" w:rsidP="007E15E0">
      <w:pPr>
        <w:pStyle w:val="Heading1"/>
      </w:pPr>
      <w:bookmarkStart w:id="32" w:name="_Toc214446982"/>
      <w:bookmarkStart w:id="33" w:name="_Toc214447009"/>
      <w:bookmarkStart w:id="34" w:name="_Toc214460954"/>
      <w:bookmarkStart w:id="35" w:name="_Toc220937612"/>
      <w:r w:rsidRPr="007E15E0">
        <w:t>Mortality and life expectancy</w:t>
      </w:r>
      <w:bookmarkEnd w:id="32"/>
      <w:bookmarkEnd w:id="33"/>
      <w:bookmarkEnd w:id="34"/>
      <w:bookmarkEnd w:id="35"/>
    </w:p>
    <w:p w14:paraId="6ADB0F3E" w14:textId="13C9841E" w:rsidR="00D14E9A" w:rsidRPr="00504AB2" w:rsidRDefault="00C87068" w:rsidP="00C93069">
      <w:pPr>
        <w:pStyle w:val="Heading2"/>
        <w:rPr>
          <w:u w:val="single"/>
        </w:rPr>
      </w:pPr>
      <w:bookmarkStart w:id="36" w:name="_Toc214447010"/>
      <w:bookmarkStart w:id="37" w:name="_Toc214460955"/>
      <w:bookmarkStart w:id="38" w:name="_Toc220937613"/>
      <w:r w:rsidRPr="00504AB2">
        <w:t>Life expectancy</w:t>
      </w:r>
      <w:bookmarkEnd w:id="36"/>
      <w:bookmarkEnd w:id="37"/>
      <w:bookmarkEnd w:id="38"/>
    </w:p>
    <w:p w14:paraId="76D290D0" w14:textId="37080259" w:rsidR="08E1FADC" w:rsidRPr="00504AB2" w:rsidRDefault="08E1FADC" w:rsidP="384425BE">
      <w:pPr>
        <w:pStyle w:val="HNAHeader1"/>
      </w:pPr>
      <w:r>
        <w:t xml:space="preserve">Life expectancy (LE) in NHS Lancashire &amp; </w:t>
      </w:r>
      <w:r w:rsidR="09050414">
        <w:t xml:space="preserve">ye  </w:t>
      </w:r>
      <w:proofErr w:type="spellStart"/>
      <w:r w:rsidR="1433215C">
        <w:t>f</w:t>
      </w:r>
      <w:r>
        <w:t>South</w:t>
      </w:r>
      <w:proofErr w:type="spellEnd"/>
      <w:r>
        <w:t xml:space="preserve"> Cumbria ICB has </w:t>
      </w:r>
      <w:r w:rsidR="6D9A22C6">
        <w:t xml:space="preserve">been </w:t>
      </w:r>
      <w:r>
        <w:t>consistently l</w:t>
      </w:r>
      <w:r w:rsidR="3FCA66C9">
        <w:t xml:space="preserve">ower than </w:t>
      </w:r>
      <w:r>
        <w:t>the England average for both males and females. From 2019 to 2022, both the ICB and England experienced a marked drop in LE in 2020, reflecting the impact of the COVID-19 pandemic, with only partial recovery by 2022. The gap between local and national LE persisted throughout, and the well-established female advantage in LE remained evident. This pattern highlights both the acute effects of the pandemic and the enduring structural drivers of lower life expectancy in the region, such as deprivation and chronic disease burden.</w:t>
      </w:r>
    </w:p>
    <w:p w14:paraId="02A08650" w14:textId="1F7E0276" w:rsidR="384425BE" w:rsidRPr="00504AB2" w:rsidRDefault="384425BE" w:rsidP="384425BE">
      <w:pPr>
        <w:pStyle w:val="HNAHeader1"/>
      </w:pPr>
    </w:p>
    <w:p w14:paraId="292BE7F4" w14:textId="423AF9DE" w:rsidR="08E1FADC" w:rsidRPr="00504AB2" w:rsidRDefault="08E1FADC" w:rsidP="384425BE">
      <w:pPr>
        <w:pStyle w:val="HNAHeader1"/>
        <w:ind w:left="792"/>
      </w:pPr>
      <w:r w:rsidRPr="00504AB2">
        <w:rPr>
          <w:noProof/>
        </w:rPr>
        <w:drawing>
          <wp:inline distT="0" distB="0" distL="0" distR="0" wp14:anchorId="446BD518" wp14:editId="3DF9F81A">
            <wp:extent cx="5724525" cy="4019550"/>
            <wp:effectExtent l="0" t="0" r="0" b="0"/>
            <wp:docPr id="10829282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28231" name=""/>
                    <pic:cNvPicPr/>
                  </pic:nvPicPr>
                  <pic:blipFill>
                    <a:blip r:embed="rId32">
                      <a:extLst>
                        <a:ext uri="{28A0092B-C50C-407E-A947-70E740481C1C}">
                          <a14:useLocalDpi xmlns:a14="http://schemas.microsoft.com/office/drawing/2010/main" val="0"/>
                        </a:ext>
                      </a:extLst>
                    </a:blip>
                    <a:stretch>
                      <a:fillRect/>
                    </a:stretch>
                  </pic:blipFill>
                  <pic:spPr>
                    <a:xfrm>
                      <a:off x="0" y="0"/>
                      <a:ext cx="5724525" cy="4019550"/>
                    </a:xfrm>
                    <a:prstGeom prst="rect">
                      <a:avLst/>
                    </a:prstGeom>
                  </pic:spPr>
                </pic:pic>
              </a:graphicData>
            </a:graphic>
          </wp:inline>
        </w:drawing>
      </w:r>
    </w:p>
    <w:p w14:paraId="7CDEFD25" w14:textId="1A9C2137" w:rsidR="114E4973" w:rsidRPr="00504AB2" w:rsidRDefault="114E4973" w:rsidP="00CB486F">
      <w:pPr>
        <w:pStyle w:val="HNAHeader1"/>
      </w:pPr>
      <w:r w:rsidRPr="00504AB2">
        <w:t>Within NHS Lancashire and South Cumbria, the largest contributors to the life expectancy gap between the least and most deprived quintiles were circulatory diseases, cancers, and respiratory conditions. Circulatory causes alone accounted for nearly a quarter of the gap for males and a substantial share for females. External causes (such as injuries) and COVID-19 also feature prominently, reflecting both the pandemic’s impact and the burden of injury-related mortality.</w:t>
      </w:r>
    </w:p>
    <w:p w14:paraId="5B6C4338" w14:textId="146CBB0D" w:rsidR="62D3EFDC" w:rsidRPr="00504AB2" w:rsidRDefault="62D3EFDC" w:rsidP="00CE27DF">
      <w:pPr>
        <w:pStyle w:val="HNAHeader1"/>
        <w:ind w:left="792"/>
      </w:pPr>
      <w:r w:rsidRPr="00504AB2">
        <w:rPr>
          <w:noProof/>
        </w:rPr>
        <w:lastRenderedPageBreak/>
        <w:drawing>
          <wp:inline distT="0" distB="0" distL="0" distR="0" wp14:anchorId="01EE291C" wp14:editId="3727A1F0">
            <wp:extent cx="5724525" cy="4029075"/>
            <wp:effectExtent l="0" t="0" r="0" b="0"/>
            <wp:docPr id="1301794474" name="drawing" descr="A graph of a number of people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94474" name=""/>
                    <pic:cNvPicPr/>
                  </pic:nvPicPr>
                  <pic:blipFill>
                    <a:blip r:embed="rId33">
                      <a:extLst>
                        <a:ext uri="{28A0092B-C50C-407E-A947-70E740481C1C}">
                          <a14:useLocalDpi xmlns:a14="http://schemas.microsoft.com/office/drawing/2010/main" val="0"/>
                        </a:ext>
                      </a:extLst>
                    </a:blip>
                    <a:stretch>
                      <a:fillRect/>
                    </a:stretch>
                  </pic:blipFill>
                  <pic:spPr>
                    <a:xfrm>
                      <a:off x="0" y="0"/>
                      <a:ext cx="5724525" cy="4029075"/>
                    </a:xfrm>
                    <a:prstGeom prst="rect">
                      <a:avLst/>
                    </a:prstGeom>
                  </pic:spPr>
                </pic:pic>
              </a:graphicData>
            </a:graphic>
          </wp:inline>
        </w:drawing>
      </w:r>
    </w:p>
    <w:p w14:paraId="132564F3" w14:textId="6F65B940" w:rsidR="62D3EFDC" w:rsidRPr="00504AB2" w:rsidRDefault="62D3EFDC" w:rsidP="00CB486F">
      <w:pPr>
        <w:pStyle w:val="HNAHeader1"/>
      </w:pPr>
      <w:r w:rsidRPr="00504AB2">
        <w:t xml:space="preserve">When comparing to England, circulatory diseases remain the dominant contributor to the LE gap, but the relative share of external causes and respiratory conditions is higher locally than nationally. </w:t>
      </w:r>
      <w:r w:rsidRPr="00504AB2">
        <w:rPr>
          <w:noProof/>
        </w:rPr>
        <w:drawing>
          <wp:inline distT="0" distB="0" distL="0" distR="0" wp14:anchorId="0A7BE044" wp14:editId="5771DDC5">
            <wp:extent cx="5724525" cy="4029075"/>
            <wp:effectExtent l="0" t="0" r="0" b="0"/>
            <wp:docPr id="1729334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34047" name=""/>
                    <pic:cNvPicPr/>
                  </pic:nvPicPr>
                  <pic:blipFill>
                    <a:blip r:embed="rId34">
                      <a:extLst>
                        <a:ext uri="{28A0092B-C50C-407E-A947-70E740481C1C}">
                          <a14:useLocalDpi xmlns:a14="http://schemas.microsoft.com/office/drawing/2010/main" val="0"/>
                        </a:ext>
                      </a:extLst>
                    </a:blip>
                    <a:stretch>
                      <a:fillRect/>
                    </a:stretch>
                  </pic:blipFill>
                  <pic:spPr>
                    <a:xfrm>
                      <a:off x="0" y="0"/>
                      <a:ext cx="5724525" cy="4029075"/>
                    </a:xfrm>
                    <a:prstGeom prst="rect">
                      <a:avLst/>
                    </a:prstGeom>
                  </pic:spPr>
                </pic:pic>
              </a:graphicData>
            </a:graphic>
          </wp:inline>
        </w:drawing>
      </w:r>
    </w:p>
    <w:p w14:paraId="6409EB27" w14:textId="69BCAEA2" w:rsidR="28703AB2" w:rsidRPr="00504AB2" w:rsidRDefault="28703AB2" w:rsidP="00CB486F">
      <w:pPr>
        <w:pStyle w:val="Heading3"/>
      </w:pPr>
      <w:r w:rsidRPr="00504AB2">
        <w:lastRenderedPageBreak/>
        <w:t>Life Expectancy by Deprivation</w:t>
      </w:r>
    </w:p>
    <w:p w14:paraId="5B19745A" w14:textId="0985DA28" w:rsidR="28703AB2" w:rsidRPr="00504AB2" w:rsidRDefault="28703AB2" w:rsidP="384425BE">
      <w:pPr>
        <w:spacing w:before="240" w:after="240"/>
      </w:pPr>
      <w:r w:rsidRPr="00504AB2">
        <w:t xml:space="preserve">Analysis of life expectancy (LE) by deprivation decile within NHS Lancashire &amp; South Cumbria ICB reveals a pronounced and persistent gradient across the period 2019 to 2022. The data, stratified by sex and deprivation decile (where decile 1 represents the most deprived and decile 10 the least deprived), provide a clear picture of the relationship between </w:t>
      </w:r>
      <w:r w:rsidR="0A07ECCA" w:rsidRPr="00504AB2">
        <w:t xml:space="preserve">deprivation </w:t>
      </w:r>
      <w:r w:rsidRPr="00504AB2">
        <w:t xml:space="preserve">and LE in </w:t>
      </w:r>
      <w:r w:rsidR="1CCFC4CC" w:rsidRPr="00504AB2">
        <w:t>within the ICB</w:t>
      </w:r>
      <w:r w:rsidRPr="00504AB2">
        <w:t>.</w:t>
      </w:r>
    </w:p>
    <w:p w14:paraId="2B916CEB" w14:textId="65B052A7" w:rsidR="28703AB2" w:rsidRPr="00504AB2" w:rsidRDefault="28703AB2" w:rsidP="384425BE">
      <w:pPr>
        <w:spacing w:before="240" w:after="240"/>
      </w:pPr>
      <w:r w:rsidRPr="00504AB2">
        <w:t>Across all years examined, there is a consistent and substantial difference in life expectancy between the most and least deprived deciles. For both males and females, those living in the most deprived areas (decile 1) have markedly lower life expectancy at birth compared to those in the least deprived areas (decile 10). This gradient is evident in each year from 2019 to 2022, with no year showing a reversal or narrowing of the gap.</w:t>
      </w:r>
    </w:p>
    <w:p w14:paraId="7A83FA33" w14:textId="52915559" w:rsidR="28703AB2" w:rsidRPr="00504AB2" w:rsidRDefault="28703AB2" w:rsidP="384425BE">
      <w:pPr>
        <w:spacing w:before="240" w:after="240"/>
      </w:pPr>
      <w:r w:rsidRPr="00504AB2">
        <w:t>In 2019, the difference in life expectancy between the most and least deprived deciles was substantial for both sexes. For males, life expectancy in decile 1 was approximately 73.0 years, compared to 83.5 years in decile 10—a gap of around 10.5 years. For females, the corresponding figures were 78.4 years in decile 1 and 85.1 years in decile 10, a gap of about 6.7 years. These differences persisted throughout the period, with only minor year-to-year fluctuations.</w:t>
      </w:r>
    </w:p>
    <w:p w14:paraId="6943F870" w14:textId="28B1D66E" w:rsidR="28703AB2" w:rsidRPr="00504AB2" w:rsidRDefault="28703AB2" w:rsidP="384425BE">
      <w:pPr>
        <w:spacing w:before="240" w:after="240"/>
      </w:pPr>
      <w:r w:rsidRPr="00504AB2">
        <w:t>The data show a notable decline in life expectancy across all deprivation deciles in 2020, coinciding with the first year of the COVID-19 pandemic. This decline was observed for both males and females and affected all deprivation groups, although the absolute reduction in life expectancy varied slightly between deciles. Despite this overall decline, the relative ranking of deciles remained unchanged: the most deprived continued to have the lowest life expectancy, and the least deprived the highest.</w:t>
      </w:r>
    </w:p>
    <w:p w14:paraId="4761E1F5" w14:textId="0394DB5D" w:rsidR="28703AB2" w:rsidRPr="00504AB2" w:rsidRDefault="28703AB2" w:rsidP="384425BE">
      <w:pPr>
        <w:spacing w:before="240" w:after="240"/>
      </w:pPr>
      <w:r w:rsidRPr="00504AB2">
        <w:t>Following the sharp decline in 2020, there was some recovery in life expectancy in 2021 and 2022. However, by 2022, life expectancy had not returned to pre-pandemic (2019) levels in most deciles. The deprivation gradient remained clearly visible in each year, with the gap between the most and least deprived deciles showing little evidence of narrowing over the four-year period.</w:t>
      </w:r>
    </w:p>
    <w:p w14:paraId="4C0F3DD5" w14:textId="40DDDAD8" w:rsidR="10D3F28B" w:rsidRPr="00504AB2" w:rsidRDefault="10D3F28B" w:rsidP="384425BE">
      <w:pPr>
        <w:pStyle w:val="HNAHeader1"/>
        <w:ind w:left="792"/>
      </w:pPr>
      <w:r w:rsidRPr="00504AB2">
        <w:rPr>
          <w:noProof/>
        </w:rPr>
        <w:lastRenderedPageBreak/>
        <w:drawing>
          <wp:inline distT="0" distB="0" distL="0" distR="0" wp14:anchorId="2FB528C9" wp14:editId="47D22C40">
            <wp:extent cx="5724525" cy="4019550"/>
            <wp:effectExtent l="0" t="0" r="0" b="0"/>
            <wp:docPr id="972237930" name="drawing"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37930" name=""/>
                    <pic:cNvPicPr/>
                  </pic:nvPicPr>
                  <pic:blipFill>
                    <a:blip r:embed="rId35">
                      <a:extLst>
                        <a:ext uri="{28A0092B-C50C-407E-A947-70E740481C1C}">
                          <a14:useLocalDpi xmlns:a14="http://schemas.microsoft.com/office/drawing/2010/main" val="0"/>
                        </a:ext>
                      </a:extLst>
                    </a:blip>
                    <a:stretch>
                      <a:fillRect/>
                    </a:stretch>
                  </pic:blipFill>
                  <pic:spPr>
                    <a:xfrm>
                      <a:off x="0" y="0"/>
                      <a:ext cx="5724525" cy="4019550"/>
                    </a:xfrm>
                    <a:prstGeom prst="rect">
                      <a:avLst/>
                    </a:prstGeom>
                  </pic:spPr>
                </pic:pic>
              </a:graphicData>
            </a:graphic>
          </wp:inline>
        </w:drawing>
      </w:r>
    </w:p>
    <w:p w14:paraId="39E77A5C" w14:textId="4C29DBE0" w:rsidR="00C87068" w:rsidRPr="00504AB2" w:rsidRDefault="00C87068" w:rsidP="00C93069">
      <w:pPr>
        <w:pStyle w:val="Heading2"/>
        <w:rPr>
          <w:u w:val="single"/>
        </w:rPr>
      </w:pPr>
      <w:bookmarkStart w:id="39" w:name="_Toc214447011"/>
      <w:bookmarkStart w:id="40" w:name="_Toc214460956"/>
      <w:bookmarkStart w:id="41" w:name="_Toc220937614"/>
      <w:r w:rsidRPr="00504AB2">
        <w:t>Healthy life expectancy</w:t>
      </w:r>
      <w:bookmarkEnd w:id="39"/>
      <w:bookmarkEnd w:id="40"/>
      <w:bookmarkEnd w:id="41"/>
    </w:p>
    <w:p w14:paraId="3667B45E" w14:textId="2F487F4D" w:rsidR="00A822D0" w:rsidRDefault="25878CAD" w:rsidP="384425BE">
      <w:pPr>
        <w:pStyle w:val="HNAHeader1"/>
      </w:pPr>
      <w:r>
        <w:t xml:space="preserve">Healthy life expectancy </w:t>
      </w:r>
      <w:r w:rsidRPr="00A822D0">
        <w:t>be defined as ‘a measure of the average number of years a person would expect to live in good health based on contemporary mortality rates and prevalence of self-reported good health’.</w:t>
      </w:r>
      <w:r>
        <w:t xml:space="preserve"> </w:t>
      </w:r>
      <w:r w:rsidR="00A822D0">
        <w:rPr>
          <w:rStyle w:val="FootnoteReference"/>
        </w:rPr>
        <w:footnoteReference w:id="25"/>
      </w:r>
    </w:p>
    <w:p w14:paraId="4E344A9E" w14:textId="6413D37C" w:rsidR="334BBAEC" w:rsidRDefault="334BBAEC" w:rsidP="384425BE">
      <w:pPr>
        <w:pStyle w:val="HNAHeader1"/>
      </w:pPr>
      <w:r w:rsidRPr="00504AB2">
        <w:t xml:space="preserve">Healthy life expectancy (HLE) data for </w:t>
      </w:r>
      <w:r w:rsidR="0068536B">
        <w:t xml:space="preserve">Lancashire and South Cumbria from </w:t>
      </w:r>
      <w:r w:rsidRPr="00504AB2">
        <w:t xml:space="preserve">2021–23 show substantial variation between local authorities and between sexes. HLE is consistently lower than LE, indicating that a significant proportion of life is spent in poorer health. For example, HLE for </w:t>
      </w:r>
      <w:proofErr w:type="gramStart"/>
      <w:r w:rsidRPr="00504AB2">
        <w:t>males</w:t>
      </w:r>
      <w:proofErr w:type="gramEnd"/>
      <w:r w:rsidRPr="00504AB2">
        <w:t xml:space="preserve"> ranges from 51.8 years in Blackpool to 63.2 years in Westmorland &amp; Furness, while for females it ranges from 52.9 years in Blackpool to 64.4 years in Westmorland &amp; Furness.</w:t>
      </w:r>
    </w:p>
    <w:p w14:paraId="28DE0125" w14:textId="47AF900F" w:rsidR="334BBAEC" w:rsidRPr="00504AB2" w:rsidRDefault="334BBAEC" w:rsidP="384425BE">
      <w:pPr>
        <w:pStyle w:val="HNAHeader1"/>
      </w:pPr>
      <w:r w:rsidRPr="00504AB2">
        <w:rPr>
          <w:noProof/>
        </w:rPr>
        <w:lastRenderedPageBreak/>
        <w:drawing>
          <wp:inline distT="0" distB="0" distL="0" distR="0" wp14:anchorId="5F583178" wp14:editId="19B2EBF5">
            <wp:extent cx="5724525" cy="4019550"/>
            <wp:effectExtent l="0" t="0" r="0" b="0"/>
            <wp:docPr id="89652839" name="drawing"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2839" name=""/>
                    <pic:cNvPicPr/>
                  </pic:nvPicPr>
                  <pic:blipFill>
                    <a:blip r:embed="rId36">
                      <a:extLst>
                        <a:ext uri="{28A0092B-C50C-407E-A947-70E740481C1C}">
                          <a14:useLocalDpi xmlns:a14="http://schemas.microsoft.com/office/drawing/2010/main" val="0"/>
                        </a:ext>
                      </a:extLst>
                    </a:blip>
                    <a:stretch>
                      <a:fillRect/>
                    </a:stretch>
                  </pic:blipFill>
                  <pic:spPr>
                    <a:xfrm>
                      <a:off x="0" y="0"/>
                      <a:ext cx="5724525" cy="4019550"/>
                    </a:xfrm>
                    <a:prstGeom prst="rect">
                      <a:avLst/>
                    </a:prstGeom>
                  </pic:spPr>
                </pic:pic>
              </a:graphicData>
            </a:graphic>
          </wp:inline>
        </w:drawing>
      </w:r>
    </w:p>
    <w:p w14:paraId="2455298F" w14:textId="37C835EA" w:rsidR="334BBAEC" w:rsidRPr="00504AB2" w:rsidRDefault="334BBAEC" w:rsidP="384425BE">
      <w:pPr>
        <w:pStyle w:val="HNAHeader1"/>
      </w:pPr>
      <w:r w:rsidRPr="00504AB2">
        <w:rPr>
          <w:noProof/>
        </w:rPr>
        <w:drawing>
          <wp:inline distT="0" distB="0" distL="0" distR="0" wp14:anchorId="6F965403" wp14:editId="2907FE2C">
            <wp:extent cx="5724525" cy="4057650"/>
            <wp:effectExtent l="0" t="0" r="0" b="0"/>
            <wp:docPr id="629060525" name="drawing" descr="A graph of a number of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60525" name=""/>
                    <pic:cNvPicPr/>
                  </pic:nvPicPr>
                  <pic:blipFill>
                    <a:blip r:embed="rId37">
                      <a:extLst>
                        <a:ext uri="{28A0092B-C50C-407E-A947-70E740481C1C}">
                          <a14:useLocalDpi xmlns:a14="http://schemas.microsoft.com/office/drawing/2010/main" val="0"/>
                        </a:ext>
                      </a:extLst>
                    </a:blip>
                    <a:stretch>
                      <a:fillRect/>
                    </a:stretch>
                  </pic:blipFill>
                  <pic:spPr>
                    <a:xfrm>
                      <a:off x="0" y="0"/>
                      <a:ext cx="5724525" cy="4057650"/>
                    </a:xfrm>
                    <a:prstGeom prst="rect">
                      <a:avLst/>
                    </a:prstGeom>
                  </pic:spPr>
                </pic:pic>
              </a:graphicData>
            </a:graphic>
          </wp:inline>
        </w:drawing>
      </w:r>
    </w:p>
    <w:p w14:paraId="6423DBFC" w14:textId="0867D291" w:rsidR="0018763F" w:rsidRDefault="00A261F1" w:rsidP="0018763F">
      <w:pPr>
        <w:pStyle w:val="Heading3"/>
      </w:pPr>
      <w:r>
        <w:lastRenderedPageBreak/>
        <w:t>Self-Reported</w:t>
      </w:r>
      <w:r w:rsidR="0018763F">
        <w:t xml:space="preserve"> Health and HLE</w:t>
      </w:r>
    </w:p>
    <w:p w14:paraId="239B09DD" w14:textId="69A2628F" w:rsidR="0018763F" w:rsidRDefault="0018763F" w:rsidP="0018763F">
      <w:r w:rsidRPr="0018763F">
        <w:t>Healthy life expectancy is calculated using mortality rates and self-reported health. This report will further explore mortality rates, but it is important to note that changes in self-reported good health prevalence have a larger impact on HLE than changes in mortality rates.</w:t>
      </w:r>
    </w:p>
    <w:p w14:paraId="309A3284" w14:textId="7D338E69" w:rsidR="000643B3" w:rsidRDefault="0018763F" w:rsidP="0018763F">
      <w:r>
        <w:t>Self-reported health is more difficult to measure than mortality rates</w:t>
      </w:r>
      <w:r w:rsidR="008B3514">
        <w:t xml:space="preserve">. Evidence collated from research literature by the Office </w:t>
      </w:r>
      <w:r w:rsidR="00EF182B">
        <w:t>for Health Improvement and Disparities found that the evidence</w:t>
      </w:r>
      <w:r w:rsidR="008B3514" w:rsidRPr="008B3514">
        <w:t xml:space="preserve"> suggests </w:t>
      </w:r>
      <w:r w:rsidR="00EF182B">
        <w:t xml:space="preserve">that </w:t>
      </w:r>
      <w:r w:rsidR="008B3514" w:rsidRPr="008B3514">
        <w:t>chronic health conditions and multimorbidity are the clearest drivers of self-reported poor health</w:t>
      </w:r>
      <w:r w:rsidR="00EF182B">
        <w:t xml:space="preserve">. </w:t>
      </w:r>
      <w:r w:rsidR="00387807">
        <w:t xml:space="preserve">Conditions were weighted by association with poor health and prevalence of conditions, with the table below </w:t>
      </w:r>
      <w:r w:rsidR="00F527A3">
        <w:t>listing the most impactful conditions on self-reported health.</w:t>
      </w:r>
      <w:r w:rsidR="00387807">
        <w:t xml:space="preserve"> </w:t>
      </w:r>
    </w:p>
    <w:p w14:paraId="1498D4D9" w14:textId="78CD08E0" w:rsidR="000643B3" w:rsidRDefault="00F527A3" w:rsidP="0018763F">
      <w:r>
        <w:rPr>
          <w:noProof/>
        </w:rPr>
        <mc:AlternateContent>
          <mc:Choice Requires="wps">
            <w:drawing>
              <wp:anchor distT="45720" distB="45720" distL="114300" distR="114300" simplePos="0" relativeHeight="251692544" behindDoc="0" locked="0" layoutInCell="1" allowOverlap="1" wp14:anchorId="3C3475EC" wp14:editId="06ED92DF">
                <wp:simplePos x="0" y="0"/>
                <wp:positionH relativeFrom="margin">
                  <wp:posOffset>4873860</wp:posOffset>
                </wp:positionH>
                <wp:positionV relativeFrom="paragraph">
                  <wp:posOffset>3408495</wp:posOffset>
                </wp:positionV>
                <wp:extent cx="1000800" cy="280800"/>
                <wp:effectExtent l="0" t="0" r="8890" b="5080"/>
                <wp:wrapNone/>
                <wp:docPr id="1144849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800" cy="280800"/>
                        </a:xfrm>
                        <a:prstGeom prst="rect">
                          <a:avLst/>
                        </a:prstGeom>
                        <a:solidFill>
                          <a:srgbClr val="FFFFFF"/>
                        </a:solidFill>
                        <a:ln w="9525">
                          <a:noFill/>
                          <a:miter lim="800000"/>
                          <a:headEnd/>
                          <a:tailEnd/>
                        </a:ln>
                      </wps:spPr>
                      <wps:txbx>
                        <w:txbxContent>
                          <w:p w14:paraId="20E4C19F" w14:textId="3C6D5E5B" w:rsidR="00F527A3" w:rsidRPr="00F527A3" w:rsidRDefault="00F527A3">
                            <w:pPr>
                              <w:rPr>
                                <w:sz w:val="20"/>
                                <w:szCs w:val="20"/>
                              </w:rPr>
                            </w:pPr>
                            <w:r w:rsidRPr="00F527A3">
                              <w:rPr>
                                <w:sz w:val="20"/>
                                <w:szCs w:val="20"/>
                              </w:rPr>
                              <w:t>Source: OHID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475EC" id="_x0000_s1028" type="#_x0000_t202" style="position:absolute;margin-left:383.75pt;margin-top:268.4pt;width:78.8pt;height:22.1pt;z-index:25169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" stroked="f">
                <v:textbox>
                  <w:txbxContent>
                    <w:p w14:paraId="20E4C19F" w14:textId="3C6D5E5B" w:rsidR="00F527A3" w:rsidRPr="00F527A3" w:rsidRDefault="00F527A3">
                      <w:pPr>
                        <w:rPr>
                          <w:sz w:val="20"/>
                          <w:szCs w:val="20"/>
                        </w:rPr>
                      </w:pPr>
                      <w:r w:rsidRPr="00F527A3">
                        <w:rPr>
                          <w:sz w:val="20"/>
                          <w:szCs w:val="20"/>
                        </w:rPr>
                        <w:t>Source: OHID</w:t>
                      </w:r>
                    </w:p>
                  </w:txbxContent>
                </v:textbox>
                <w10:wrap anchorx="margin"/>
              </v:shape>
            </w:pict>
          </mc:Fallback>
        </mc:AlternateContent>
      </w:r>
      <w:r w:rsidR="00387807" w:rsidRPr="00387807">
        <w:rPr>
          <w:noProof/>
        </w:rPr>
        <w:drawing>
          <wp:inline distT="0" distB="0" distL="0" distR="0" wp14:anchorId="0EDC512B" wp14:editId="18A5EC88">
            <wp:extent cx="5731510" cy="3405505"/>
            <wp:effectExtent l="0" t="0" r="2540" b="4445"/>
            <wp:docPr id="1113695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405505"/>
                    </a:xfrm>
                    <a:prstGeom prst="rect">
                      <a:avLst/>
                    </a:prstGeom>
                    <a:noFill/>
                    <a:ln>
                      <a:noFill/>
                    </a:ln>
                  </pic:spPr>
                </pic:pic>
              </a:graphicData>
            </a:graphic>
          </wp:inline>
        </w:drawing>
      </w:r>
    </w:p>
    <w:p w14:paraId="07923892" w14:textId="77777777" w:rsidR="00F527A3" w:rsidRDefault="00F527A3" w:rsidP="0018763F"/>
    <w:p w14:paraId="1A3D8F90" w14:textId="5B1674F8" w:rsidR="000643B3" w:rsidRDefault="00F527A3" w:rsidP="0018763F">
      <w:r>
        <w:t>It should be noted that most conditions in the table are included in the Quality Outcome Framework (QOF) reporting, and so will be discussed later in this report including prevalence across deprivation deciles. However, musculoskeletal system conditions were found to be the most impactful on self-reported health by a significant gap, and this is not included in QOF reporting. This means that the ICB has limited data on prevalence and outcomes for MSK conditions, including any inequalities present.</w:t>
      </w:r>
    </w:p>
    <w:p w14:paraId="7130E7CC" w14:textId="2714CDB2" w:rsidR="00C87068" w:rsidRPr="00504AB2" w:rsidRDefault="00C87068" w:rsidP="00C93069">
      <w:pPr>
        <w:pStyle w:val="Heading2"/>
        <w:rPr>
          <w:u w:val="single"/>
        </w:rPr>
      </w:pPr>
      <w:bookmarkStart w:id="42" w:name="_Toc214447012"/>
      <w:bookmarkStart w:id="43" w:name="_Toc214460957"/>
      <w:bookmarkStart w:id="44" w:name="_Toc220937615"/>
      <w:r w:rsidRPr="00504AB2">
        <w:t>Mortality indicators</w:t>
      </w:r>
      <w:bookmarkEnd w:id="42"/>
      <w:bookmarkEnd w:id="43"/>
      <w:bookmarkEnd w:id="44"/>
    </w:p>
    <w:p w14:paraId="36F5E107" w14:textId="77777777" w:rsidR="006464E9" w:rsidRPr="00504AB2" w:rsidRDefault="006464E9" w:rsidP="00CB486F">
      <w:pPr>
        <w:pStyle w:val="Heading3"/>
      </w:pPr>
      <w:r w:rsidRPr="00504AB2">
        <w:lastRenderedPageBreak/>
        <w:t>Overall Mortality</w:t>
      </w:r>
    </w:p>
    <w:p w14:paraId="11C68BDC" w14:textId="77777777" w:rsidR="006464E9" w:rsidRPr="006464E9" w:rsidRDefault="006464E9" w:rsidP="00CB486F">
      <w:pPr>
        <w:pStyle w:val="HNAHeader1"/>
      </w:pPr>
      <w:r w:rsidRPr="00504AB2">
        <w:t>In 2024, the age standardised mortality rate for all causes across NHS Lancashire and South Cumbria Integrated Care Board (ICB) was approximately 1,398 deaths per 100,000 persons in the most deprived quintile, compared with 650 deaths per 100,000 in the least deprived quintile. This represents more than a twofold difference in mortality across the socioeconomic gradient.</w:t>
      </w:r>
    </w:p>
    <w:p w14:paraId="08F020E3" w14:textId="77777777" w:rsidR="006464E9" w:rsidRPr="006464E9" w:rsidRDefault="006464E9" w:rsidP="00CB486F">
      <w:pPr>
        <w:pStyle w:val="HNAHeader1"/>
      </w:pPr>
      <w:r w:rsidRPr="00504AB2">
        <w:t>The calculated Slope Index of Inequality (SII) of 937.6 deaths per 100,000 indicates a substantial absolute gap between the most and least deprived areas, while the Relative Index of Inequality (RII) of 1.49 shows that mortality in the most deprived areas is around 50% higher than the ICB average, after accounting for age structure. These measures confirm a pronounced and statistically significant deprivation gradient in mortality across the ICB.</w:t>
      </w:r>
    </w:p>
    <w:p w14:paraId="7F2A4D26" w14:textId="77777777" w:rsidR="006464E9" w:rsidRPr="006464E9" w:rsidRDefault="006464E9" w:rsidP="002762EC">
      <w:pPr>
        <w:pStyle w:val="HNAHeader1"/>
      </w:pPr>
      <w:r w:rsidRPr="00504AB2">
        <w:rPr>
          <w:b/>
        </w:rPr>
        <w:t>Inequality by Deprivation Quintile</w:t>
      </w:r>
    </w:p>
    <w:p w14:paraId="5588B755" w14:textId="4B46E1E0" w:rsidR="006464E9" w:rsidRPr="00504AB2" w:rsidRDefault="006464E9" w:rsidP="006464E9">
      <w:pPr>
        <w:pStyle w:val="HNAHeader1"/>
        <w:ind w:left="720"/>
      </w:pPr>
      <w:r>
        <w:rPr>
          <w:noProof/>
        </w:rPr>
        <w:drawing>
          <wp:inline distT="0" distB="0" distL="0" distR="0" wp14:anchorId="7E3F720B" wp14:editId="426C4D4C">
            <wp:extent cx="5074920" cy="1655803"/>
            <wp:effectExtent l="0" t="0" r="0" b="0"/>
            <wp:docPr id="1092390636" name="Picture 6">
              <a:extLst xmlns:a="http://schemas.openxmlformats.org/drawingml/2006/main">
                <a:ext uri="{FF2B5EF4-FFF2-40B4-BE49-F238E27FC236}">
                  <a16:creationId xmlns:a16="http://schemas.microsoft.com/office/drawing/2014/main" id="{F07C6695-4464-40D2-AFCA-16957E17E2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4592" cy="1658959"/>
                    </a:xfrm>
                    <a:prstGeom prst="rect">
                      <a:avLst/>
                    </a:prstGeom>
                    <a:noFill/>
                  </pic:spPr>
                </pic:pic>
              </a:graphicData>
            </a:graphic>
          </wp:inline>
        </w:drawing>
      </w:r>
    </w:p>
    <w:p w14:paraId="2BCFE8AE" w14:textId="77777777" w:rsidR="009E6A69" w:rsidRDefault="61957BC3" w:rsidP="001C0E03">
      <w:pPr>
        <w:pStyle w:val="HNAHeader1"/>
        <w:ind w:left="720"/>
        <w:jc w:val="center"/>
      </w:pPr>
      <w:r>
        <w:rPr>
          <w:noProof/>
        </w:rPr>
        <w:drawing>
          <wp:inline distT="0" distB="0" distL="0" distR="0" wp14:anchorId="724BE799" wp14:editId="7E6AFF6A">
            <wp:extent cx="4522212" cy="3168590"/>
            <wp:effectExtent l="0" t="0" r="0" b="0"/>
            <wp:docPr id="1232425054" name="drawing">
              <a:extLst xmlns:a="http://schemas.openxmlformats.org/drawingml/2006/main">
                <a:ext uri="{FF2B5EF4-FFF2-40B4-BE49-F238E27FC236}">
                  <a16:creationId xmlns:a16="http://schemas.microsoft.com/office/drawing/2014/main" id="{0DF0428F-F726-44C2-B136-DDB841291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25054" name="Picture 1232425054"/>
                    <pic:cNvPicPr/>
                  </pic:nvPicPr>
                  <pic:blipFill>
                    <a:blip r:embed="rId40">
                      <a:extLst>
                        <a:ext uri="{28A0092B-C50C-407E-A947-70E740481C1C}">
                          <a14:useLocalDpi xmlns:a14="http://schemas.microsoft.com/office/drawing/2010/main"/>
                        </a:ext>
                      </a:extLst>
                    </a:blip>
                    <a:stretch>
                      <a:fillRect/>
                    </a:stretch>
                  </pic:blipFill>
                  <pic:spPr>
                    <a:xfrm>
                      <a:off x="0" y="0"/>
                      <a:ext cx="4522212" cy="3168590"/>
                    </a:xfrm>
                    <a:prstGeom prst="rect">
                      <a:avLst/>
                    </a:prstGeom>
                  </pic:spPr>
                </pic:pic>
              </a:graphicData>
            </a:graphic>
          </wp:inline>
        </w:drawing>
      </w:r>
    </w:p>
    <w:p w14:paraId="3B33F5FE" w14:textId="09D7832C" w:rsidR="006464E9" w:rsidRPr="006464E9" w:rsidRDefault="006464E9" w:rsidP="009E6A69">
      <w:pPr>
        <w:pStyle w:val="HNAHeader1"/>
      </w:pPr>
      <w:r>
        <w:t>Mortality decreases consistently across deprivation quintiles, illustrating a clear, linear social gradient. Confidence intervals show minimal overlap, confirming that the differences are unlikely to be due to chance.</w:t>
      </w:r>
    </w:p>
    <w:p w14:paraId="2371EDFE" w14:textId="57DA07B2" w:rsidR="00500D54" w:rsidRDefault="00500D54" w:rsidP="00CB486F">
      <w:pPr>
        <w:pStyle w:val="Heading3"/>
      </w:pPr>
      <w:r>
        <w:lastRenderedPageBreak/>
        <w:t xml:space="preserve">Infant mortality </w:t>
      </w:r>
    </w:p>
    <w:p w14:paraId="03833377" w14:textId="5D33AB5E" w:rsidR="00500D54" w:rsidRPr="00500D54" w:rsidRDefault="7B7F217C" w:rsidP="00500D54">
      <w:r>
        <w:rPr>
          <w:noProof/>
        </w:rPr>
        <w:drawing>
          <wp:inline distT="0" distB="0" distL="0" distR="0" wp14:anchorId="1814B1BF" wp14:editId="7B403B5B">
            <wp:extent cx="5724525" cy="4048125"/>
            <wp:effectExtent l="0" t="0" r="0" b="0"/>
            <wp:docPr id="18944875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87586"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7753C5EE" w14:textId="30AE632F" w:rsidR="7B7F217C" w:rsidRDefault="7B7F217C" w:rsidP="5AB3C149">
      <w:r>
        <w:t>Across Lancashire and South Cumbria ICB, the crude infant mortality rate for years 2022-24 shows a clear deprivation gradient. Rates range from 6.19 per 1,000 live births in the most deprived quintile to 2.69 per 1,000 in the least deprived. Confidence intervals indicate the pattern is consistent, with higher rates in the more deprived areas.</w:t>
      </w:r>
    </w:p>
    <w:p w14:paraId="5A65743D" w14:textId="563B2112" w:rsidR="7B7F217C" w:rsidRDefault="7B7F217C" w:rsidP="5AB3C149">
      <w:r>
        <w:t>Overall, infant mortality rates are highest in the most deprived areas and decline steadily with decreasing deprivation, indicating substantial inequality across the ICB.</w:t>
      </w:r>
    </w:p>
    <w:p w14:paraId="06513D24" w14:textId="11C032A5" w:rsidR="3F35DB66" w:rsidRDefault="3F35DB66" w:rsidP="3F35DB66"/>
    <w:p w14:paraId="5370DDD9" w14:textId="77777777" w:rsidR="006464E9" w:rsidRPr="00504AB2" w:rsidRDefault="647110FC" w:rsidP="00CB486F">
      <w:pPr>
        <w:pStyle w:val="Heading3"/>
      </w:pPr>
      <w:r w:rsidRPr="00504AB2">
        <w:lastRenderedPageBreak/>
        <w:t>Cause-Specific Mortality (ICB vs England)</w:t>
      </w:r>
    </w:p>
    <w:p w14:paraId="57C43693" w14:textId="6A36C83D" w:rsidR="006464E9" w:rsidRPr="006464E9" w:rsidRDefault="58E80AAB" w:rsidP="006464E9">
      <w:pPr>
        <w:pStyle w:val="HNAHeader1"/>
      </w:pPr>
      <w:r>
        <w:rPr>
          <w:noProof/>
        </w:rPr>
        <w:drawing>
          <wp:inline distT="0" distB="0" distL="0" distR="0" wp14:anchorId="773F9ED9" wp14:editId="0BB53635">
            <wp:extent cx="5724525" cy="4048125"/>
            <wp:effectExtent l="0" t="0" r="0" b="0"/>
            <wp:docPr id="434982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8297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2BFBC019" w14:textId="30055615" w:rsidR="006464E9" w:rsidRPr="006464E9" w:rsidRDefault="006464E9" w:rsidP="00BD0DD8">
      <w:pPr>
        <w:pStyle w:val="HNAHeader1"/>
        <w:numPr>
          <w:ilvl w:val="0"/>
          <w:numId w:val="17"/>
        </w:numPr>
        <w:tabs>
          <w:tab w:val="clear" w:pos="720"/>
          <w:tab w:val="num" w:pos="360"/>
        </w:tabs>
        <w:ind w:left="360"/>
      </w:pPr>
      <w:r w:rsidRPr="00504AB2">
        <w:t>Data from the OHID Local Health Profiles (2022) show that NHS Lancashire and South Cumbria ICB experiences higher mortality than the England average for several major causes of death.</w:t>
      </w:r>
    </w:p>
    <w:p w14:paraId="740558FE" w14:textId="77777777" w:rsidR="006464E9" w:rsidRPr="006464E9" w:rsidRDefault="006464E9" w:rsidP="00BD0DD8">
      <w:pPr>
        <w:pStyle w:val="HNAHeader1"/>
        <w:numPr>
          <w:ilvl w:val="0"/>
          <w:numId w:val="17"/>
        </w:numPr>
        <w:tabs>
          <w:tab w:val="clear" w:pos="720"/>
          <w:tab w:val="num" w:pos="360"/>
        </w:tabs>
        <w:ind w:left="360"/>
      </w:pPr>
      <w:r w:rsidRPr="00504AB2">
        <w:t>The under-75 all-cause mortality rate is 401.9 per 100,000 locally, compared with 342.3 per 100,000 for England.</w:t>
      </w:r>
    </w:p>
    <w:p w14:paraId="0C340748" w14:textId="77777777" w:rsidR="006464E9" w:rsidRPr="006464E9" w:rsidRDefault="006464E9" w:rsidP="00BD0DD8">
      <w:pPr>
        <w:pStyle w:val="HNAHeader1"/>
        <w:numPr>
          <w:ilvl w:val="0"/>
          <w:numId w:val="17"/>
        </w:numPr>
        <w:tabs>
          <w:tab w:val="clear" w:pos="720"/>
          <w:tab w:val="num" w:pos="360"/>
        </w:tabs>
        <w:ind w:left="360"/>
      </w:pPr>
      <w:r w:rsidRPr="00504AB2">
        <w:t>Cardiovascular disease mortality under age 75 is 98.4 per 100,000 versus 77.4 nationally.</w:t>
      </w:r>
    </w:p>
    <w:p w14:paraId="43080423" w14:textId="77777777" w:rsidR="006464E9" w:rsidRPr="006464E9" w:rsidRDefault="006464E9" w:rsidP="00BD0DD8">
      <w:pPr>
        <w:pStyle w:val="HNAHeader1"/>
        <w:numPr>
          <w:ilvl w:val="0"/>
          <w:numId w:val="17"/>
        </w:numPr>
        <w:tabs>
          <w:tab w:val="clear" w:pos="720"/>
          <w:tab w:val="num" w:pos="360"/>
        </w:tabs>
        <w:ind w:left="360"/>
      </w:pPr>
      <w:r w:rsidRPr="00504AB2">
        <w:t>Cancer mortality under age 75 is 129.9 per 100,000, also above the England rate (122.4).</w:t>
      </w:r>
    </w:p>
    <w:p w14:paraId="25938849" w14:textId="77777777" w:rsidR="006464E9" w:rsidRPr="006464E9" w:rsidRDefault="006464E9" w:rsidP="00BD0DD8">
      <w:pPr>
        <w:pStyle w:val="HNAHeader1"/>
        <w:numPr>
          <w:ilvl w:val="0"/>
          <w:numId w:val="17"/>
        </w:numPr>
        <w:tabs>
          <w:tab w:val="clear" w:pos="720"/>
          <w:tab w:val="num" w:pos="360"/>
        </w:tabs>
        <w:ind w:left="360"/>
      </w:pPr>
      <w:r w:rsidRPr="00504AB2">
        <w:t>Respiratory disease mortality under age 75 is 41.8 per 100,000, exceeding the national average (30.7).</w:t>
      </w:r>
    </w:p>
    <w:p w14:paraId="27E01CA2" w14:textId="77777777" w:rsidR="006464E9" w:rsidRPr="006464E9" w:rsidRDefault="006464E9" w:rsidP="00BD0DD8">
      <w:pPr>
        <w:pStyle w:val="HNAHeader1"/>
        <w:numPr>
          <w:ilvl w:val="0"/>
          <w:numId w:val="17"/>
        </w:numPr>
        <w:tabs>
          <w:tab w:val="clear" w:pos="720"/>
          <w:tab w:val="num" w:pos="360"/>
        </w:tabs>
        <w:ind w:left="360"/>
      </w:pPr>
      <w:r w:rsidRPr="00504AB2">
        <w:t>Liver disease mortality under age 75 is 28.7 per 100,000, higher than 21.4 for England.</w:t>
      </w:r>
    </w:p>
    <w:p w14:paraId="219CA561" w14:textId="19FF706F" w:rsidR="00CB486F" w:rsidRPr="00504AB2" w:rsidRDefault="006464E9" w:rsidP="00EF182B">
      <w:pPr>
        <w:pStyle w:val="HNAHeader1"/>
      </w:pPr>
      <w:r w:rsidRPr="00504AB2">
        <w:t>Several specific conditions show especially marked differences:</w:t>
      </w:r>
    </w:p>
    <w:p w14:paraId="7A640D4B" w14:textId="18F501B2" w:rsidR="00CB486F" w:rsidRPr="00504AB2" w:rsidRDefault="00CB486F" w:rsidP="00BD0DD8">
      <w:pPr>
        <w:pStyle w:val="HNAHeader1"/>
        <w:numPr>
          <w:ilvl w:val="5"/>
          <w:numId w:val="18"/>
        </w:numPr>
      </w:pPr>
      <w:r w:rsidRPr="00504AB2">
        <w:t>Ischaemic heart disease (all ages): 126.8 per 100,000 locally vs 99.3 for England significantly higher</w:t>
      </w:r>
    </w:p>
    <w:p w14:paraId="0A13FBBF" w14:textId="63EE8344" w:rsidR="006464E9" w:rsidRPr="006464E9" w:rsidRDefault="006464E9" w:rsidP="00BD0DD8">
      <w:pPr>
        <w:pStyle w:val="HNAHeader1"/>
        <w:numPr>
          <w:ilvl w:val="5"/>
          <w:numId w:val="18"/>
        </w:numPr>
        <w:tabs>
          <w:tab w:val="num" w:pos="1080"/>
        </w:tabs>
      </w:pPr>
      <w:r w:rsidRPr="00504AB2">
        <w:lastRenderedPageBreak/>
        <w:t>Lung cancer (all ages): 55.9 per 100,000 locally vs 48.1 nationally similar but at the upper range of England’s distribution.</w:t>
      </w:r>
    </w:p>
    <w:p w14:paraId="79EC76CC" w14:textId="46D87DEF" w:rsidR="006464E9" w:rsidRPr="006464E9" w:rsidRDefault="006464E9" w:rsidP="00BD0DD8">
      <w:pPr>
        <w:pStyle w:val="HNAHeader1"/>
        <w:numPr>
          <w:ilvl w:val="5"/>
          <w:numId w:val="18"/>
        </w:numPr>
        <w:tabs>
          <w:tab w:val="num" w:pos="1080"/>
        </w:tabs>
      </w:pPr>
      <w:r w:rsidRPr="00504AB2">
        <w:t>Dementia and Alzheimer’s disease and stroke (all ages) also show elevated mortality compared with national averages.</w:t>
      </w:r>
    </w:p>
    <w:p w14:paraId="035593CD" w14:textId="68E17131" w:rsidR="006464E9" w:rsidRPr="006464E9" w:rsidRDefault="006464E9" w:rsidP="00CB486F">
      <w:pPr>
        <w:pStyle w:val="HNAHeader1"/>
      </w:pPr>
      <w:r>
        <w:t xml:space="preserve">While most indicators are significantly worse than </w:t>
      </w:r>
      <w:r w:rsidR="4A634A07">
        <w:t xml:space="preserve">the </w:t>
      </w:r>
      <w:r>
        <w:t>England</w:t>
      </w:r>
      <w:r w:rsidR="356FAF83">
        <w:t xml:space="preserve"> average</w:t>
      </w:r>
      <w:r>
        <w:t>, a few such as leukaemia and lymphoma, prostate cancer, and colorectal cancer are broadly comparable to national rates.</w:t>
      </w:r>
    </w:p>
    <w:p w14:paraId="28959A1C" w14:textId="29DE1E07" w:rsidR="00D2058D" w:rsidRPr="00C93069" w:rsidRDefault="00D2058D" w:rsidP="00C93069">
      <w:pPr>
        <w:pStyle w:val="Heading2"/>
      </w:pPr>
      <w:r w:rsidRPr="00C93069">
        <w:t xml:space="preserve"> </w:t>
      </w:r>
      <w:bookmarkStart w:id="45" w:name="_Toc214447013"/>
      <w:bookmarkStart w:id="46" w:name="_Toc214460958"/>
      <w:bookmarkStart w:id="47" w:name="_Toc220937616"/>
      <w:r w:rsidRPr="00C93069">
        <w:t>Inequalities in Mortality by Cause</w:t>
      </w:r>
      <w:bookmarkEnd w:id="45"/>
      <w:bookmarkEnd w:id="46"/>
      <w:bookmarkEnd w:id="47"/>
      <w:r w:rsidRPr="00C93069">
        <w:t xml:space="preserve"> </w:t>
      </w:r>
    </w:p>
    <w:p w14:paraId="0E45FC84" w14:textId="77777777" w:rsidR="00D2058D" w:rsidRPr="00504AB2" w:rsidRDefault="00D2058D" w:rsidP="00CB486F">
      <w:pPr>
        <w:pStyle w:val="HNAHeader1"/>
      </w:pPr>
      <w:r w:rsidRPr="00504AB2">
        <w:t>Analysis of mortality data for 2024 demonstrates a consistent and pronounced deprivation gradient across multiple major causes of death within NHS Lancashire and South Cumbria Integrated Care Board (ICB). Mortality rates are highest in the most deprived quintile (Quintile 1) and decline steadily to the least deprived quintile (Quintile 5).</w:t>
      </w:r>
    </w:p>
    <w:p w14:paraId="2DF50D5A" w14:textId="77777777" w:rsidR="00D2058D" w:rsidRPr="00504AB2" w:rsidRDefault="00D2058D" w:rsidP="00CB486F">
      <w:pPr>
        <w:pStyle w:val="HNAHeader1"/>
      </w:pPr>
      <w:r w:rsidRPr="00504AB2">
        <w:t>Across all indicators, the Slope Index of Inequality (SII) and Relative Index of Inequality (RII) confirm statistically significant differences between deprivation groups, highlighting that avoidable and premature deaths are disproportionately concentrated in more deprived areas.</w:t>
      </w:r>
    </w:p>
    <w:p w14:paraId="2D0DEE6B" w14:textId="77777777" w:rsidR="00D2058D" w:rsidRPr="00504AB2" w:rsidRDefault="00D2058D" w:rsidP="00CB486F">
      <w:pPr>
        <w:pStyle w:val="Heading3"/>
      </w:pPr>
      <w:r w:rsidRPr="00504AB2">
        <w:t>All-Cause Mortality (Under 75s)</w:t>
      </w:r>
    </w:p>
    <w:p w14:paraId="0A80459B" w14:textId="0FBF7B1A" w:rsidR="00B61D25" w:rsidRPr="00504AB2" w:rsidRDefault="00B61D25" w:rsidP="00D2058D">
      <w:pPr>
        <w:pStyle w:val="HNAHeader1"/>
        <w:ind w:left="360"/>
        <w:rPr>
          <w:b/>
          <w:bCs/>
        </w:rPr>
      </w:pPr>
      <w:r w:rsidRPr="00504AB2">
        <w:rPr>
          <w:b/>
          <w:bCs/>
          <w:noProof/>
        </w:rPr>
        <w:drawing>
          <wp:inline distT="0" distB="0" distL="0" distR="0" wp14:anchorId="2496002D" wp14:editId="19F60F8E">
            <wp:extent cx="5730875" cy="2152015"/>
            <wp:effectExtent l="0" t="0" r="3175" b="0"/>
            <wp:docPr id="967444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0875" cy="2152015"/>
                    </a:xfrm>
                    <a:prstGeom prst="rect">
                      <a:avLst/>
                    </a:prstGeom>
                    <a:noFill/>
                  </pic:spPr>
                </pic:pic>
              </a:graphicData>
            </a:graphic>
          </wp:inline>
        </w:drawing>
      </w:r>
    </w:p>
    <w:p w14:paraId="353E93F9" w14:textId="77777777" w:rsidR="00D2058D" w:rsidRPr="00504AB2" w:rsidRDefault="00D2058D" w:rsidP="00772AC4">
      <w:pPr>
        <w:pStyle w:val="HNAHeader1"/>
        <w:ind w:firstLine="360"/>
      </w:pPr>
      <w:r w:rsidRPr="00504AB2">
        <w:t>SII: 548.8 RII: 1.8</w:t>
      </w:r>
    </w:p>
    <w:p w14:paraId="3CBF8D7A" w14:textId="77777777" w:rsidR="00D2058D" w:rsidRPr="00504AB2" w:rsidRDefault="00D2058D" w:rsidP="00772AC4">
      <w:pPr>
        <w:pStyle w:val="HNAHeader1"/>
      </w:pPr>
      <w:r w:rsidRPr="00504AB2">
        <w:t>Premature mortality under 75 shows a marked deprivation gradient, with rates in the most deprived quintile almost four times higher than in the least deprived group.</w:t>
      </w:r>
    </w:p>
    <w:p w14:paraId="382D6A21" w14:textId="41C21D04" w:rsidR="00D2058D" w:rsidRPr="00504AB2" w:rsidRDefault="00D2058D" w:rsidP="00CB486F">
      <w:pPr>
        <w:pStyle w:val="Heading3"/>
      </w:pPr>
      <w:r w:rsidRPr="00504AB2">
        <w:lastRenderedPageBreak/>
        <w:t>Cardiovascular Disease (CVD) Mortality</w:t>
      </w:r>
    </w:p>
    <w:p w14:paraId="414D3B78" w14:textId="1688D757" w:rsidR="00D2058D" w:rsidRPr="00504AB2" w:rsidRDefault="00802B85" w:rsidP="00D2058D">
      <w:pPr>
        <w:pStyle w:val="HNAHeader1"/>
        <w:ind w:left="360"/>
      </w:pPr>
      <w:r w:rsidRPr="00504AB2">
        <w:rPr>
          <w:noProof/>
        </w:rPr>
        <w:drawing>
          <wp:inline distT="0" distB="0" distL="0" distR="0" wp14:anchorId="7774B72C" wp14:editId="5CB13D48">
            <wp:extent cx="5730875" cy="2152015"/>
            <wp:effectExtent l="0" t="0" r="3175" b="0"/>
            <wp:docPr id="1680569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0875" cy="2152015"/>
                    </a:xfrm>
                    <a:prstGeom prst="rect">
                      <a:avLst/>
                    </a:prstGeom>
                    <a:noFill/>
                  </pic:spPr>
                </pic:pic>
              </a:graphicData>
            </a:graphic>
          </wp:inline>
        </w:drawing>
      </w:r>
    </w:p>
    <w:p w14:paraId="4AEF4F5F" w14:textId="77777777" w:rsidR="00D2058D" w:rsidRPr="00504AB2" w:rsidRDefault="00D2058D" w:rsidP="00772AC4">
      <w:pPr>
        <w:pStyle w:val="HNAHeader1"/>
      </w:pPr>
      <w:r w:rsidRPr="00504AB2">
        <w:t>SII: 227.6 RII: 1.5</w:t>
      </w:r>
    </w:p>
    <w:p w14:paraId="59C4D51D" w14:textId="77777777" w:rsidR="00D2058D" w:rsidRPr="00504AB2" w:rsidRDefault="00D2058D" w:rsidP="00772AC4">
      <w:pPr>
        <w:pStyle w:val="HNAHeader1"/>
      </w:pPr>
      <w:r w:rsidRPr="00504AB2">
        <w:t>CVD mortality demonstrates a strong linear gradient, with those in the most deprived quintile experiencing more than double the rate of the least deprived areas.</w:t>
      </w:r>
    </w:p>
    <w:p w14:paraId="6F309F0F" w14:textId="77777777" w:rsidR="00D2058D" w:rsidRPr="00504AB2" w:rsidRDefault="00D2058D" w:rsidP="00772AC4">
      <w:pPr>
        <w:pStyle w:val="Heading3"/>
      </w:pPr>
      <w:r w:rsidRPr="00504AB2">
        <w:t>Cancer Mortality</w:t>
      </w:r>
    </w:p>
    <w:p w14:paraId="3753075F" w14:textId="0A914A89" w:rsidR="00D2058D" w:rsidRPr="00504AB2" w:rsidRDefault="00F54896" w:rsidP="00D2058D">
      <w:pPr>
        <w:pStyle w:val="HNAHeader1"/>
        <w:ind w:left="360"/>
      </w:pPr>
      <w:r w:rsidRPr="00504AB2">
        <w:rPr>
          <w:noProof/>
        </w:rPr>
        <w:drawing>
          <wp:inline distT="0" distB="0" distL="0" distR="0" wp14:anchorId="1797F639" wp14:editId="3567E462">
            <wp:extent cx="5730875" cy="2145665"/>
            <wp:effectExtent l="0" t="0" r="3175" b="0"/>
            <wp:docPr id="21474077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0875" cy="2145665"/>
                    </a:xfrm>
                    <a:prstGeom prst="rect">
                      <a:avLst/>
                    </a:prstGeom>
                    <a:noFill/>
                  </pic:spPr>
                </pic:pic>
              </a:graphicData>
            </a:graphic>
          </wp:inline>
        </w:drawing>
      </w:r>
    </w:p>
    <w:p w14:paraId="62A78842" w14:textId="77777777" w:rsidR="00D2058D" w:rsidRPr="00504AB2" w:rsidRDefault="00D2058D" w:rsidP="00772AC4">
      <w:pPr>
        <w:pStyle w:val="HNAHeader1"/>
      </w:pPr>
      <w:r w:rsidRPr="00504AB2">
        <w:t>SII: 196.0 RII: 1.4</w:t>
      </w:r>
    </w:p>
    <w:p w14:paraId="50232D3C" w14:textId="77777777" w:rsidR="00D2058D" w:rsidRPr="00504AB2" w:rsidRDefault="00D2058D" w:rsidP="00772AC4">
      <w:pPr>
        <w:pStyle w:val="HNAHeader1"/>
      </w:pPr>
      <w:r w:rsidRPr="00504AB2">
        <w:t>Cancer mortality shows a steady, graded decline with decreasing deprivation, similar in shape to the all-cause pattern.</w:t>
      </w:r>
    </w:p>
    <w:p w14:paraId="708B27CB" w14:textId="37214ADE" w:rsidR="00D2058D" w:rsidRPr="00504AB2" w:rsidRDefault="00D2058D" w:rsidP="00772AC4">
      <w:pPr>
        <w:pStyle w:val="Heading3"/>
      </w:pPr>
      <w:r w:rsidRPr="00504AB2">
        <w:t>Chronic Obstructive Pulmonary Disease (COPD) Mortality</w:t>
      </w:r>
    </w:p>
    <w:p w14:paraId="4E6FED96" w14:textId="435F2821" w:rsidR="00064947" w:rsidRPr="00504AB2" w:rsidRDefault="00064947" w:rsidP="00D2058D">
      <w:pPr>
        <w:pStyle w:val="HNAHeader1"/>
        <w:ind w:left="360"/>
        <w:rPr>
          <w:b/>
          <w:bCs/>
        </w:rPr>
      </w:pPr>
      <w:r w:rsidRPr="00504AB2">
        <w:rPr>
          <w:noProof/>
        </w:rPr>
        <w:drawing>
          <wp:inline distT="0" distB="0" distL="0" distR="0" wp14:anchorId="4171D9D8" wp14:editId="330F9CC8">
            <wp:extent cx="4782796" cy="1790700"/>
            <wp:effectExtent l="0" t="0" r="0" b="0"/>
            <wp:docPr id="18391923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87144" cy="1792328"/>
                    </a:xfrm>
                    <a:prstGeom prst="rect">
                      <a:avLst/>
                    </a:prstGeom>
                    <a:noFill/>
                  </pic:spPr>
                </pic:pic>
              </a:graphicData>
            </a:graphic>
          </wp:inline>
        </w:drawing>
      </w:r>
    </w:p>
    <w:p w14:paraId="7C477BAE" w14:textId="77777777" w:rsidR="00D2058D" w:rsidRPr="00504AB2" w:rsidRDefault="00D2058D" w:rsidP="00772AC4">
      <w:pPr>
        <w:pStyle w:val="HNAHeader1"/>
      </w:pPr>
      <w:r w:rsidRPr="00504AB2">
        <w:lastRenderedPageBreak/>
        <w:t>SII: 106.3 RII: 2.0</w:t>
      </w:r>
    </w:p>
    <w:p w14:paraId="5D60CB7A" w14:textId="6BF6E279" w:rsidR="00D2058D" w:rsidRPr="00504AB2" w:rsidRDefault="00D2058D" w:rsidP="00772AC4">
      <w:pPr>
        <w:pStyle w:val="HNAHeader1"/>
      </w:pPr>
      <w:r w:rsidRPr="00504AB2">
        <w:t>COPD mortality shows one of the steepest inequality gradients, with the most deprived quintile experiencing mortality rates around five times higher than the least deprived group.</w:t>
      </w:r>
    </w:p>
    <w:p w14:paraId="3389A728" w14:textId="02415090" w:rsidR="00C87068" w:rsidRPr="00504AB2" w:rsidRDefault="00C87068" w:rsidP="00C93069">
      <w:pPr>
        <w:pStyle w:val="Heading2"/>
      </w:pPr>
      <w:bookmarkStart w:id="48" w:name="_Toc214447014"/>
      <w:bookmarkStart w:id="49" w:name="_Toc214460959"/>
      <w:bookmarkStart w:id="50" w:name="_Toc220937617"/>
      <w:r w:rsidRPr="00504AB2">
        <w:t>Attributable risk</w:t>
      </w:r>
      <w:bookmarkEnd w:id="48"/>
      <w:bookmarkEnd w:id="49"/>
      <w:bookmarkEnd w:id="50"/>
    </w:p>
    <w:p w14:paraId="60826D1C" w14:textId="01B6AFBF" w:rsidR="0416183B" w:rsidRDefault="6A16BA2A" w:rsidP="00772AC4">
      <w:pPr>
        <w:pStyle w:val="HNAHeader1"/>
      </w:pPr>
      <w:r>
        <w:t>The Institute for Health Metrics and Evaluation models the burden of disease and attributable risk of disease. The 2021 data was broken down to Local Authority level and is what has been used in this report.</w:t>
      </w:r>
    </w:p>
    <w:p w14:paraId="3F1AC62B" w14:textId="52FB7A1A" w:rsidR="0416183B" w:rsidRDefault="6A16BA2A" w:rsidP="00772AC4">
      <w:pPr>
        <w:pStyle w:val="HNAHeader1"/>
      </w:pPr>
      <w:r>
        <w:t>This modelling found that over 70% of deaths caused by cardiovascular disease were attributable to risk factors in Lancashire, Blackpool and Blackburn with Darwen. For chronic respiratory diseases and cancer, around 50% of deaths were attributable to risk factors.</w:t>
      </w:r>
    </w:p>
    <w:p w14:paraId="72DF60DA" w14:textId="0A0F09D8" w:rsidR="0416183B" w:rsidRDefault="00ED145B" w:rsidP="0416183B">
      <w:pPr>
        <w:pStyle w:val="HNAHeader1"/>
        <w:ind w:left="360"/>
      </w:pPr>
      <w:r>
        <w:rPr>
          <w:noProof/>
        </w:rPr>
        <mc:AlternateContent>
          <mc:Choice Requires="wps">
            <w:drawing>
              <wp:anchor distT="45720" distB="45720" distL="114300" distR="114300" simplePos="0" relativeHeight="251686400" behindDoc="0" locked="0" layoutInCell="1" allowOverlap="1" wp14:anchorId="420D6771" wp14:editId="32E6B711">
                <wp:simplePos x="0" y="0"/>
                <wp:positionH relativeFrom="margin">
                  <wp:align>right</wp:align>
                </wp:positionH>
                <wp:positionV relativeFrom="paragraph">
                  <wp:posOffset>1704013</wp:posOffset>
                </wp:positionV>
                <wp:extent cx="1113577" cy="262550"/>
                <wp:effectExtent l="0" t="0" r="0" b="4445"/>
                <wp:wrapNone/>
                <wp:docPr id="475906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577" cy="262550"/>
                        </a:xfrm>
                        <a:prstGeom prst="rect">
                          <a:avLst/>
                        </a:prstGeom>
                        <a:solidFill>
                          <a:srgbClr val="FFFFFF"/>
                        </a:solidFill>
                        <a:ln w="9525">
                          <a:noFill/>
                          <a:miter lim="800000"/>
                          <a:headEnd/>
                          <a:tailEnd/>
                        </a:ln>
                      </wps:spPr>
                      <wps:txbx>
                        <w:txbxContent>
                          <w:p w14:paraId="5AA59030" w14:textId="1D902B71" w:rsidR="00ED145B" w:rsidRPr="00ED145B" w:rsidRDefault="00ED145B">
                            <w:pPr>
                              <w:rPr>
                                <w:sz w:val="18"/>
                                <w:szCs w:val="18"/>
                              </w:rPr>
                            </w:pPr>
                            <w:r w:rsidRPr="00ED145B">
                              <w:rPr>
                                <w:sz w:val="18"/>
                                <w:szCs w:val="18"/>
                              </w:rPr>
                              <w:t>Source: IHME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D6771" id="_x0000_s1029" type="#_x0000_t202" style="position:absolute;left:0;text-align:left;margin-left:36.5pt;margin-top:134.15pt;width:87.7pt;height:20.65pt;z-index:251686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" stroked="f">
                <v:textbox>
                  <w:txbxContent>
                    <w:p w14:paraId="5AA59030" w14:textId="1D902B71" w:rsidR="00ED145B" w:rsidRPr="00ED145B" w:rsidRDefault="00ED145B">
                      <w:pPr>
                        <w:rPr>
                          <w:sz w:val="18"/>
                          <w:szCs w:val="18"/>
                        </w:rPr>
                      </w:pPr>
                      <w:r w:rsidRPr="00ED145B">
                        <w:rPr>
                          <w:sz w:val="18"/>
                          <w:szCs w:val="18"/>
                        </w:rPr>
                        <w:t>Source: IHME</w:t>
                      </w:r>
                    </w:p>
                  </w:txbxContent>
                </v:textbox>
                <w10:wrap anchorx="margin"/>
              </v:shape>
            </w:pict>
          </mc:Fallback>
        </mc:AlternateContent>
      </w:r>
      <w:r w:rsidR="281EC3C2">
        <w:rPr>
          <w:noProof/>
        </w:rPr>
        <w:drawing>
          <wp:inline distT="0" distB="0" distL="0" distR="0" wp14:anchorId="659A217C" wp14:editId="6FB81A19">
            <wp:extent cx="5219700" cy="1928076"/>
            <wp:effectExtent l="0" t="0" r="0" b="0"/>
            <wp:docPr id="1441546185" name="drawing">
              <a:extLst xmlns:a="http://schemas.openxmlformats.org/drawingml/2006/main">
                <a:ext uri="{FF2B5EF4-FFF2-40B4-BE49-F238E27FC236}">
                  <a16:creationId xmlns:a16="http://schemas.microsoft.com/office/drawing/2014/main" id="{6DC0CEDE-919A-405C-A228-927A92FE8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46185" name="Picture 1441546185"/>
                    <pic:cNvPicPr/>
                  </pic:nvPicPr>
                  <pic:blipFill>
                    <a:blip r:embed="rId46">
                      <a:extLst>
                        <a:ext uri="{28A0092B-C50C-407E-A947-70E740481C1C}">
                          <a14:useLocalDpi xmlns:a14="http://schemas.microsoft.com/office/drawing/2010/main"/>
                        </a:ext>
                      </a:extLst>
                    </a:blip>
                    <a:stretch>
                      <a:fillRect/>
                    </a:stretch>
                  </pic:blipFill>
                  <pic:spPr>
                    <a:xfrm>
                      <a:off x="0" y="0"/>
                      <a:ext cx="5219700" cy="1928076"/>
                    </a:xfrm>
                    <a:prstGeom prst="rect">
                      <a:avLst/>
                    </a:prstGeom>
                  </pic:spPr>
                </pic:pic>
              </a:graphicData>
            </a:graphic>
          </wp:inline>
        </w:drawing>
      </w:r>
    </w:p>
    <w:p w14:paraId="71E7C024" w14:textId="54830C6A" w:rsidR="00253424" w:rsidRDefault="00EF1D62" w:rsidP="00253424">
      <w:pPr>
        <w:pStyle w:val="HNAHeader1"/>
        <w:jc w:val="center"/>
      </w:pPr>
      <w:r>
        <w:rPr>
          <w:noProof/>
        </w:rPr>
        <mc:AlternateContent>
          <mc:Choice Requires="wps">
            <w:drawing>
              <wp:anchor distT="45720" distB="45720" distL="114300" distR="114300" simplePos="0" relativeHeight="251689472" behindDoc="0" locked="0" layoutInCell="1" allowOverlap="1" wp14:anchorId="5267469F" wp14:editId="62248BD7">
                <wp:simplePos x="0" y="0"/>
                <wp:positionH relativeFrom="margin">
                  <wp:posOffset>4110648</wp:posOffset>
                </wp:positionH>
                <wp:positionV relativeFrom="paragraph">
                  <wp:posOffset>2625725</wp:posOffset>
                </wp:positionV>
                <wp:extent cx="1113577" cy="262550"/>
                <wp:effectExtent l="0" t="0" r="0" b="4445"/>
                <wp:wrapNone/>
                <wp:docPr id="1170909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577" cy="262550"/>
                        </a:xfrm>
                        <a:prstGeom prst="rect">
                          <a:avLst/>
                        </a:prstGeom>
                        <a:solidFill>
                          <a:srgbClr val="FFFFFF"/>
                        </a:solidFill>
                        <a:ln w="9525">
                          <a:noFill/>
                          <a:miter lim="800000"/>
                          <a:headEnd/>
                          <a:tailEnd/>
                        </a:ln>
                      </wps:spPr>
                      <wps:txbx>
                        <w:txbxContent>
                          <w:p w14:paraId="5F41780B" w14:textId="77777777" w:rsidR="00ED145B" w:rsidRPr="00ED145B" w:rsidRDefault="00ED145B" w:rsidP="00ED145B">
                            <w:pPr>
                              <w:rPr>
                                <w:sz w:val="18"/>
                                <w:szCs w:val="18"/>
                              </w:rPr>
                            </w:pPr>
                            <w:r w:rsidRPr="00ED145B">
                              <w:rPr>
                                <w:sz w:val="18"/>
                                <w:szCs w:val="18"/>
                              </w:rPr>
                              <w:t>Source: IHME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7469F" id="_x0000_s1030" type="#_x0000_t202" style="position:absolute;left:0;text-align:left;margin-left:323.65pt;margin-top:206.75pt;width:87.7pt;height:20.65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" stroked="f">
                <v:textbox>
                  <w:txbxContent>
                    <w:p w14:paraId="5F41780B" w14:textId="77777777" w:rsidR="00ED145B" w:rsidRPr="00ED145B" w:rsidRDefault="00ED145B" w:rsidP="00ED145B">
                      <w:pPr>
                        <w:rPr>
                          <w:sz w:val="18"/>
                          <w:szCs w:val="18"/>
                        </w:rPr>
                      </w:pPr>
                      <w:r w:rsidRPr="00ED145B">
                        <w:rPr>
                          <w:sz w:val="18"/>
                          <w:szCs w:val="18"/>
                        </w:rPr>
                        <w:t>Source: IHME</w:t>
                      </w:r>
                    </w:p>
                  </w:txbxContent>
                </v:textbox>
                <w10:wrap anchorx="margin"/>
              </v:shape>
            </w:pict>
          </mc:Fallback>
        </mc:AlternateContent>
      </w:r>
      <w:r w:rsidR="00253424">
        <w:rPr>
          <w:noProof/>
        </w:rPr>
        <w:drawing>
          <wp:inline distT="0" distB="0" distL="0" distR="0" wp14:anchorId="23C5BA3F" wp14:editId="2E434DF3">
            <wp:extent cx="4629579" cy="2844800"/>
            <wp:effectExtent l="0" t="0" r="0" b="0"/>
            <wp:docPr id="2050183286" name="drawing" descr="A graph of a disease&#10;&#10;AI-generated content may be incorrect.">
              <a:extLst xmlns:a="http://schemas.openxmlformats.org/drawingml/2006/main">
                <a:ext uri="{FF2B5EF4-FFF2-40B4-BE49-F238E27FC236}">
                  <a16:creationId xmlns:a16="http://schemas.microsoft.com/office/drawing/2014/main" id="{B810ECC0-3896-42C3-B64D-91EB35132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83286" name="drawing" descr="A graph of a disease&#10;&#10;AI-generated content may be incorrect."/>
                    <pic:cNvPicPr/>
                  </pic:nvPicPr>
                  <pic:blipFill>
                    <a:blip r:embed="rId47">
                      <a:extLst>
                        <a:ext uri="{28A0092B-C50C-407E-A947-70E740481C1C}">
                          <a14:useLocalDpi xmlns:a14="http://schemas.microsoft.com/office/drawing/2010/main"/>
                        </a:ext>
                      </a:extLst>
                    </a:blip>
                    <a:stretch>
                      <a:fillRect/>
                    </a:stretch>
                  </pic:blipFill>
                  <pic:spPr>
                    <a:xfrm>
                      <a:off x="0" y="0"/>
                      <a:ext cx="4636330" cy="2848948"/>
                    </a:xfrm>
                    <a:prstGeom prst="rect">
                      <a:avLst/>
                    </a:prstGeom>
                  </pic:spPr>
                </pic:pic>
              </a:graphicData>
            </a:graphic>
          </wp:inline>
        </w:drawing>
      </w:r>
    </w:p>
    <w:p w14:paraId="73BF09CC" w14:textId="77777777" w:rsidR="00253424" w:rsidRDefault="00253424" w:rsidP="00772AC4">
      <w:pPr>
        <w:pStyle w:val="HNAHeader1"/>
      </w:pPr>
    </w:p>
    <w:p w14:paraId="10E324EB" w14:textId="2EF9B758" w:rsidR="00253424" w:rsidRDefault="00253424" w:rsidP="00772AC4">
      <w:pPr>
        <w:pStyle w:val="HNAHeader1"/>
      </w:pPr>
    </w:p>
    <w:p w14:paraId="3A9EB38E" w14:textId="00FE9BD5" w:rsidR="0416183B" w:rsidRDefault="6A16BA2A" w:rsidP="00772AC4">
      <w:pPr>
        <w:pStyle w:val="HNAHeader1"/>
      </w:pPr>
      <w:r>
        <w:lastRenderedPageBreak/>
        <w:t>When considering risk factors, there are some that contribute to multiple conditions and some that are risk factors for only one or two conditions.</w:t>
      </w:r>
    </w:p>
    <w:p w14:paraId="363014AA" w14:textId="74113DF6" w:rsidR="0416183B" w:rsidRDefault="6A16BA2A" w:rsidP="00772AC4">
      <w:pPr>
        <w:pStyle w:val="HNAHeader1"/>
      </w:pPr>
      <w:r>
        <w:t xml:space="preserve">Tobacco is by far the biggest risk factor for attributable deaths in </w:t>
      </w:r>
      <w:r w:rsidR="00253424">
        <w:t>all the leading causes of avoidable mortality</w:t>
      </w:r>
      <w:r w:rsidR="00103830">
        <w:t>, and it is more prevalent among the more deprived parts of the population. This means it is a crucial factor in reducing the gap in both life expectancy and healthy life expectancy between the most and least deprived.</w:t>
      </w:r>
    </w:p>
    <w:p w14:paraId="502736C4" w14:textId="1945338A" w:rsidR="0416183B" w:rsidRDefault="6A16BA2A" w:rsidP="00772AC4">
      <w:pPr>
        <w:pStyle w:val="HNAHeader1"/>
      </w:pPr>
      <w:r>
        <w:t>Dietary risks, high blood pressure and high cholesterol were mostly attributable risks to cardiovascular disease. It should be noted however, that both high blood pressure and high cholesterol are affected by other risks included here, particularly tobacco, dietary risks and physical activity. This may mean some of these risk factors are more significant than this version of the modelling shows.</w:t>
      </w:r>
    </w:p>
    <w:p w14:paraId="5E9EA8FD" w14:textId="4D31BCDE" w:rsidR="0416183B" w:rsidRDefault="6A16BA2A" w:rsidP="00772AC4">
      <w:pPr>
        <w:pStyle w:val="HNAHeader1"/>
      </w:pPr>
      <w:r>
        <w:t>Our local mortality data shows that there are considerable inequalities in deaths related to both tobacco and alcohol. Based on age standardised mortality rates, there was a higher rate of alcohol and tobacco related deaths in more deprived areas, decreasing as deprivation decreases.</w:t>
      </w:r>
      <w:r w:rsidR="00490950">
        <w:t xml:space="preserve"> This shows that both alcohol and tobacco are drivers of health inequalities across Lancashire and South Cumbria.</w:t>
      </w:r>
    </w:p>
    <w:p w14:paraId="6E0256E0" w14:textId="029A98DA" w:rsidR="12A8DC5D" w:rsidRDefault="12A8DC5D" w:rsidP="00490950">
      <w:pPr>
        <w:pStyle w:val="HNAHeader1"/>
        <w:ind w:left="360"/>
        <w:jc w:val="both"/>
      </w:pPr>
    </w:p>
    <w:p w14:paraId="3C1D9D93" w14:textId="5E9234D2" w:rsidR="00372C60" w:rsidRPr="00504AB2" w:rsidRDefault="00372C60" w:rsidP="00372C60">
      <w:pPr>
        <w:pStyle w:val="Style1"/>
      </w:pPr>
      <w:bookmarkStart w:id="51" w:name="_Toc214446983"/>
      <w:bookmarkStart w:id="52" w:name="_Toc214447015"/>
      <w:bookmarkStart w:id="53" w:name="_Toc214460960"/>
      <w:bookmarkStart w:id="54" w:name="_Toc220937618"/>
      <w:r w:rsidRPr="00504AB2">
        <w:rPr>
          <w:noProof/>
        </w:rPr>
        <w:lastRenderedPageBreak/>
        <mc:AlternateContent>
          <mc:Choice Requires="wps">
            <w:drawing>
              <wp:anchor distT="45720" distB="45720" distL="114300" distR="114300" simplePos="0" relativeHeight="251646464" behindDoc="0" locked="0" layoutInCell="1" allowOverlap="1" wp14:anchorId="7A0982CA" wp14:editId="486392CA">
                <wp:simplePos x="0" y="0"/>
                <wp:positionH relativeFrom="margin">
                  <wp:align>left</wp:align>
                </wp:positionH>
                <wp:positionV relativeFrom="paragraph">
                  <wp:posOffset>344840</wp:posOffset>
                </wp:positionV>
                <wp:extent cx="5689600" cy="8475345"/>
                <wp:effectExtent l="0" t="0" r="25400" b="20955"/>
                <wp:wrapTopAndBottom/>
                <wp:docPr id="433645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8475785"/>
                        </a:xfrm>
                        <a:prstGeom prst="rect">
                          <a:avLst/>
                        </a:prstGeom>
                        <a:solidFill>
                          <a:schemeClr val="tx2">
                            <a:lumMod val="10000"/>
                            <a:lumOff val="90000"/>
                          </a:schemeClr>
                        </a:solidFill>
                        <a:ln w="9525">
                          <a:solidFill>
                            <a:srgbClr val="000000"/>
                          </a:solidFill>
                          <a:miter lim="800000"/>
                          <a:headEnd/>
                          <a:tailEnd/>
                        </a:ln>
                      </wps:spPr>
                      <wps:txbx>
                        <w:txbxContent>
                          <w:p w14:paraId="5732D410" w14:textId="03A18CC4" w:rsidR="00087A84" w:rsidRPr="00504AB2" w:rsidRDefault="005C439F" w:rsidP="00372C60">
                            <w:r w:rsidRPr="00504AB2">
                              <w:t xml:space="preserve">Life expectancy and mortality rates </w:t>
                            </w:r>
                            <w:r w:rsidR="004A28C2" w:rsidRPr="00504AB2">
                              <w:t>can be compared to England averages to find where the ICB has higher than average deaths from specific conditions, and inequalities within the ICB rates can be explored:</w:t>
                            </w:r>
                          </w:p>
                          <w:p w14:paraId="4A4C1970" w14:textId="11F559A8" w:rsidR="005C439F" w:rsidRPr="00504AB2" w:rsidRDefault="005C439F" w:rsidP="00BD0DD8">
                            <w:pPr>
                              <w:pStyle w:val="ListParagraph"/>
                              <w:numPr>
                                <w:ilvl w:val="0"/>
                                <w:numId w:val="21"/>
                              </w:numPr>
                              <w:ind w:left="720"/>
                            </w:pPr>
                            <w:r w:rsidRPr="00504AB2">
                              <w:t xml:space="preserve">Life expectancy in Lancashire and South Cumbria is lower than the national average, and there is a significant level of unwarranted variation in the number of years people can expect to live a healthy life across Lancashire and South Cumbria. </w:t>
                            </w:r>
                          </w:p>
                          <w:p w14:paraId="6478CA08" w14:textId="77777777" w:rsidR="005C439F" w:rsidRPr="00504AB2" w:rsidRDefault="005C439F" w:rsidP="00BD0DD8">
                            <w:pPr>
                              <w:pStyle w:val="ListParagraph"/>
                              <w:numPr>
                                <w:ilvl w:val="0"/>
                                <w:numId w:val="21"/>
                              </w:numPr>
                              <w:ind w:left="720"/>
                            </w:pPr>
                            <w:r w:rsidRPr="00504AB2">
                              <w:t>There is a consistent and substantial difference in life expectancy between the most and least deprived deciles across Lancashire and South Cumbria, with the gap for males being 10.5 years and for females 6.7 years.</w:t>
                            </w:r>
                          </w:p>
                          <w:p w14:paraId="4EC47BDD" w14:textId="77777777" w:rsidR="005C439F" w:rsidRPr="00504AB2" w:rsidRDefault="005C439F" w:rsidP="00BD0DD8">
                            <w:pPr>
                              <w:pStyle w:val="ListParagraph"/>
                              <w:numPr>
                                <w:ilvl w:val="0"/>
                                <w:numId w:val="21"/>
                              </w:numPr>
                              <w:ind w:left="720"/>
                            </w:pPr>
                            <w:r w:rsidRPr="00504AB2">
                              <w:t>The ICB has higher mortality rates than the England average for several major categories, particularly cardiovascular, respiratory and liver disease. More specifically, mortality from ischaemic heart disease, lung cancer, stroke and dementia are conditions with significantly higher mortality rates than England averages.</w:t>
                            </w:r>
                          </w:p>
                          <w:p w14:paraId="7A49410D" w14:textId="77777777" w:rsidR="005C439F" w:rsidRPr="00504AB2" w:rsidRDefault="005C439F" w:rsidP="00BD0DD8">
                            <w:pPr>
                              <w:pStyle w:val="ListParagraph"/>
                              <w:numPr>
                                <w:ilvl w:val="0"/>
                                <w:numId w:val="21"/>
                              </w:numPr>
                              <w:ind w:left="720"/>
                            </w:pPr>
                            <w:r w:rsidRPr="00504AB2">
                              <w:t>There are statistically significant differences between deprivation groups across all CVD, cancer and respiratory mortality indicators. Alcohol and tobacco related mortality rates and deprivation levels also had a strong association. These mortality rates were all higher in the most deprived population, and lower in the least deprived.</w:t>
                            </w:r>
                          </w:p>
                          <w:p w14:paraId="3EE30AA8" w14:textId="6738270D" w:rsidR="005C439F" w:rsidRPr="00504AB2" w:rsidRDefault="005C439F" w:rsidP="00BD0DD8">
                            <w:pPr>
                              <w:pStyle w:val="ListParagraph"/>
                              <w:numPr>
                                <w:ilvl w:val="0"/>
                                <w:numId w:val="21"/>
                              </w:numPr>
                              <w:ind w:left="720"/>
                            </w:pPr>
                            <w:r w:rsidRPr="00504AB2">
                              <w:t>IHME modelling estimates that over 70% of deaths caused by cardiovascular disease were attributable to risk factors, and 50% of chronic respiratory diseases and cancers were attributable to risk factors.</w:t>
                            </w:r>
                          </w:p>
                          <w:p w14:paraId="271C9C5C" w14:textId="77777777" w:rsidR="005C439F" w:rsidRPr="00504AB2" w:rsidRDefault="005C439F" w:rsidP="00BD0DD8">
                            <w:pPr>
                              <w:pStyle w:val="ListParagraph"/>
                              <w:numPr>
                                <w:ilvl w:val="0"/>
                                <w:numId w:val="21"/>
                              </w:numPr>
                              <w:ind w:left="720"/>
                            </w:pPr>
                            <w:r w:rsidRPr="00504AB2">
                              <w:t>The most significant risk factors in the modelling were tobacco, dietary risks, high blood pressure, high BMI and alcohol use.</w:t>
                            </w:r>
                          </w:p>
                          <w:p w14:paraId="067E642B" w14:textId="72E51271" w:rsidR="004A28C2" w:rsidRPr="00504AB2" w:rsidRDefault="004A28C2" w:rsidP="004A28C2">
                            <w:pPr>
                              <w:rPr>
                                <w:b/>
                                <w:bCs/>
                              </w:rPr>
                            </w:pPr>
                            <w:r w:rsidRPr="00504AB2">
                              <w:rPr>
                                <w:b/>
                                <w:bCs/>
                              </w:rPr>
                              <w:t>Key considerations for health:</w:t>
                            </w:r>
                          </w:p>
                          <w:p w14:paraId="0D4AEE4D" w14:textId="77777777" w:rsidR="00242D40" w:rsidRPr="00504AB2" w:rsidRDefault="004A28C2" w:rsidP="00BD0DD8">
                            <w:pPr>
                              <w:pStyle w:val="ListParagraph"/>
                              <w:numPr>
                                <w:ilvl w:val="0"/>
                                <w:numId w:val="22"/>
                              </w:numPr>
                              <w:rPr>
                                <w:b/>
                                <w:bCs/>
                              </w:rPr>
                            </w:pPr>
                            <w:r w:rsidRPr="00504AB2">
                              <w:t xml:space="preserve">Conditions where mortality rates are significantly higher among the most deprived should be noted. </w:t>
                            </w:r>
                          </w:p>
                          <w:p w14:paraId="5C47B846" w14:textId="192F46DE" w:rsidR="00242D40" w:rsidRPr="00504AB2" w:rsidRDefault="00242D40" w:rsidP="00BD0DD8">
                            <w:pPr>
                              <w:pStyle w:val="ListParagraph"/>
                              <w:numPr>
                                <w:ilvl w:val="0"/>
                                <w:numId w:val="22"/>
                              </w:numPr>
                              <w:rPr>
                                <w:b/>
                                <w:bCs/>
                              </w:rPr>
                            </w:pPr>
                            <w:r w:rsidRPr="00504AB2">
                              <w:t>A significant amount of the conditions driving inequality in life expectancy were found to have attributable risks that could be reduced – particularly tobacco and high blood pressure. A focus on prevention in these measures would reduce future inequalities in mortality.</w:t>
                            </w:r>
                          </w:p>
                          <w:p w14:paraId="3604586B" w14:textId="3FA1EF88" w:rsidR="00242D40" w:rsidRPr="00504AB2" w:rsidRDefault="00C2376E" w:rsidP="00BD0DD8">
                            <w:pPr>
                              <w:pStyle w:val="ListParagraph"/>
                              <w:numPr>
                                <w:ilvl w:val="0"/>
                                <w:numId w:val="22"/>
                              </w:numPr>
                              <w:rPr>
                                <w:b/>
                                <w:bCs/>
                              </w:rPr>
                            </w:pPr>
                            <w:r w:rsidRPr="00504AB2">
                              <w:t>Prevention should not be the only way the ICB aims to reduce inequalities in mortality rates. Further analysis of specific diseases could indicate where in the disease pathway there are the most significant inequalities in access and outcomes across patient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982CA" id="_x0000_s1031" type="#_x0000_t202" style="position:absolute;margin-left:0;margin-top:27.15pt;width:448pt;height:667.35pt;z-index:251646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" fillcolor="#dceaf7 [351]">
                <v:textbox>
                  <w:txbxContent>
                    <w:p w14:paraId="5732D410" w14:textId="03A18CC4" w:rsidR="00087A84" w:rsidRPr="00504AB2" w:rsidRDefault="005C439F" w:rsidP="00372C60">
                      <w:r w:rsidRPr="00504AB2">
                        <w:t xml:space="preserve">Life expectancy and mortality rates </w:t>
                      </w:r>
                      <w:r w:rsidR="004A28C2" w:rsidRPr="00504AB2">
                        <w:t>can be compared to England averages to find where the ICB has higher than average deaths from specific conditions, and inequalities within the ICB rates can be explored:</w:t>
                      </w:r>
                    </w:p>
                    <w:p w14:paraId="4A4C1970" w14:textId="11F559A8" w:rsidR="005C439F" w:rsidRPr="00504AB2" w:rsidRDefault="005C439F" w:rsidP="00BD0DD8">
                      <w:pPr>
                        <w:pStyle w:val="ListParagraph"/>
                        <w:numPr>
                          <w:ilvl w:val="0"/>
                          <w:numId w:val="21"/>
                        </w:numPr>
                        <w:ind w:left="720"/>
                      </w:pPr>
                      <w:r w:rsidRPr="00504AB2">
                        <w:t xml:space="preserve">Life expectancy in Lancashire and South Cumbria is lower than the national average, and there is a significant level of unwarranted variation in the number of years people can expect to live a healthy life across Lancashire and South Cumbria. </w:t>
                      </w:r>
                    </w:p>
                    <w:p w14:paraId="6478CA08" w14:textId="77777777" w:rsidR="005C439F" w:rsidRPr="00504AB2" w:rsidRDefault="005C439F" w:rsidP="00BD0DD8">
                      <w:pPr>
                        <w:pStyle w:val="ListParagraph"/>
                        <w:numPr>
                          <w:ilvl w:val="0"/>
                          <w:numId w:val="21"/>
                        </w:numPr>
                        <w:ind w:left="720"/>
                      </w:pPr>
                      <w:r w:rsidRPr="00504AB2">
                        <w:t>There is a consistent and substantial difference in life expectancy between the most and least deprived deciles across Lancashire and South Cumbria, with the gap for males being 10.5 years and for females 6.7 years.</w:t>
                      </w:r>
                    </w:p>
                    <w:p w14:paraId="4EC47BDD" w14:textId="77777777" w:rsidR="005C439F" w:rsidRPr="00504AB2" w:rsidRDefault="005C439F" w:rsidP="00BD0DD8">
                      <w:pPr>
                        <w:pStyle w:val="ListParagraph"/>
                        <w:numPr>
                          <w:ilvl w:val="0"/>
                          <w:numId w:val="21"/>
                        </w:numPr>
                        <w:ind w:left="720"/>
                      </w:pPr>
                      <w:r w:rsidRPr="00504AB2">
                        <w:t>The ICB has higher mortality rates than the England average for several major categories, particularly cardiovascular, respiratory and liver disease. More specifically, mortality from ischaemic heart disease, lung cancer, stroke and dementia are conditions with significantly higher mortality rates than England averages.</w:t>
                      </w:r>
                    </w:p>
                    <w:p w14:paraId="7A49410D" w14:textId="77777777" w:rsidR="005C439F" w:rsidRPr="00504AB2" w:rsidRDefault="005C439F" w:rsidP="00BD0DD8">
                      <w:pPr>
                        <w:pStyle w:val="ListParagraph"/>
                        <w:numPr>
                          <w:ilvl w:val="0"/>
                          <w:numId w:val="21"/>
                        </w:numPr>
                        <w:ind w:left="720"/>
                      </w:pPr>
                      <w:r w:rsidRPr="00504AB2">
                        <w:t>There are statistically significant differences between deprivation groups across all CVD, cancer and respiratory mortality indicators. Alcohol and tobacco related mortality rates and deprivation levels also had a strong association. These mortality rates were all higher in the most deprived population, and lower in the least deprived.</w:t>
                      </w:r>
                    </w:p>
                    <w:p w14:paraId="3EE30AA8" w14:textId="6738270D" w:rsidR="005C439F" w:rsidRPr="00504AB2" w:rsidRDefault="005C439F" w:rsidP="00BD0DD8">
                      <w:pPr>
                        <w:pStyle w:val="ListParagraph"/>
                        <w:numPr>
                          <w:ilvl w:val="0"/>
                          <w:numId w:val="21"/>
                        </w:numPr>
                        <w:ind w:left="720"/>
                      </w:pPr>
                      <w:r w:rsidRPr="00504AB2">
                        <w:t>IHME modelling estimates that over 70% of deaths caused by cardiovascular disease were attributable to risk factors, and 50% of chronic respiratory diseases and cancers were attributable to risk factors.</w:t>
                      </w:r>
                    </w:p>
                    <w:p w14:paraId="271C9C5C" w14:textId="77777777" w:rsidR="005C439F" w:rsidRPr="00504AB2" w:rsidRDefault="005C439F" w:rsidP="00BD0DD8">
                      <w:pPr>
                        <w:pStyle w:val="ListParagraph"/>
                        <w:numPr>
                          <w:ilvl w:val="0"/>
                          <w:numId w:val="21"/>
                        </w:numPr>
                        <w:ind w:left="720"/>
                      </w:pPr>
                      <w:r w:rsidRPr="00504AB2">
                        <w:t>The most significant risk factors in the modelling were tobacco, dietary risks, high blood pressure, high BMI and alcohol use.</w:t>
                      </w:r>
                    </w:p>
                    <w:p w14:paraId="067E642B" w14:textId="72E51271" w:rsidR="004A28C2" w:rsidRPr="00504AB2" w:rsidRDefault="004A28C2" w:rsidP="004A28C2">
                      <w:pPr>
                        <w:rPr>
                          <w:b/>
                          <w:bCs/>
                        </w:rPr>
                      </w:pPr>
                      <w:r w:rsidRPr="00504AB2">
                        <w:rPr>
                          <w:b/>
                          <w:bCs/>
                        </w:rPr>
                        <w:t>Key considerations for health:</w:t>
                      </w:r>
                    </w:p>
                    <w:p w14:paraId="0D4AEE4D" w14:textId="77777777" w:rsidR="00242D40" w:rsidRPr="00504AB2" w:rsidRDefault="004A28C2" w:rsidP="00BD0DD8">
                      <w:pPr>
                        <w:pStyle w:val="ListParagraph"/>
                        <w:numPr>
                          <w:ilvl w:val="0"/>
                          <w:numId w:val="22"/>
                        </w:numPr>
                        <w:rPr>
                          <w:b/>
                          <w:bCs/>
                        </w:rPr>
                      </w:pPr>
                      <w:r w:rsidRPr="00504AB2">
                        <w:t xml:space="preserve">Conditions where mortality rates are significantly higher among the most deprived should be noted. </w:t>
                      </w:r>
                    </w:p>
                    <w:p w14:paraId="5C47B846" w14:textId="192F46DE" w:rsidR="00242D40" w:rsidRPr="00504AB2" w:rsidRDefault="00242D40" w:rsidP="00BD0DD8">
                      <w:pPr>
                        <w:pStyle w:val="ListParagraph"/>
                        <w:numPr>
                          <w:ilvl w:val="0"/>
                          <w:numId w:val="22"/>
                        </w:numPr>
                        <w:rPr>
                          <w:b/>
                          <w:bCs/>
                        </w:rPr>
                      </w:pPr>
                      <w:r w:rsidRPr="00504AB2">
                        <w:t>A significant amount of the conditions driving inequality in life expectancy were found to have attributable risks that could be reduced – particularly tobacco and high blood pressure. A focus on prevention in these measures would reduce future inequalities in mortality.</w:t>
                      </w:r>
                    </w:p>
                    <w:p w14:paraId="3604586B" w14:textId="3FA1EF88" w:rsidR="00242D40" w:rsidRPr="00504AB2" w:rsidRDefault="00C2376E" w:rsidP="00BD0DD8">
                      <w:pPr>
                        <w:pStyle w:val="ListParagraph"/>
                        <w:numPr>
                          <w:ilvl w:val="0"/>
                          <w:numId w:val="22"/>
                        </w:numPr>
                        <w:rPr>
                          <w:b/>
                          <w:bCs/>
                        </w:rPr>
                      </w:pPr>
                      <w:r w:rsidRPr="00504AB2">
                        <w:t>Prevention should not be the only way the ICB aims to reduce inequalities in mortality rates. Further analysis of specific diseases could indicate where in the disease pathway there are the most significant inequalities in access and outcomes across patient groups.</w:t>
                      </w:r>
                    </w:p>
                  </w:txbxContent>
                </v:textbox>
                <w10:wrap type="topAndBottom" anchorx="margin"/>
              </v:shape>
            </w:pict>
          </mc:Fallback>
        </mc:AlternateContent>
      </w:r>
      <w:r w:rsidRPr="00504AB2">
        <w:t>Mortality and life expectancy summary and key points</w:t>
      </w:r>
      <w:bookmarkEnd w:id="51"/>
      <w:bookmarkEnd w:id="52"/>
      <w:bookmarkEnd w:id="53"/>
      <w:bookmarkEnd w:id="54"/>
    </w:p>
    <w:p w14:paraId="0D4CD964" w14:textId="6A9DA05A" w:rsidR="00C87068" w:rsidRPr="00504AB2" w:rsidRDefault="00C87068" w:rsidP="00772AC4">
      <w:pPr>
        <w:pStyle w:val="Heading1"/>
      </w:pPr>
      <w:bookmarkStart w:id="55" w:name="_Toc214446984"/>
      <w:bookmarkStart w:id="56" w:name="_Toc214447016"/>
      <w:bookmarkStart w:id="57" w:name="_Toc214460961"/>
      <w:bookmarkStart w:id="58" w:name="_Toc220937619"/>
      <w:r w:rsidRPr="00504AB2">
        <w:lastRenderedPageBreak/>
        <w:t>Health status and outcomes</w:t>
      </w:r>
      <w:bookmarkEnd w:id="55"/>
      <w:bookmarkEnd w:id="56"/>
      <w:bookmarkEnd w:id="57"/>
      <w:bookmarkEnd w:id="58"/>
    </w:p>
    <w:p w14:paraId="2B43DA04" w14:textId="022D4CCE" w:rsidR="1C124ED8" w:rsidRPr="00504AB2" w:rsidRDefault="1C124ED8" w:rsidP="00C93069">
      <w:pPr>
        <w:pStyle w:val="Heading2"/>
      </w:pPr>
      <w:bookmarkStart w:id="59" w:name="_Toc214447017"/>
      <w:bookmarkStart w:id="60" w:name="_Toc214460962"/>
      <w:bookmarkStart w:id="61" w:name="_Toc220937620"/>
      <w:r w:rsidRPr="00504AB2">
        <w:t>LTCs prevalence</w:t>
      </w:r>
      <w:bookmarkEnd w:id="59"/>
      <w:bookmarkEnd w:id="60"/>
      <w:bookmarkEnd w:id="61"/>
    </w:p>
    <w:p w14:paraId="32CD9225" w14:textId="432E9232" w:rsidR="515D7DA6" w:rsidRDefault="515D7DA6" w:rsidP="013641C3">
      <w:pPr>
        <w:pStyle w:val="HNAHeader1"/>
        <w:rPr>
          <w:b/>
          <w:bCs/>
          <w:u w:val="single"/>
        </w:rPr>
      </w:pPr>
      <w:r>
        <w:t xml:space="preserve">Lancashire and South Cumbria ICB </w:t>
      </w:r>
      <w:proofErr w:type="gramStart"/>
      <w:r>
        <w:t>has</w:t>
      </w:r>
      <w:proofErr w:type="gramEnd"/>
      <w:r>
        <w:t xml:space="preserve"> a higher prevalence of most major long-term conditions and risk factors compared to the national average. </w:t>
      </w:r>
      <w:r w:rsidR="2AF50C88" w:rsidRPr="00504AB2">
        <w:t>This includes</w:t>
      </w:r>
      <w:r w:rsidR="1D1B2F1A" w:rsidRPr="00504AB2">
        <w:t xml:space="preserve"> </w:t>
      </w:r>
      <w:r w:rsidR="2AF50C88" w:rsidRPr="00504AB2">
        <w:t>cardiovascular</w:t>
      </w:r>
      <w:r>
        <w:t xml:space="preserve"> diseases, respiratory conditions, diabetes, cancer, dementia, mental health problems, and lifestyle-related risk factors such as smoking and obesity. </w:t>
      </w:r>
      <w:r w:rsidR="2AF50C88" w:rsidRPr="00504AB2">
        <w:t>The</w:t>
      </w:r>
      <w:r w:rsidR="6EF697E3" w:rsidRPr="00504AB2">
        <w:t xml:space="preserve"> </w:t>
      </w:r>
      <w:r w:rsidR="2AF50C88" w:rsidRPr="00504AB2">
        <w:t>pattern</w:t>
      </w:r>
      <w:r>
        <w:t xml:space="preserve"> is consistent across a wide range of indicators, suggesting that the region faces a substantial burden of ill health relative to other parts of England. The findings </w:t>
      </w:r>
      <w:r w:rsidR="2AF50C88" w:rsidRPr="00504AB2">
        <w:t>from</w:t>
      </w:r>
      <w:r w:rsidR="47698EAC" w:rsidRPr="00504AB2">
        <w:t xml:space="preserve"> </w:t>
      </w:r>
      <w:r w:rsidR="2AF50C88" w:rsidRPr="00504AB2">
        <w:t>the</w:t>
      </w:r>
      <w:r>
        <w:t xml:space="preserve"> data are reflected in the spine chart, which visually demonstrates the extent to which Lancashire and South Cumbria </w:t>
      </w:r>
      <w:proofErr w:type="gramStart"/>
      <w:r>
        <w:t>sits</w:t>
      </w:r>
      <w:proofErr w:type="gramEnd"/>
      <w:r>
        <w:t xml:space="preserve"> above the national average for many </w:t>
      </w:r>
      <w:r w:rsidR="2AF50C88" w:rsidRPr="00504AB2">
        <w:t>key</w:t>
      </w:r>
      <w:r w:rsidR="1363DC54" w:rsidRPr="00504AB2">
        <w:t xml:space="preserve"> </w:t>
      </w:r>
      <w:r w:rsidR="2AF50C88" w:rsidRPr="00504AB2">
        <w:t>health</w:t>
      </w:r>
      <w:r>
        <w:t xml:space="preserve"> indicators. </w:t>
      </w:r>
    </w:p>
    <w:p w14:paraId="7B6B0945" w14:textId="46127C5B" w:rsidR="515D7DA6" w:rsidRDefault="515D7DA6" w:rsidP="013641C3">
      <w:pPr>
        <w:pStyle w:val="HNAHeader1"/>
      </w:pPr>
      <w:r>
        <w:t xml:space="preserve">Across cardiovascular conditions, Lancashire and South Cumbria ICB consistently reports higher prevalence than the England average. For example, the prevalence </w:t>
      </w:r>
      <w:r w:rsidR="2AF50C88" w:rsidRPr="00504AB2">
        <w:t>of</w:t>
      </w:r>
      <w:r w:rsidR="2BB7A39D" w:rsidRPr="00504AB2">
        <w:t xml:space="preserve"> </w:t>
      </w:r>
      <w:r w:rsidR="2AF50C88" w:rsidRPr="00504AB2">
        <w:t>hypertension</w:t>
      </w:r>
      <w:r>
        <w:t xml:space="preserve"> is 16.7%, compared to 14.8% nationally. Stroke prevalence is 2.2% (England: 1.9%), and coronary heart disease (CHD) affects 3.7% of the population, </w:t>
      </w:r>
      <w:r w:rsidR="2AF50C88" w:rsidRPr="00504AB2">
        <w:t>notably</w:t>
      </w:r>
      <w:r w:rsidR="69983D85" w:rsidRPr="00504AB2">
        <w:t xml:space="preserve"> </w:t>
      </w:r>
      <w:r w:rsidR="2AF50C88" w:rsidRPr="00504AB2">
        <w:t xml:space="preserve">higher </w:t>
      </w:r>
      <w:r>
        <w:t xml:space="preserve">than the national figure of 3.0%. Similarly, atrial fibrillation is recorded at 2.5% (England: 2.2%), and heart failure at 1.3% (England: 1.1%). Peripheral arterial disease(PAD) also shows a higher prevalence at 0.8%, compared to 0.6% for England as a whole. </w:t>
      </w:r>
    </w:p>
    <w:p w14:paraId="15128576" w14:textId="07ECB6FC" w:rsidR="515D7DA6" w:rsidRDefault="515D7DA6" w:rsidP="013641C3">
      <w:pPr>
        <w:pStyle w:val="HNAHeader1"/>
      </w:pPr>
      <w:r>
        <w:t xml:space="preserve">Respiratory conditions follow a similar pattern. COPD prevalence in Lancashire and South Cumbria is 2.4%, which is above the national average of 1.9%. Asthma </w:t>
      </w:r>
      <w:r w:rsidR="2AF50C88" w:rsidRPr="00504AB2">
        <w:t>affects</w:t>
      </w:r>
      <w:r w:rsidR="4701F8F9" w:rsidRPr="00504AB2">
        <w:t xml:space="preserve"> </w:t>
      </w:r>
      <w:r w:rsidR="2AF50C88" w:rsidRPr="00504AB2">
        <w:t>7</w:t>
      </w:r>
      <w:r>
        <w:t xml:space="preserve">.5% of the population aged six and over, compared to 6.5% nationally. These figures suggest a greater burden of respiratory disease in the region. </w:t>
      </w:r>
    </w:p>
    <w:p w14:paraId="2EB133E5" w14:textId="2923E1CB" w:rsidR="515D7DA6" w:rsidRDefault="515D7DA6" w:rsidP="013641C3">
      <w:pPr>
        <w:pStyle w:val="HNAHeader1"/>
      </w:pPr>
      <w:r>
        <w:t>The data also indicate higher rates of metabolic and endocrine conditions. Diabetes prevalence among those aged 17 and over is 8.0%, exceeding the England average of7.7%. Non-diabetic hyperglycaemia (NDH) is recorded at 8.3% (England: 8.2%). Chronic kidney disease (CKD) among adults is 4.7%, compared to 4.4% nationally. Obesity,</w:t>
      </w:r>
      <w:r w:rsidR="2583E00D" w:rsidRPr="00504AB2">
        <w:t xml:space="preserve"> </w:t>
      </w:r>
      <w:r>
        <w:t xml:space="preserve">using the new QOF definition, is 14.3% in Lancashire and South Cumbria, while the national average is 12.8%. The previous definition also showed a higher </w:t>
      </w:r>
      <w:r w:rsidR="2AF50C88" w:rsidRPr="00504AB2">
        <w:t>prevalence</w:t>
      </w:r>
      <w:r w:rsidR="7B08D237" w:rsidRPr="00504AB2">
        <w:t xml:space="preserve"> </w:t>
      </w:r>
      <w:r w:rsidR="2AF50C88" w:rsidRPr="00504AB2">
        <w:t xml:space="preserve">locally. </w:t>
      </w:r>
      <w:r>
        <w:t xml:space="preserve"> </w:t>
      </w:r>
    </w:p>
    <w:p w14:paraId="112474E6" w14:textId="52036840" w:rsidR="515D7DA6" w:rsidRDefault="515D7DA6" w:rsidP="013641C3">
      <w:pPr>
        <w:pStyle w:val="HNAHeader1"/>
      </w:pPr>
      <w:r>
        <w:t xml:space="preserve">Cancer prevalence is 4.1%, higher than the England average of 3.6%. Dementia affects 0.9% of the population, compared to 0.8% nationally. The prevalence of </w:t>
      </w:r>
      <w:r w:rsidR="2AF50C88" w:rsidRPr="00504AB2">
        <w:t>learning</w:t>
      </w:r>
      <w:r w:rsidR="07AE9381" w:rsidRPr="00504AB2">
        <w:t xml:space="preserve"> </w:t>
      </w:r>
      <w:r w:rsidR="2AF50C88" w:rsidRPr="00504AB2">
        <w:t>disability</w:t>
      </w:r>
      <w:r>
        <w:t xml:space="preserve"> is 0.58%, which is in line with the national average. Epilepsy among adults is 1.0%, compared to 0.8% for England. Rheumatoid arthritis (16+ years) is also more</w:t>
      </w:r>
      <w:r w:rsidR="555D1D69">
        <w:t xml:space="preserve"> </w:t>
      </w:r>
      <w:r>
        <w:t xml:space="preserve">common in Lancashire and South Cumbria (0.86%) than nationally (0.77%). </w:t>
      </w:r>
    </w:p>
    <w:p w14:paraId="7DF14411" w14:textId="705D08D8" w:rsidR="515D7DA6" w:rsidRDefault="515D7DA6" w:rsidP="013641C3">
      <w:pPr>
        <w:pStyle w:val="HNAHeader1"/>
      </w:pPr>
      <w:r>
        <w:t xml:space="preserve">Mental health indicators reveal a particularly marked difference. Depression prevalence (2022/23) is 16.7% in Lancashire and South Cumbria, substantially higher than </w:t>
      </w:r>
      <w:r w:rsidR="2AF50C88" w:rsidRPr="00504AB2">
        <w:t>the</w:t>
      </w:r>
      <w:r w:rsidR="50942BBD" w:rsidRPr="00504AB2">
        <w:t xml:space="preserve"> </w:t>
      </w:r>
      <w:r w:rsidR="2AF50C88" w:rsidRPr="00504AB2">
        <w:lastRenderedPageBreak/>
        <w:t>national</w:t>
      </w:r>
      <w:r>
        <w:t xml:space="preserve"> average of 13.3%. This suggests a significant mental health burden in the region. The prevalence of palliative and supportive care is also higher locally (0.72%) </w:t>
      </w:r>
      <w:r w:rsidR="2AF50C88" w:rsidRPr="00504AB2">
        <w:t>than</w:t>
      </w:r>
      <w:r w:rsidR="77E7DC30" w:rsidRPr="00504AB2">
        <w:t xml:space="preserve"> </w:t>
      </w:r>
      <w:r w:rsidR="2AF50C88" w:rsidRPr="00504AB2">
        <w:t>the</w:t>
      </w:r>
      <w:r>
        <w:t xml:space="preserve"> England average (0.55%). </w:t>
      </w:r>
    </w:p>
    <w:p w14:paraId="38728B37" w14:textId="1C3D989A" w:rsidR="515D7DA6" w:rsidRDefault="515D7DA6" w:rsidP="013641C3">
      <w:pPr>
        <w:pStyle w:val="HNAHeader1"/>
        <w:rPr>
          <w:rFonts w:eastAsiaTheme="minorEastAsia"/>
        </w:rPr>
      </w:pPr>
      <w:r>
        <w:t>Lifestyle risk factors are also more prevalent in Lancashire and South Cumbria. Smoking prevalence among those aged 15 and over is 15.4%, compared to 14.5% nationally.</w:t>
      </w:r>
      <w:r w:rsidR="699C18D0" w:rsidRPr="00504AB2">
        <w:t xml:space="preserve"> </w:t>
      </w:r>
      <w:r>
        <w:t xml:space="preserve">The prevalence of obesity, as noted above, is also higher than the England </w:t>
      </w:r>
      <w:r w:rsidRPr="013641C3">
        <w:rPr>
          <w:rFonts w:eastAsiaTheme="minorEastAsia"/>
        </w:rPr>
        <w:t>average.</w:t>
      </w:r>
    </w:p>
    <w:p w14:paraId="6E9042AC" w14:textId="383A1500" w:rsidR="006E0719" w:rsidRDefault="006E0719" w:rsidP="013641C3">
      <w:pPr>
        <w:pStyle w:val="HNAHeader1"/>
      </w:pPr>
      <w:r>
        <w:rPr>
          <w:noProof/>
        </w:rPr>
        <w:drawing>
          <wp:inline distT="0" distB="0" distL="0" distR="0" wp14:anchorId="54D12320" wp14:editId="2581919C">
            <wp:extent cx="5724525" cy="4029075"/>
            <wp:effectExtent l="0" t="0" r="0" b="0"/>
            <wp:docPr id="800904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04877" name=""/>
                    <pic:cNvPicPr/>
                  </pic:nvPicPr>
                  <pic:blipFill>
                    <a:blip r:embed="rId48">
                      <a:extLst>
                        <a:ext uri="{28A0092B-C50C-407E-A947-70E740481C1C}">
                          <a14:useLocalDpi xmlns:a14="http://schemas.microsoft.com/office/drawing/2010/main" val="0"/>
                        </a:ext>
                      </a:extLst>
                    </a:blip>
                    <a:stretch>
                      <a:fillRect/>
                    </a:stretch>
                  </pic:blipFill>
                  <pic:spPr>
                    <a:xfrm>
                      <a:off x="0" y="0"/>
                      <a:ext cx="5724525" cy="4029075"/>
                    </a:xfrm>
                    <a:prstGeom prst="rect">
                      <a:avLst/>
                    </a:prstGeom>
                  </pic:spPr>
                </pic:pic>
              </a:graphicData>
            </a:graphic>
          </wp:inline>
        </w:drawing>
      </w:r>
    </w:p>
    <w:p w14:paraId="102B2688" w14:textId="228F8E93" w:rsidR="3E33A073" w:rsidRDefault="3E33A073" w:rsidP="002A07FA">
      <w:pPr>
        <w:pStyle w:val="Heading3"/>
        <w:rPr>
          <w:rFonts w:asciiTheme="majorHAnsi" w:hAnsiTheme="majorHAnsi"/>
          <w:color w:val="000000" w:themeColor="text1"/>
          <w:sz w:val="36"/>
          <w:szCs w:val="36"/>
        </w:rPr>
      </w:pPr>
      <w:r w:rsidRPr="00504AB2">
        <w:t>LTCs by Deprivation</w:t>
      </w:r>
    </w:p>
    <w:p w14:paraId="47E49070" w14:textId="0FB9B734" w:rsidR="3E33A073" w:rsidRDefault="3E33A073" w:rsidP="013641C3">
      <w:pPr>
        <w:pStyle w:val="HNAHeader1"/>
        <w:rPr>
          <w:rFonts w:eastAsiaTheme="minorEastAsia"/>
          <w:color w:val="000000" w:themeColor="text1"/>
        </w:rPr>
      </w:pPr>
      <w:r w:rsidRPr="013641C3">
        <w:rPr>
          <w:rFonts w:eastAsiaTheme="minorEastAsia"/>
          <w:color w:val="000000" w:themeColor="text1"/>
        </w:rPr>
        <w:t xml:space="preserve">When assessing the burden of long-term conditions (LTCs) in the population, both crude and directly </w:t>
      </w:r>
      <w:r w:rsidR="3CD15268" w:rsidRPr="00504AB2">
        <w:rPr>
          <w:rFonts w:eastAsiaTheme="minorEastAsia"/>
          <w:color w:val="000000" w:themeColor="text1"/>
        </w:rPr>
        <w:t>standardised</w:t>
      </w:r>
      <w:r w:rsidR="2E51B0F3" w:rsidRPr="00504AB2">
        <w:rPr>
          <w:rFonts w:eastAsiaTheme="minorEastAsia"/>
          <w:color w:val="000000" w:themeColor="text1"/>
        </w:rPr>
        <w:t xml:space="preserve"> </w:t>
      </w:r>
      <w:r w:rsidR="3CD15268" w:rsidRPr="00504AB2">
        <w:rPr>
          <w:rFonts w:eastAsiaTheme="minorEastAsia"/>
          <w:color w:val="000000" w:themeColor="text1"/>
        </w:rPr>
        <w:t>prevalence</w:t>
      </w:r>
      <w:r w:rsidRPr="013641C3">
        <w:rPr>
          <w:rFonts w:eastAsiaTheme="minorEastAsia"/>
          <w:color w:val="000000" w:themeColor="text1"/>
        </w:rPr>
        <w:t xml:space="preserve"> rates across can be calculated across deprivation deciles to assess the gradient of inequality. </w:t>
      </w:r>
      <w:r w:rsidR="3CD15268" w:rsidRPr="00504AB2">
        <w:rPr>
          <w:rFonts w:eastAsiaTheme="minorEastAsia"/>
          <w:color w:val="000000" w:themeColor="text1"/>
        </w:rPr>
        <w:t>Crude</w:t>
      </w:r>
      <w:r w:rsidR="4530B59E" w:rsidRPr="00504AB2">
        <w:rPr>
          <w:rFonts w:eastAsiaTheme="minorEastAsia"/>
          <w:color w:val="000000" w:themeColor="text1"/>
        </w:rPr>
        <w:t xml:space="preserve"> </w:t>
      </w:r>
      <w:r w:rsidR="3CD15268" w:rsidRPr="00504AB2">
        <w:rPr>
          <w:rFonts w:eastAsiaTheme="minorEastAsia"/>
          <w:color w:val="000000" w:themeColor="text1"/>
        </w:rPr>
        <w:t>prevalence</w:t>
      </w:r>
      <w:r w:rsidRPr="013641C3">
        <w:rPr>
          <w:rFonts w:eastAsiaTheme="minorEastAsia"/>
          <w:color w:val="000000" w:themeColor="text1"/>
        </w:rPr>
        <w:t xml:space="preserve"> rates indicate the proportion of people with a condition in each area, but they do not account for </w:t>
      </w:r>
      <w:r w:rsidR="3CD15268" w:rsidRPr="00504AB2">
        <w:rPr>
          <w:rFonts w:eastAsiaTheme="minorEastAsia"/>
          <w:color w:val="000000" w:themeColor="text1"/>
        </w:rPr>
        <w:t>differences</w:t>
      </w:r>
      <w:r w:rsidR="73D94A9D" w:rsidRPr="00504AB2">
        <w:rPr>
          <w:rFonts w:eastAsiaTheme="minorEastAsia"/>
          <w:color w:val="000000" w:themeColor="text1"/>
        </w:rPr>
        <w:t xml:space="preserve"> </w:t>
      </w:r>
      <w:r w:rsidR="3CD15268" w:rsidRPr="00504AB2">
        <w:rPr>
          <w:rFonts w:eastAsiaTheme="minorEastAsia"/>
          <w:color w:val="000000" w:themeColor="text1"/>
        </w:rPr>
        <w:t xml:space="preserve">in </w:t>
      </w:r>
      <w:r w:rsidRPr="013641C3">
        <w:rPr>
          <w:rFonts w:eastAsiaTheme="minorEastAsia"/>
          <w:color w:val="000000" w:themeColor="text1"/>
        </w:rPr>
        <w:t xml:space="preserve">the age structure of the population. In England deprivation and age are highly negatively correlated: more </w:t>
      </w:r>
      <w:r w:rsidR="3CD15268" w:rsidRPr="00504AB2">
        <w:rPr>
          <w:rFonts w:eastAsiaTheme="minorEastAsia"/>
          <w:color w:val="000000" w:themeColor="text1"/>
        </w:rPr>
        <w:t>deprived</w:t>
      </w:r>
      <w:r w:rsidR="5A97EF2E" w:rsidRPr="00504AB2">
        <w:rPr>
          <w:rFonts w:eastAsiaTheme="minorEastAsia"/>
          <w:color w:val="000000" w:themeColor="text1"/>
        </w:rPr>
        <w:t xml:space="preserve"> </w:t>
      </w:r>
      <w:r w:rsidR="3CD15268" w:rsidRPr="00504AB2">
        <w:rPr>
          <w:rFonts w:eastAsiaTheme="minorEastAsia"/>
          <w:color w:val="000000" w:themeColor="text1"/>
        </w:rPr>
        <w:t xml:space="preserve">areas </w:t>
      </w:r>
      <w:r w:rsidRPr="013641C3">
        <w:rPr>
          <w:rFonts w:eastAsiaTheme="minorEastAsia"/>
          <w:color w:val="000000" w:themeColor="text1"/>
        </w:rPr>
        <w:t xml:space="preserve">tend to have much younger populations, while less deprived areas are typically older. As a result, crude rates </w:t>
      </w:r>
      <w:r w:rsidR="3CD15268" w:rsidRPr="00504AB2">
        <w:rPr>
          <w:rFonts w:eastAsiaTheme="minorEastAsia"/>
          <w:color w:val="000000" w:themeColor="text1"/>
        </w:rPr>
        <w:t>can</w:t>
      </w:r>
      <w:r w:rsidR="4E7F40FF" w:rsidRPr="00504AB2">
        <w:rPr>
          <w:rFonts w:eastAsiaTheme="minorEastAsia"/>
          <w:color w:val="000000" w:themeColor="text1"/>
        </w:rPr>
        <w:t xml:space="preserve"> </w:t>
      </w:r>
      <w:r w:rsidR="3CD15268" w:rsidRPr="00504AB2">
        <w:rPr>
          <w:rFonts w:eastAsiaTheme="minorEastAsia"/>
          <w:color w:val="000000" w:themeColor="text1"/>
        </w:rPr>
        <w:t>be</w:t>
      </w:r>
      <w:r w:rsidRPr="013641C3">
        <w:rPr>
          <w:rFonts w:eastAsiaTheme="minorEastAsia"/>
          <w:color w:val="000000" w:themeColor="text1"/>
        </w:rPr>
        <w:t xml:space="preserve"> misleading when comparing deprivation quintiles, particularly for conditions that are more common in older people. </w:t>
      </w:r>
    </w:p>
    <w:p w14:paraId="7560C523" w14:textId="39192ADF" w:rsidR="3E33A073" w:rsidRDefault="3E33A073" w:rsidP="013641C3">
      <w:pPr>
        <w:pStyle w:val="HNAHeader1"/>
        <w:rPr>
          <w:rFonts w:eastAsiaTheme="minorEastAsia"/>
          <w:color w:val="000000" w:themeColor="text1"/>
        </w:rPr>
      </w:pPr>
      <w:r w:rsidRPr="013641C3">
        <w:rPr>
          <w:rFonts w:eastAsiaTheme="minorEastAsia"/>
          <w:color w:val="000000" w:themeColor="text1"/>
        </w:rPr>
        <w:t xml:space="preserve">To address this, directly standardised rates (DSRs) have been used, adjusting for age and enabling fairer </w:t>
      </w:r>
      <w:r w:rsidR="3CD15268" w:rsidRPr="00504AB2">
        <w:rPr>
          <w:rFonts w:eastAsiaTheme="minorEastAsia"/>
          <w:color w:val="000000" w:themeColor="text1"/>
        </w:rPr>
        <w:t>comparisons</w:t>
      </w:r>
      <w:r w:rsidR="78360738" w:rsidRPr="00504AB2">
        <w:rPr>
          <w:rFonts w:eastAsiaTheme="minorEastAsia"/>
          <w:color w:val="000000" w:themeColor="text1"/>
        </w:rPr>
        <w:t xml:space="preserve"> </w:t>
      </w:r>
      <w:r w:rsidR="3CD15268" w:rsidRPr="00504AB2">
        <w:rPr>
          <w:rFonts w:eastAsiaTheme="minorEastAsia"/>
          <w:color w:val="000000" w:themeColor="text1"/>
        </w:rPr>
        <w:t>between areas.</w:t>
      </w:r>
      <w:r w:rsidRPr="013641C3">
        <w:rPr>
          <w:rFonts w:eastAsiaTheme="minorEastAsia"/>
          <w:color w:val="000000" w:themeColor="text1"/>
        </w:rPr>
        <w:t xml:space="preserve"> For example, the crude prevalence of asthma in the most deprived decile (IMD 1) is 8.24% (95% CI:8.14–8.35), compared to </w:t>
      </w:r>
      <w:r w:rsidRPr="013641C3">
        <w:rPr>
          <w:rFonts w:eastAsiaTheme="minorEastAsia"/>
          <w:color w:val="000000" w:themeColor="text1"/>
        </w:rPr>
        <w:lastRenderedPageBreak/>
        <w:t xml:space="preserve">6.01% (95% CI: 5.88–6.15) in the least deprived decile (IMD 10). However, when adjusted </w:t>
      </w:r>
      <w:r w:rsidR="3CD15268" w:rsidRPr="00504AB2">
        <w:rPr>
          <w:rFonts w:eastAsiaTheme="minorEastAsia"/>
          <w:color w:val="000000" w:themeColor="text1"/>
        </w:rPr>
        <w:t>for</w:t>
      </w:r>
      <w:r w:rsidR="0E61AB1B" w:rsidRPr="00504AB2">
        <w:rPr>
          <w:rFonts w:eastAsiaTheme="minorEastAsia"/>
          <w:color w:val="000000" w:themeColor="text1"/>
        </w:rPr>
        <w:t xml:space="preserve"> </w:t>
      </w:r>
      <w:r w:rsidR="3CD15268" w:rsidRPr="00504AB2">
        <w:rPr>
          <w:rFonts w:eastAsiaTheme="minorEastAsia"/>
          <w:color w:val="000000" w:themeColor="text1"/>
        </w:rPr>
        <w:t>age</w:t>
      </w:r>
      <w:r w:rsidRPr="013641C3">
        <w:rPr>
          <w:rFonts w:eastAsiaTheme="minorEastAsia"/>
          <w:color w:val="000000" w:themeColor="text1"/>
        </w:rPr>
        <w:t xml:space="preserve">, the DSR in IMD 1 rises to 8.92% (95% CI: 8.81–9.04), while in IMD 10 it falls to 5.94% (95% CI: 5.80–6.08). </w:t>
      </w:r>
      <w:r w:rsidR="3CD15268" w:rsidRPr="00504AB2">
        <w:rPr>
          <w:rFonts w:eastAsiaTheme="minorEastAsia"/>
          <w:color w:val="000000" w:themeColor="text1"/>
        </w:rPr>
        <w:t>This</w:t>
      </w:r>
      <w:r w:rsidR="6D5721CB" w:rsidRPr="00504AB2">
        <w:rPr>
          <w:rFonts w:eastAsiaTheme="minorEastAsia"/>
          <w:color w:val="000000" w:themeColor="text1"/>
        </w:rPr>
        <w:t xml:space="preserve"> </w:t>
      </w:r>
      <w:r w:rsidR="3CD15268" w:rsidRPr="00504AB2">
        <w:rPr>
          <w:rFonts w:eastAsiaTheme="minorEastAsia"/>
          <w:color w:val="000000" w:themeColor="text1"/>
        </w:rPr>
        <w:t>demonstrates</w:t>
      </w:r>
      <w:r w:rsidRPr="013641C3">
        <w:rPr>
          <w:rFonts w:eastAsiaTheme="minorEastAsia"/>
          <w:color w:val="000000" w:themeColor="text1"/>
        </w:rPr>
        <w:t xml:space="preserve"> that the higher burden of asthma in deprived areas is not simply due to a younger </w:t>
      </w:r>
      <w:proofErr w:type="gramStart"/>
      <w:r w:rsidRPr="013641C3">
        <w:rPr>
          <w:rFonts w:eastAsiaTheme="minorEastAsia"/>
          <w:color w:val="000000" w:themeColor="text1"/>
        </w:rPr>
        <w:t>population, but</w:t>
      </w:r>
      <w:proofErr w:type="gramEnd"/>
      <w:r w:rsidRPr="013641C3">
        <w:rPr>
          <w:rFonts w:eastAsiaTheme="minorEastAsia"/>
          <w:color w:val="000000" w:themeColor="text1"/>
        </w:rPr>
        <w:t xml:space="preserve"> </w:t>
      </w:r>
      <w:r w:rsidR="3CD15268" w:rsidRPr="00504AB2">
        <w:rPr>
          <w:rFonts w:eastAsiaTheme="minorEastAsia"/>
          <w:color w:val="000000" w:themeColor="text1"/>
        </w:rPr>
        <w:t>reflects</w:t>
      </w:r>
      <w:r w:rsidR="6B1B9600" w:rsidRPr="00504AB2">
        <w:rPr>
          <w:rFonts w:eastAsiaTheme="minorEastAsia"/>
          <w:color w:val="000000" w:themeColor="text1"/>
        </w:rPr>
        <w:t xml:space="preserve"> </w:t>
      </w:r>
      <w:r w:rsidR="3CD15268" w:rsidRPr="00504AB2">
        <w:rPr>
          <w:rFonts w:eastAsiaTheme="minorEastAsia"/>
          <w:color w:val="000000" w:themeColor="text1"/>
        </w:rPr>
        <w:t>a</w:t>
      </w:r>
      <w:r w:rsidRPr="013641C3">
        <w:rPr>
          <w:rFonts w:eastAsiaTheme="minorEastAsia"/>
          <w:color w:val="000000" w:themeColor="text1"/>
        </w:rPr>
        <w:t xml:space="preserve"> true underlying difference in risk. </w:t>
      </w:r>
    </w:p>
    <w:p w14:paraId="22BBCACE" w14:textId="6CC39647" w:rsidR="3E33A073" w:rsidRDefault="3E33A073" w:rsidP="013641C3">
      <w:pPr>
        <w:pStyle w:val="HNAHeader1"/>
        <w:rPr>
          <w:rFonts w:eastAsiaTheme="minorEastAsia"/>
          <w:color w:val="000000" w:themeColor="text1"/>
        </w:rPr>
      </w:pPr>
      <w:r w:rsidRPr="013641C3">
        <w:rPr>
          <w:rFonts w:eastAsiaTheme="minorEastAsia"/>
          <w:color w:val="000000" w:themeColor="text1"/>
        </w:rPr>
        <w:t xml:space="preserve">A similar pattern is observed for coronary heart disease (CHD). The crude prevalence in IMD 1 is 3.66% (95% CI: 3.59–3.73), compared to 2.91% (95% CI: 2.82–3.01) in IMD 10. After standardisation, the rate in IMD 1 is 4.82% (95% CI: 4.72–4.91), while in IMD 10 it is 2.50% (95% CI: 2.42–2.58). This indicates that, even after accounting for age, people living </w:t>
      </w:r>
      <w:r w:rsidR="3CD15268" w:rsidRPr="00504AB2">
        <w:rPr>
          <w:rFonts w:eastAsiaTheme="minorEastAsia"/>
          <w:color w:val="000000" w:themeColor="text1"/>
        </w:rPr>
        <w:t>in</w:t>
      </w:r>
      <w:r w:rsidR="568E0A42" w:rsidRPr="00504AB2">
        <w:rPr>
          <w:rFonts w:eastAsiaTheme="minorEastAsia"/>
          <w:color w:val="000000" w:themeColor="text1"/>
        </w:rPr>
        <w:t xml:space="preserve"> </w:t>
      </w:r>
      <w:r w:rsidR="3CD15268" w:rsidRPr="00504AB2">
        <w:rPr>
          <w:rFonts w:eastAsiaTheme="minorEastAsia"/>
          <w:color w:val="000000" w:themeColor="text1"/>
        </w:rPr>
        <w:t>more</w:t>
      </w:r>
      <w:r w:rsidRPr="013641C3">
        <w:rPr>
          <w:rFonts w:eastAsiaTheme="minorEastAsia"/>
          <w:color w:val="000000" w:themeColor="text1"/>
        </w:rPr>
        <w:t xml:space="preserve"> deprived areas are at greater risk of CHD. </w:t>
      </w:r>
    </w:p>
    <w:p w14:paraId="4875174E" w14:textId="4D2DE537" w:rsidR="3E33A073" w:rsidRDefault="3E33A073" w:rsidP="013641C3">
      <w:pPr>
        <w:pStyle w:val="HNAHeader1"/>
        <w:rPr>
          <w:rFonts w:eastAsiaTheme="minorEastAsia"/>
          <w:color w:val="000000" w:themeColor="text1"/>
        </w:rPr>
      </w:pPr>
      <w:r w:rsidRPr="013641C3">
        <w:rPr>
          <w:rFonts w:eastAsiaTheme="minorEastAsia"/>
          <w:color w:val="000000" w:themeColor="text1"/>
        </w:rPr>
        <w:t>Heart failure also shows a marked deprivation gradient. In IMD 1, the crude prevalence is 1.33% (95% CI: 1.29–1.37),</w:t>
      </w:r>
      <w:r w:rsidR="76A3922E" w:rsidRPr="00504AB2">
        <w:rPr>
          <w:rFonts w:eastAsiaTheme="minorEastAsia"/>
          <w:color w:val="000000" w:themeColor="text1"/>
        </w:rPr>
        <w:t xml:space="preserve"> </w:t>
      </w:r>
      <w:r w:rsidRPr="013641C3">
        <w:rPr>
          <w:rFonts w:eastAsiaTheme="minorEastAsia"/>
          <w:color w:val="000000" w:themeColor="text1"/>
        </w:rPr>
        <w:t xml:space="preserve">rising to a DSR of 1.77% (95% CI: 1.72–1.83). In IMD 10, the crude prevalence is 1.12% (95% CI: 1.07–1.18), and the </w:t>
      </w:r>
      <w:r w:rsidR="3CD15268" w:rsidRPr="00504AB2">
        <w:rPr>
          <w:rFonts w:eastAsiaTheme="minorEastAsia"/>
          <w:color w:val="000000" w:themeColor="text1"/>
        </w:rPr>
        <w:t>DSR</w:t>
      </w:r>
      <w:r w:rsidR="7F137865" w:rsidRPr="00504AB2">
        <w:rPr>
          <w:rFonts w:eastAsiaTheme="minorEastAsia"/>
          <w:color w:val="000000" w:themeColor="text1"/>
        </w:rPr>
        <w:t xml:space="preserve"> </w:t>
      </w:r>
      <w:r w:rsidR="3CD15268" w:rsidRPr="00504AB2">
        <w:rPr>
          <w:rFonts w:eastAsiaTheme="minorEastAsia"/>
          <w:color w:val="000000" w:themeColor="text1"/>
        </w:rPr>
        <w:t xml:space="preserve">is </w:t>
      </w:r>
      <w:r w:rsidRPr="013641C3">
        <w:rPr>
          <w:rFonts w:eastAsiaTheme="minorEastAsia"/>
          <w:color w:val="000000" w:themeColor="text1"/>
        </w:rPr>
        <w:t>0.97% (95% CI: 0.92–1.02). COPD follows the same trend: in IMD 1, the crude prevalence is 3.77% (95% CI: 3.70–3.84)</w:t>
      </w:r>
      <w:r w:rsidR="3EC9443E" w:rsidRPr="00504AB2">
        <w:rPr>
          <w:rFonts w:eastAsiaTheme="minorEastAsia"/>
          <w:color w:val="000000" w:themeColor="text1"/>
        </w:rPr>
        <w:t xml:space="preserve"> </w:t>
      </w:r>
      <w:r w:rsidRPr="013641C3">
        <w:rPr>
          <w:rFonts w:eastAsiaTheme="minorEastAsia"/>
          <w:color w:val="000000" w:themeColor="text1"/>
        </w:rPr>
        <w:t xml:space="preserve">and the DSR is 4.83% (95% CI: 4.74–4.92), compared to a crude prevalence of 1.20% (95% CI: 1.14–1.26) and a DSR of1.01% (95% CI: 0.96–1.06) in IMD 10. </w:t>
      </w:r>
    </w:p>
    <w:p w14:paraId="21E89B51" w14:textId="50E3DE0B" w:rsidR="3E33A073" w:rsidRDefault="3E33A073" w:rsidP="013641C3">
      <w:pPr>
        <w:pStyle w:val="HNAHeader1"/>
        <w:rPr>
          <w:rFonts w:eastAsiaTheme="minorEastAsia"/>
          <w:color w:val="000000" w:themeColor="text1"/>
        </w:rPr>
      </w:pPr>
      <w:r w:rsidRPr="013641C3">
        <w:rPr>
          <w:rFonts w:eastAsiaTheme="minorEastAsia"/>
          <w:color w:val="000000" w:themeColor="text1"/>
        </w:rPr>
        <w:t xml:space="preserve">Depression stands out as the condition with the steepest social gradient. In the most deprived decile, the </w:t>
      </w:r>
      <w:r w:rsidR="3CD15268" w:rsidRPr="00504AB2">
        <w:rPr>
          <w:rFonts w:eastAsiaTheme="minorEastAsia"/>
          <w:color w:val="000000" w:themeColor="text1"/>
        </w:rPr>
        <w:t>crude</w:t>
      </w:r>
      <w:r w:rsidR="255E7D5B" w:rsidRPr="00504AB2">
        <w:rPr>
          <w:rFonts w:eastAsiaTheme="minorEastAsia"/>
          <w:color w:val="000000" w:themeColor="text1"/>
        </w:rPr>
        <w:t xml:space="preserve"> </w:t>
      </w:r>
      <w:r w:rsidR="3CD15268" w:rsidRPr="00504AB2">
        <w:rPr>
          <w:rFonts w:eastAsiaTheme="minorEastAsia"/>
          <w:color w:val="000000" w:themeColor="text1"/>
        </w:rPr>
        <w:t xml:space="preserve">prevalence is </w:t>
      </w:r>
      <w:r w:rsidRPr="013641C3">
        <w:rPr>
          <w:rFonts w:eastAsiaTheme="minorEastAsia"/>
          <w:color w:val="000000" w:themeColor="text1"/>
        </w:rPr>
        <w:t>20.40% (95% CI: 20.26–20.55), with a DSR of 21.91% (95% CI: 21.73–22.09). In the least deprived decile,</w:t>
      </w:r>
      <w:r w:rsidR="6A113673" w:rsidRPr="00504AB2">
        <w:rPr>
          <w:rFonts w:eastAsiaTheme="minorEastAsia"/>
          <w:color w:val="000000" w:themeColor="text1"/>
        </w:rPr>
        <w:t xml:space="preserve"> </w:t>
      </w:r>
      <w:r w:rsidRPr="013641C3">
        <w:rPr>
          <w:rFonts w:eastAsiaTheme="minorEastAsia"/>
          <w:color w:val="000000" w:themeColor="text1"/>
        </w:rPr>
        <w:t xml:space="preserve">the crude prevalence is 9.72% (95% CI: 9.56–9.89), and the DSR is 10.41% (95% CI: 10.21–10.60). This means that, </w:t>
      </w:r>
      <w:r w:rsidR="3CD15268" w:rsidRPr="00504AB2">
        <w:rPr>
          <w:rFonts w:eastAsiaTheme="minorEastAsia"/>
          <w:color w:val="000000" w:themeColor="text1"/>
        </w:rPr>
        <w:t>even</w:t>
      </w:r>
      <w:r w:rsidR="6D73C8CD" w:rsidRPr="00504AB2">
        <w:rPr>
          <w:rFonts w:eastAsiaTheme="minorEastAsia"/>
          <w:color w:val="000000" w:themeColor="text1"/>
        </w:rPr>
        <w:t xml:space="preserve"> </w:t>
      </w:r>
      <w:r w:rsidR="3CD15268" w:rsidRPr="00504AB2">
        <w:rPr>
          <w:rFonts w:eastAsiaTheme="minorEastAsia"/>
          <w:color w:val="000000" w:themeColor="text1"/>
        </w:rPr>
        <w:t>after</w:t>
      </w:r>
      <w:r w:rsidRPr="013641C3">
        <w:rPr>
          <w:rFonts w:eastAsiaTheme="minorEastAsia"/>
          <w:color w:val="000000" w:themeColor="text1"/>
        </w:rPr>
        <w:t xml:space="preserve"> adjusting for age, depression is more than twice as common in the most deprived areas compared to the </w:t>
      </w:r>
      <w:r w:rsidR="3CD15268" w:rsidRPr="00504AB2">
        <w:rPr>
          <w:rFonts w:eastAsiaTheme="minorEastAsia"/>
          <w:color w:val="000000" w:themeColor="text1"/>
        </w:rPr>
        <w:t>least</w:t>
      </w:r>
      <w:r w:rsidR="585A2338" w:rsidRPr="00504AB2">
        <w:rPr>
          <w:rFonts w:eastAsiaTheme="minorEastAsia"/>
          <w:color w:val="000000" w:themeColor="text1"/>
        </w:rPr>
        <w:t xml:space="preserve"> </w:t>
      </w:r>
      <w:r w:rsidR="3CD15268" w:rsidRPr="00504AB2">
        <w:rPr>
          <w:rFonts w:eastAsiaTheme="minorEastAsia"/>
          <w:color w:val="000000" w:themeColor="text1"/>
        </w:rPr>
        <w:t>deprived.</w:t>
      </w:r>
      <w:r w:rsidRPr="013641C3">
        <w:rPr>
          <w:rFonts w:eastAsiaTheme="minorEastAsia"/>
          <w:color w:val="000000" w:themeColor="text1"/>
        </w:rPr>
        <w:t xml:space="preserve"> </w:t>
      </w:r>
    </w:p>
    <w:p w14:paraId="55701063" w14:textId="7D10BFA6" w:rsidR="3E33A073" w:rsidRDefault="3E33A073" w:rsidP="013641C3">
      <w:pPr>
        <w:pStyle w:val="HNAHeader1"/>
        <w:rPr>
          <w:rFonts w:eastAsiaTheme="minorEastAsia"/>
          <w:color w:val="000000" w:themeColor="text1"/>
        </w:rPr>
      </w:pPr>
      <w:r w:rsidRPr="013641C3">
        <w:rPr>
          <w:rFonts w:eastAsiaTheme="minorEastAsia"/>
          <w:color w:val="000000" w:themeColor="text1"/>
        </w:rPr>
        <w:t xml:space="preserve">For diabetes, the crude prevalence in IMD 1 is 8.75% (95% CI: 8.64–8.85), with a DSR of 10.71% (95% CI: 10.58–10.85).In IMD 10, the crude prevalence is 4.34% (95% CI: 4.23–4.45), and the DSR is 3.86% (95% CI: 3.75–3.96). </w:t>
      </w:r>
      <w:r w:rsidR="3CD15268" w:rsidRPr="00504AB2">
        <w:rPr>
          <w:rFonts w:eastAsiaTheme="minorEastAsia"/>
          <w:color w:val="000000" w:themeColor="text1"/>
        </w:rPr>
        <w:t>Hypertension</w:t>
      </w:r>
      <w:r w:rsidR="4696CAE6" w:rsidRPr="00504AB2">
        <w:rPr>
          <w:rFonts w:eastAsiaTheme="minorEastAsia"/>
          <w:color w:val="000000" w:themeColor="text1"/>
        </w:rPr>
        <w:t xml:space="preserve"> </w:t>
      </w:r>
      <w:r w:rsidR="3CD15268" w:rsidRPr="00504AB2">
        <w:rPr>
          <w:rFonts w:eastAsiaTheme="minorEastAsia"/>
          <w:color w:val="000000" w:themeColor="text1"/>
        </w:rPr>
        <w:t>is</w:t>
      </w:r>
      <w:r w:rsidRPr="013641C3">
        <w:rPr>
          <w:rFonts w:eastAsiaTheme="minorEastAsia"/>
          <w:color w:val="000000" w:themeColor="text1"/>
        </w:rPr>
        <w:t xml:space="preserve"> a little different: crude rates are similar across deciles (15.15% in IMD 1 and 15.38% in IMD 10), but standardised </w:t>
      </w:r>
      <w:r w:rsidR="3CD15268" w:rsidRPr="00504AB2">
        <w:rPr>
          <w:rFonts w:eastAsiaTheme="minorEastAsia"/>
          <w:color w:val="000000" w:themeColor="text1"/>
        </w:rPr>
        <w:t>rates</w:t>
      </w:r>
      <w:r w:rsidR="71C6D249" w:rsidRPr="00504AB2">
        <w:rPr>
          <w:rFonts w:eastAsiaTheme="minorEastAsia"/>
          <w:color w:val="000000" w:themeColor="text1"/>
        </w:rPr>
        <w:t xml:space="preserve"> </w:t>
      </w:r>
      <w:r w:rsidR="3CD15268" w:rsidRPr="00504AB2">
        <w:rPr>
          <w:rFonts w:eastAsiaTheme="minorEastAsia"/>
          <w:color w:val="000000" w:themeColor="text1"/>
        </w:rPr>
        <w:t>reveal</w:t>
      </w:r>
      <w:r w:rsidRPr="013641C3">
        <w:rPr>
          <w:rFonts w:eastAsiaTheme="minorEastAsia"/>
          <w:color w:val="000000" w:themeColor="text1"/>
        </w:rPr>
        <w:t xml:space="preserve"> a higher underlying risk in deprived areas (DSR 19.03% in IMD 1 versus 13.28% in IMD 10).</w:t>
      </w:r>
    </w:p>
    <w:p w14:paraId="1F2943C7" w14:textId="27913145" w:rsidR="00403F90" w:rsidRPr="00504AB2" w:rsidRDefault="1745F3C3" w:rsidP="013641C3">
      <w:pPr>
        <w:pStyle w:val="HNAHeader1"/>
        <w:rPr>
          <w:rStyle w:val="Heading2Char"/>
        </w:rPr>
      </w:pPr>
      <w:r>
        <w:rPr>
          <w:noProof/>
        </w:rPr>
        <w:lastRenderedPageBreak/>
        <w:drawing>
          <wp:inline distT="0" distB="0" distL="0" distR="0" wp14:anchorId="07291224" wp14:editId="4AD6EEA6">
            <wp:extent cx="4724400" cy="5724525"/>
            <wp:effectExtent l="0" t="0" r="0" b="0"/>
            <wp:docPr id="9922277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27799"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24400" cy="5724525"/>
                    </a:xfrm>
                    <a:prstGeom prst="rect">
                      <a:avLst/>
                    </a:prstGeom>
                  </pic:spPr>
                </pic:pic>
              </a:graphicData>
            </a:graphic>
          </wp:inline>
        </w:drawing>
      </w:r>
      <w:r>
        <w:br/>
      </w:r>
    </w:p>
    <w:p w14:paraId="3945BA7E" w14:textId="785D5E23" w:rsidR="1745F3C3" w:rsidRPr="00FC2C35" w:rsidRDefault="68965660" w:rsidP="00FC2C35">
      <w:pPr>
        <w:pStyle w:val="Heading3"/>
      </w:pPr>
      <w:bookmarkStart w:id="62" w:name="_Toc214447018"/>
      <w:bookmarkStart w:id="63" w:name="_Toc214460963"/>
      <w:bookmarkStart w:id="64" w:name="_Toc220937621"/>
      <w:r w:rsidRPr="00FC2C35">
        <w:rPr>
          <w:rStyle w:val="Heading2Char"/>
          <w:rFonts w:asciiTheme="minorHAnsi" w:hAnsiTheme="minorHAnsi"/>
          <w:b/>
          <w:color w:val="auto"/>
          <w:sz w:val="24"/>
          <w:szCs w:val="28"/>
        </w:rPr>
        <w:t>Co-morbidity by deprivation</w:t>
      </w:r>
      <w:bookmarkEnd w:id="62"/>
      <w:bookmarkEnd w:id="63"/>
      <w:bookmarkEnd w:id="64"/>
    </w:p>
    <w:p w14:paraId="2245214E" w14:textId="5081992B" w:rsidR="68965660" w:rsidRDefault="68965660" w:rsidP="013641C3">
      <w:pPr>
        <w:pStyle w:val="HNAHeader1"/>
        <w:rPr>
          <w:rFonts w:eastAsiaTheme="minorEastAsia"/>
          <w:color w:val="000000" w:themeColor="text1"/>
        </w:rPr>
      </w:pPr>
      <w:r w:rsidRPr="013641C3">
        <w:rPr>
          <w:rFonts w:eastAsiaTheme="minorEastAsia"/>
          <w:color w:val="000000" w:themeColor="text1"/>
        </w:rPr>
        <w:t>Using both crude and standardised for assessing the gradient of people having three or more co-</w:t>
      </w:r>
      <w:proofErr w:type="spellStart"/>
      <w:r w:rsidRPr="013641C3">
        <w:rPr>
          <w:rFonts w:eastAsiaTheme="minorEastAsia"/>
          <w:color w:val="000000" w:themeColor="text1"/>
        </w:rPr>
        <w:t>morbities</w:t>
      </w:r>
      <w:proofErr w:type="spellEnd"/>
      <w:r w:rsidR="60164BC0" w:rsidRPr="013641C3">
        <w:rPr>
          <w:rFonts w:eastAsiaTheme="minorEastAsia"/>
          <w:color w:val="000000" w:themeColor="text1"/>
        </w:rPr>
        <w:t>, a clear gradient is clear from both rate types, although more pronounced in the standardised rates</w:t>
      </w:r>
      <w:r w:rsidR="4756CBA5" w:rsidRPr="013641C3">
        <w:rPr>
          <w:rFonts w:eastAsiaTheme="minorEastAsia"/>
          <w:color w:val="000000" w:themeColor="text1"/>
        </w:rPr>
        <w:t xml:space="preserve">, which show the prevalence is more than twice as high in the most deprived decile when </w:t>
      </w:r>
      <w:r w:rsidR="595C9FBF" w:rsidRPr="00504AB2">
        <w:rPr>
          <w:rFonts w:eastAsiaTheme="minorEastAsia"/>
          <w:color w:val="000000" w:themeColor="text1"/>
        </w:rPr>
        <w:t>compared</w:t>
      </w:r>
      <w:r w:rsidR="4756CBA5" w:rsidRPr="013641C3">
        <w:rPr>
          <w:rFonts w:eastAsiaTheme="minorEastAsia"/>
          <w:color w:val="000000" w:themeColor="text1"/>
        </w:rPr>
        <w:t xml:space="preserve"> to the least deprived.</w:t>
      </w:r>
    </w:p>
    <w:p w14:paraId="5B9BE6AD" w14:textId="3A144B8F" w:rsidR="013641C3" w:rsidRDefault="013641C3" w:rsidP="013641C3">
      <w:pPr>
        <w:pStyle w:val="HNAHeader1"/>
      </w:pPr>
      <w:r>
        <w:lastRenderedPageBreak/>
        <w:br/>
      </w:r>
      <w:r w:rsidR="6B8D65F9">
        <w:rPr>
          <w:noProof/>
        </w:rPr>
        <w:drawing>
          <wp:inline distT="0" distB="0" distL="0" distR="0" wp14:anchorId="0DB2A571" wp14:editId="45340055">
            <wp:extent cx="5724525" cy="4010025"/>
            <wp:effectExtent l="0" t="0" r="0" b="0"/>
            <wp:docPr id="392201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01035" name=""/>
                    <pic:cNvPicPr/>
                  </pic:nvPicPr>
                  <pic:blipFill>
                    <a:blip r:embed="rId50">
                      <a:extLst>
                        <a:ext uri="{28A0092B-C50C-407E-A947-70E740481C1C}">
                          <a14:useLocalDpi xmlns:a14="http://schemas.microsoft.com/office/drawing/2010/main" val="0"/>
                        </a:ext>
                      </a:extLst>
                    </a:blip>
                    <a:stretch>
                      <a:fillRect/>
                    </a:stretch>
                  </pic:blipFill>
                  <pic:spPr>
                    <a:xfrm>
                      <a:off x="0" y="0"/>
                      <a:ext cx="5724525" cy="4010025"/>
                    </a:xfrm>
                    <a:prstGeom prst="rect">
                      <a:avLst/>
                    </a:prstGeom>
                  </pic:spPr>
                </pic:pic>
              </a:graphicData>
            </a:graphic>
          </wp:inline>
        </w:drawing>
      </w:r>
    </w:p>
    <w:p w14:paraId="53A795F3" w14:textId="3FF201A2" w:rsidR="4F1A0394" w:rsidRDefault="4F1A0394" w:rsidP="4F1A0394">
      <w:pPr>
        <w:pStyle w:val="HNAHeader1"/>
      </w:pPr>
    </w:p>
    <w:p w14:paraId="2CC6CA84" w14:textId="167110C6" w:rsidR="5A5ED570" w:rsidRDefault="5A5ED570" w:rsidP="4F1A0394">
      <w:pPr>
        <w:pStyle w:val="HNAHeader1"/>
        <w:rPr>
          <w:rFonts w:eastAsiaTheme="minorEastAsia"/>
        </w:rPr>
      </w:pPr>
      <w:r w:rsidRPr="4F1A0394">
        <w:rPr>
          <w:rFonts w:eastAsiaTheme="minorEastAsia"/>
        </w:rPr>
        <w:t>Modelled projections for Lancashire and South Cumbria ICB show a steady and sustained increase in the number of residents living with three or more long-term conditions (LTCs) over the coming decades.</w:t>
      </w:r>
    </w:p>
    <w:p w14:paraId="04102379" w14:textId="4567EE4A" w:rsidR="5A5ED570" w:rsidRDefault="5A5ED570" w:rsidP="4F1A0394">
      <w:pPr>
        <w:pStyle w:val="HNAHeader1"/>
        <w:rPr>
          <w:rFonts w:eastAsiaTheme="minorEastAsia"/>
        </w:rPr>
      </w:pPr>
      <w:r w:rsidRPr="4F1A0394">
        <w:rPr>
          <w:rFonts w:eastAsiaTheme="minorEastAsia"/>
        </w:rPr>
        <w:t>In 2024, an estimated 150,270 people are living with three or more LTCs. This figure is expected to rise to around 172,043 by 2034, and to exceed 196,258 by 2047, representing a projected growth of around 30.6% over the next 2</w:t>
      </w:r>
      <w:r w:rsidR="70BB4D00" w:rsidRPr="4F1A0394">
        <w:rPr>
          <w:rFonts w:eastAsiaTheme="minorEastAsia"/>
        </w:rPr>
        <w:t>3</w:t>
      </w:r>
      <w:r w:rsidRPr="4F1A0394">
        <w:rPr>
          <w:rFonts w:eastAsiaTheme="minorEastAsia"/>
        </w:rPr>
        <w:t xml:space="preserve"> years. This increase reflects both populations ageing and the ongoing rise in multimorbidity across all adult age groups.</w:t>
      </w:r>
    </w:p>
    <w:p w14:paraId="0C3C7C53" w14:textId="4408825B" w:rsidR="4F1A0394" w:rsidRDefault="4F1A0394" w:rsidP="4F1A0394">
      <w:pPr>
        <w:pStyle w:val="HNAHeader1"/>
      </w:pPr>
    </w:p>
    <w:p w14:paraId="5B6E0830" w14:textId="357BE122" w:rsidR="270B72A6" w:rsidRDefault="270B72A6" w:rsidP="4F1A0394">
      <w:pPr>
        <w:pStyle w:val="HNAHeader1"/>
      </w:pPr>
      <w:r>
        <w:rPr>
          <w:noProof/>
        </w:rPr>
        <w:lastRenderedPageBreak/>
        <w:drawing>
          <wp:inline distT="0" distB="0" distL="0" distR="0" wp14:anchorId="58263888" wp14:editId="7C664EE3">
            <wp:extent cx="5724525" cy="4048125"/>
            <wp:effectExtent l="0" t="0" r="0" b="0"/>
            <wp:docPr id="946913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13529"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03221784" w14:textId="3C77E729" w:rsidR="013641C3" w:rsidRDefault="70771A48" w:rsidP="009893F4">
      <w:pPr>
        <w:pStyle w:val="HNAHeader1"/>
        <w:rPr>
          <w:b/>
          <w:bCs/>
          <w:u w:val="single"/>
        </w:rPr>
      </w:pPr>
      <w:r>
        <w:rPr>
          <w:noProof/>
        </w:rPr>
        <w:lastRenderedPageBreak/>
        <w:drawing>
          <wp:inline distT="0" distB="0" distL="0" distR="0" wp14:anchorId="6F79E47F" wp14:editId="009A7C2F">
            <wp:extent cx="5724525" cy="4048125"/>
            <wp:effectExtent l="0" t="0" r="0" b="0"/>
            <wp:docPr id="2114560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60613"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r>
        <w:rPr>
          <w:noProof/>
        </w:rPr>
        <w:drawing>
          <wp:inline distT="0" distB="0" distL="0" distR="0" wp14:anchorId="26C68D01" wp14:editId="1BA29DFC">
            <wp:extent cx="5724525" cy="4048125"/>
            <wp:effectExtent l="0" t="0" r="0" b="0"/>
            <wp:docPr id="1677575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75935"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3218070A" w14:textId="69BE5304" w:rsidR="009893F4" w:rsidRDefault="70771A48" w:rsidP="00626AE7">
      <w:pPr>
        <w:pStyle w:val="HNAHeader1"/>
        <w:rPr>
          <w:b/>
          <w:bCs/>
          <w:u w:val="single"/>
        </w:rPr>
      </w:pPr>
      <w:r>
        <w:t xml:space="preserve">Projections for Lancashire and South Cumbria ICB show a gradual increase in the number of residents living with either cancer and mental health conditions between </w:t>
      </w:r>
      <w:r>
        <w:lastRenderedPageBreak/>
        <w:t>2024 and 2047. The number of people living with cancer is projected to rise from 78,976 in 2024 to 99,885 in 2047, while those with a mental health condition are expected to increase from 21,362 to 24,683 over the same period. Both conditions show a steady upward trend, reflecting ongoing growth in the population living with long-term health needs.</w:t>
      </w:r>
    </w:p>
    <w:p w14:paraId="794854DC" w14:textId="74134C46" w:rsidR="00C87068" w:rsidRPr="00504AB2" w:rsidRDefault="1C124ED8" w:rsidP="00C93069">
      <w:pPr>
        <w:pStyle w:val="Heading2"/>
        <w:rPr>
          <w:u w:val="single"/>
        </w:rPr>
      </w:pPr>
      <w:bookmarkStart w:id="65" w:name="_Toc214447019"/>
      <w:bookmarkStart w:id="66" w:name="_Toc214460964"/>
      <w:bookmarkStart w:id="67" w:name="_Toc220937622"/>
      <w:r w:rsidRPr="00504AB2">
        <w:t>Mental health indicators</w:t>
      </w:r>
      <w:bookmarkEnd w:id="65"/>
      <w:bookmarkEnd w:id="66"/>
      <w:bookmarkEnd w:id="67"/>
    </w:p>
    <w:p w14:paraId="5E5ACFBF" w14:textId="5AFC0E13" w:rsidR="00EC6264" w:rsidRDefault="405CDF43" w:rsidP="009E6A69">
      <w:pPr>
        <w:pStyle w:val="HNAHeader1"/>
        <w:ind w:left="360"/>
      </w:pPr>
      <w:r>
        <w:rPr>
          <w:noProof/>
        </w:rPr>
        <w:drawing>
          <wp:inline distT="0" distB="0" distL="0" distR="0" wp14:anchorId="314746FD" wp14:editId="44F05060">
            <wp:extent cx="5724525" cy="4048125"/>
            <wp:effectExtent l="0" t="0" r="0" b="0"/>
            <wp:docPr id="7903883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88323"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7E926EE1" w14:textId="5FCD41B5" w:rsidR="5CC6546B" w:rsidRDefault="7208B29B" w:rsidP="002A07FA">
      <w:pPr>
        <w:pStyle w:val="HNAHeader1"/>
      </w:pPr>
      <w:r>
        <w:t>The rate of suicide was higher in both men and women across Lancashire and South Cumbria</w:t>
      </w:r>
      <w:r w:rsidR="7012D6F9">
        <w:t xml:space="preserve"> than in England</w:t>
      </w:r>
      <w:r>
        <w:t>.</w:t>
      </w:r>
      <w:r w:rsidR="66063FE4">
        <w:t xml:space="preserve"> Men had a </w:t>
      </w:r>
      <w:r w:rsidR="7012D6F9">
        <w:t xml:space="preserve">much </w:t>
      </w:r>
      <w:r w:rsidR="66063FE4">
        <w:t xml:space="preserve">higher </w:t>
      </w:r>
      <w:r w:rsidR="7012D6F9">
        <w:t>suicide rate</w:t>
      </w:r>
      <w:r w:rsidR="66063FE4">
        <w:t xml:space="preserve"> than women</w:t>
      </w:r>
      <w:r w:rsidR="7012D6F9">
        <w:t xml:space="preserve"> in L&amp;SC</w:t>
      </w:r>
      <w:r w:rsidR="66063FE4">
        <w:t xml:space="preserve"> (19.5 to </w:t>
      </w:r>
      <w:r w:rsidR="7012D6F9">
        <w:t>6.5</w:t>
      </w:r>
      <w:r w:rsidR="72861AB7">
        <w:t xml:space="preserve"> per 100,000</w:t>
      </w:r>
      <w:r w:rsidR="66063FE4">
        <w:t xml:space="preserve">), which </w:t>
      </w:r>
      <w:r w:rsidR="7012D6F9">
        <w:t>followed the overall pattern in England (15.8 to 5.2</w:t>
      </w:r>
      <w:r w:rsidR="72861AB7">
        <w:t xml:space="preserve"> per 100,000</w:t>
      </w:r>
      <w:r w:rsidR="7012D6F9">
        <w:t>).</w:t>
      </w:r>
      <w:r>
        <w:t xml:space="preserve"> In 2020-22 the overall England rate was 10.3 per 100,000, and the rate for L&amp;SC was 12.8 per 100,000.</w:t>
      </w:r>
      <w:r w:rsidR="4B35C92E">
        <w:t xml:space="preserve"> </w:t>
      </w:r>
      <w:r w:rsidR="7F136F92">
        <w:t>It should be noted that</w:t>
      </w:r>
      <w:r w:rsidR="6977205B">
        <w:t xml:space="preserve"> suicide rates are under-reported</w:t>
      </w:r>
      <w:r w:rsidR="328EB083">
        <w:t xml:space="preserve"> across England,</w:t>
      </w:r>
      <w:r w:rsidR="6977205B">
        <w:t xml:space="preserve"> due to </w:t>
      </w:r>
      <w:r w:rsidR="328EB083">
        <w:t xml:space="preserve">the high burden of proof required to record cause of death as suicide. </w:t>
      </w:r>
      <w:r w:rsidR="00A42E6E">
        <w:rPr>
          <w:rStyle w:val="FootnoteReference"/>
        </w:rPr>
        <w:footnoteReference w:id="26"/>
      </w:r>
      <w:r w:rsidR="6977205B">
        <w:t xml:space="preserve"> </w:t>
      </w:r>
    </w:p>
    <w:p w14:paraId="7F4D9C46" w14:textId="30B7A1C7" w:rsidR="6827E526" w:rsidRDefault="00625468" w:rsidP="00544D7B">
      <w:pPr>
        <w:pStyle w:val="HNAHeader1"/>
        <w:rPr>
          <w:rFonts w:eastAsiaTheme="minorEastAsia"/>
          <w:color w:val="000000" w:themeColor="text1"/>
        </w:rPr>
      </w:pPr>
      <w:r>
        <w:t>The mental health QOF prevalence refers to t</w:t>
      </w:r>
      <w:r w:rsidRPr="00625468">
        <w:t>he percentage of patients with schizophrenia, bipolar affective disorder and other psychoses</w:t>
      </w:r>
      <w:r>
        <w:t xml:space="preserve">. </w:t>
      </w:r>
      <w:r w:rsidR="007848B3">
        <w:t xml:space="preserve">These are often referred to as Severe Mental Illnesses (SMI). The was </w:t>
      </w:r>
      <w:r w:rsidR="00ED145B">
        <w:t xml:space="preserve">overall </w:t>
      </w:r>
      <w:r w:rsidR="00E5537C">
        <w:t>a higher prevalence</w:t>
      </w:r>
      <w:r w:rsidR="00ED145B">
        <w:t xml:space="preserve"> in Lancashire and South Cumbria </w:t>
      </w:r>
      <w:r w:rsidR="00E5537C">
        <w:t>(1.1</w:t>
      </w:r>
      <w:r w:rsidR="00C6647D">
        <w:t>%</w:t>
      </w:r>
      <w:r w:rsidR="00E5537C">
        <w:t xml:space="preserve">) </w:t>
      </w:r>
      <w:r w:rsidR="00ED145B">
        <w:t xml:space="preserve">than </w:t>
      </w:r>
      <w:r w:rsidR="00E5537C">
        <w:t xml:space="preserve">in </w:t>
      </w:r>
      <w:r w:rsidR="00ED145B">
        <w:t>England</w:t>
      </w:r>
      <w:r w:rsidR="00E5537C">
        <w:t xml:space="preserve"> (1.0</w:t>
      </w:r>
      <w:r w:rsidR="00C6647D">
        <w:t>%</w:t>
      </w:r>
      <w:r w:rsidR="00E5537C">
        <w:t>)</w:t>
      </w:r>
      <w:r w:rsidR="007848B3">
        <w:t>.</w:t>
      </w:r>
      <w:r w:rsidR="00544D7B">
        <w:t xml:space="preserve"> </w:t>
      </w:r>
      <w:r w:rsidR="007848B3">
        <w:rPr>
          <w:rFonts w:eastAsiaTheme="minorEastAsia"/>
          <w:color w:val="000000" w:themeColor="text1"/>
        </w:rPr>
        <w:t xml:space="preserve">Both crude and standardised rates </w:t>
      </w:r>
      <w:r w:rsidR="007848B3">
        <w:rPr>
          <w:rFonts w:eastAsiaTheme="minorEastAsia"/>
          <w:color w:val="000000" w:themeColor="text1"/>
        </w:rPr>
        <w:lastRenderedPageBreak/>
        <w:t xml:space="preserve">showed an association in IMD decile and </w:t>
      </w:r>
      <w:r w:rsidR="00544D7B">
        <w:rPr>
          <w:rFonts w:eastAsiaTheme="minorEastAsia"/>
          <w:color w:val="000000" w:themeColor="text1"/>
        </w:rPr>
        <w:t>SMI, with the prevalence in IMD 1 being over 2%, and IMD 10 being just over 0.5%.</w:t>
      </w:r>
    </w:p>
    <w:p w14:paraId="194873C3" w14:textId="05524722" w:rsidR="00777BFE" w:rsidRDefault="4910CCDB" w:rsidP="517600A3">
      <w:pPr>
        <w:rPr>
          <w:rFonts w:eastAsiaTheme="minorEastAsia"/>
          <w:color w:val="000000" w:themeColor="text1"/>
        </w:rPr>
      </w:pPr>
      <w:r w:rsidRPr="1FC98660">
        <w:rPr>
          <w:rFonts w:eastAsiaTheme="minorEastAsia"/>
          <w:color w:val="000000" w:themeColor="text1"/>
        </w:rPr>
        <w:t xml:space="preserve">The rate of people with learning disability was the same for Lancashire and South Cumbria (0.6%) as it was for England (0.6%). However, standardised rates showed that in IMD 1 it was over 0.9%, </w:t>
      </w:r>
      <w:r w:rsidR="72861AB7" w:rsidRPr="1FC98660">
        <w:rPr>
          <w:rFonts w:eastAsiaTheme="minorEastAsia"/>
          <w:color w:val="000000" w:themeColor="text1"/>
        </w:rPr>
        <w:t xml:space="preserve">higher than England’s average, and lower in IMD 10 at approx. 0.35%. </w:t>
      </w:r>
      <w:r w:rsidR="22A462C9" w:rsidRPr="1FC98660">
        <w:rPr>
          <w:rFonts w:eastAsiaTheme="minorEastAsia"/>
          <w:color w:val="000000" w:themeColor="text1"/>
        </w:rPr>
        <w:t>Nationally, p</w:t>
      </w:r>
      <w:r w:rsidR="72861AB7" w:rsidRPr="1FC98660">
        <w:rPr>
          <w:rFonts w:eastAsiaTheme="minorEastAsia"/>
          <w:color w:val="000000" w:themeColor="text1"/>
        </w:rPr>
        <w:t>eople with learning disabilities</w:t>
      </w:r>
      <w:r w:rsidR="22A462C9" w:rsidRPr="1FC98660">
        <w:rPr>
          <w:rFonts w:eastAsiaTheme="minorEastAsia"/>
          <w:color w:val="000000" w:themeColor="text1"/>
        </w:rPr>
        <w:t xml:space="preserve"> have a median age at death of 62 years, which is over 20 years less than the general population, and for 49% of deaths it was found that they could have been prevented by good quality healthcare, as compared to 22% in the general population.</w:t>
      </w:r>
      <w:r w:rsidR="3CF55B72" w:rsidRPr="1FC98660">
        <w:rPr>
          <w:rFonts w:eastAsiaTheme="minorEastAsia"/>
          <w:color w:val="000000" w:themeColor="text1"/>
        </w:rPr>
        <w:t xml:space="preserve"> </w:t>
      </w:r>
      <w:r w:rsidR="00A51814" w:rsidRPr="1FC98660">
        <w:rPr>
          <w:rStyle w:val="FootnoteReference"/>
          <w:rFonts w:eastAsiaTheme="minorEastAsia"/>
          <w:color w:val="000000" w:themeColor="text1"/>
        </w:rPr>
        <w:footnoteReference w:id="27"/>
      </w:r>
      <w:r w:rsidR="3CF55B72" w:rsidRPr="1FC98660">
        <w:rPr>
          <w:rFonts w:eastAsiaTheme="minorEastAsia"/>
          <w:color w:val="000000" w:themeColor="text1"/>
        </w:rPr>
        <w:t xml:space="preserve"> They are also less likely to be in paid employment, more likely to live in poverty, and more likely to experience chronic loneliness, as well as increased likelihood of bullying and discrimination.</w:t>
      </w:r>
      <w:r w:rsidR="3CE93DC2" w:rsidRPr="1FC98660">
        <w:rPr>
          <w:rFonts w:eastAsiaTheme="minorEastAsia"/>
          <w:color w:val="000000" w:themeColor="text1"/>
        </w:rPr>
        <w:t xml:space="preserve"> </w:t>
      </w:r>
      <w:r w:rsidR="001164BA" w:rsidRPr="1FC98660">
        <w:rPr>
          <w:rStyle w:val="FootnoteReference"/>
          <w:rFonts w:eastAsiaTheme="minorEastAsia"/>
          <w:color w:val="000000" w:themeColor="text1"/>
        </w:rPr>
        <w:footnoteReference w:id="28"/>
      </w:r>
    </w:p>
    <w:p w14:paraId="74318AAA" w14:textId="416CD538" w:rsidR="00FD73C9" w:rsidRPr="00504AB2" w:rsidRDefault="00FD73C9" w:rsidP="00FD73C9">
      <w:pPr>
        <w:pStyle w:val="Heading2"/>
      </w:pPr>
      <w:bookmarkStart w:id="68" w:name="_Toc214447020"/>
      <w:bookmarkStart w:id="69" w:name="_Toc214460965"/>
      <w:bookmarkStart w:id="70" w:name="_Toc220937623"/>
      <w:r w:rsidRPr="00504AB2">
        <w:t xml:space="preserve">CYP health </w:t>
      </w:r>
      <w:r w:rsidR="003348BF">
        <w:t>status</w:t>
      </w:r>
      <w:bookmarkEnd w:id="68"/>
      <w:bookmarkEnd w:id="69"/>
      <w:bookmarkEnd w:id="70"/>
    </w:p>
    <w:p w14:paraId="5947EF9D" w14:textId="232D76DD" w:rsidR="00D67FA4" w:rsidRPr="00D67FA4" w:rsidRDefault="00C025F3" w:rsidP="00295181">
      <w:r>
        <w:t xml:space="preserve">Relative low-income households refer to households where the income is lower than the median household income for that year. </w:t>
      </w:r>
      <w:r w:rsidR="00D67FA4">
        <w:t xml:space="preserve">Lancashire and South Cumbria </w:t>
      </w:r>
      <w:proofErr w:type="gramStart"/>
      <w:r w:rsidR="00D67FA4">
        <w:t>has</w:t>
      </w:r>
      <w:proofErr w:type="gramEnd"/>
      <w:r w:rsidR="00D67FA4">
        <w:t xml:space="preserve"> had a consistently higher </w:t>
      </w:r>
      <w:r w:rsidR="00E31C55">
        <w:t>percentage</w:t>
      </w:r>
      <w:r w:rsidR="00D67FA4">
        <w:t xml:space="preserve"> of </w:t>
      </w:r>
      <w:r w:rsidR="005F624E">
        <w:t xml:space="preserve">children in </w:t>
      </w:r>
      <w:r w:rsidR="007A734E">
        <w:t>low-income households</w:t>
      </w:r>
      <w:r w:rsidR="00E31C55">
        <w:t xml:space="preserve"> (</w:t>
      </w:r>
      <w:r w:rsidR="00B45CEC">
        <w:t>28.5%) compared to the England overall percentage (</w:t>
      </w:r>
      <w:r w:rsidR="009B2DE1">
        <w:t>22.1%)</w:t>
      </w:r>
      <w:r w:rsidR="007A734E">
        <w:t xml:space="preserve">. </w:t>
      </w:r>
      <w:r w:rsidR="009B2DE1">
        <w:t>The gap between the rate for L&amp;SC and for England has widened in the past two years.</w:t>
      </w:r>
    </w:p>
    <w:p w14:paraId="5590365A" w14:textId="14FAA3EB" w:rsidR="00AE2ED6" w:rsidRDefault="00B86E85" w:rsidP="00295181">
      <w:r>
        <w:rPr>
          <w:noProof/>
        </w:rPr>
        <mc:AlternateContent>
          <mc:Choice Requires="wps">
            <w:drawing>
              <wp:anchor distT="45720" distB="45720" distL="114300" distR="114300" simplePos="0" relativeHeight="251637248" behindDoc="0" locked="0" layoutInCell="1" allowOverlap="1" wp14:anchorId="24ED172D" wp14:editId="5803A261">
                <wp:simplePos x="0" y="0"/>
                <wp:positionH relativeFrom="margin">
                  <wp:posOffset>3414532</wp:posOffset>
                </wp:positionH>
                <wp:positionV relativeFrom="paragraph">
                  <wp:posOffset>2900849</wp:posOffset>
                </wp:positionV>
                <wp:extent cx="2037144" cy="231493"/>
                <wp:effectExtent l="0" t="0" r="1270" b="0"/>
                <wp:wrapNone/>
                <wp:docPr id="1603292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144" cy="231493"/>
                        </a:xfrm>
                        <a:prstGeom prst="rect">
                          <a:avLst/>
                        </a:prstGeom>
                        <a:solidFill>
                          <a:srgbClr val="FFFFFF"/>
                        </a:solidFill>
                        <a:ln w="9525">
                          <a:noFill/>
                          <a:miter lim="800000"/>
                          <a:headEnd/>
                          <a:tailEnd/>
                        </a:ln>
                      </wps:spPr>
                      <wps:txbx>
                        <w:txbxContent>
                          <w:p w14:paraId="0C8A281E" w14:textId="7C37E858" w:rsidR="00B86E85" w:rsidRPr="003E06DD" w:rsidRDefault="003E06DD" w:rsidP="00B86E85">
                            <w:pPr>
                              <w:rPr>
                                <w:sz w:val="16"/>
                                <w:szCs w:val="16"/>
                              </w:rPr>
                            </w:pPr>
                            <w:r w:rsidRPr="003E06DD">
                              <w:rPr>
                                <w:sz w:val="16"/>
                                <w:szCs w:val="16"/>
                              </w:rPr>
                              <w:t>Source: OHID, based on DWP and ONS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D172D" id="_x0000_s1032" type="#_x0000_t202" style="position:absolute;margin-left:268.85pt;margin-top:228.4pt;width:160.4pt;height:18.25pt;z-index:25163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" stroked="f">
                <v:textbox>
                  <w:txbxContent>
                    <w:p w14:paraId="0C8A281E" w14:textId="7C37E858" w:rsidR="00B86E85" w:rsidRPr="003E06DD" w:rsidRDefault="003E06DD" w:rsidP="00B86E85">
                      <w:pPr>
                        <w:rPr>
                          <w:sz w:val="16"/>
                          <w:szCs w:val="16"/>
                        </w:rPr>
                      </w:pPr>
                      <w:r w:rsidRPr="003E06DD">
                        <w:rPr>
                          <w:sz w:val="16"/>
                          <w:szCs w:val="16"/>
                        </w:rPr>
                        <w:t>Source: OHID, based on DWP and ONS data</w:t>
                      </w:r>
                    </w:p>
                  </w:txbxContent>
                </v:textbox>
                <w10:wrap anchorx="margin"/>
              </v:shape>
            </w:pict>
          </mc:Fallback>
        </mc:AlternateContent>
      </w:r>
      <w:r w:rsidR="00DD7938">
        <w:rPr>
          <w:noProof/>
        </w:rPr>
        <mc:AlternateContent>
          <mc:Choice Requires="wps">
            <w:drawing>
              <wp:anchor distT="45720" distB="45720" distL="114300" distR="114300" simplePos="0" relativeHeight="251634176" behindDoc="0" locked="0" layoutInCell="1" allowOverlap="1" wp14:anchorId="62D11C53" wp14:editId="7A6654F5">
                <wp:simplePos x="0" y="0"/>
                <wp:positionH relativeFrom="margin">
                  <wp:align>center</wp:align>
                </wp:positionH>
                <wp:positionV relativeFrom="paragraph">
                  <wp:posOffset>100779</wp:posOffset>
                </wp:positionV>
                <wp:extent cx="3044283" cy="273204"/>
                <wp:effectExtent l="0" t="0" r="22860" b="12700"/>
                <wp:wrapNone/>
                <wp:docPr id="1709225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283" cy="273204"/>
                        </a:xfrm>
                        <a:prstGeom prst="rect">
                          <a:avLst/>
                        </a:prstGeom>
                        <a:solidFill>
                          <a:srgbClr val="FFFFFF"/>
                        </a:solidFill>
                        <a:ln w="9525">
                          <a:solidFill>
                            <a:srgbClr val="000000"/>
                          </a:solidFill>
                          <a:miter lim="800000"/>
                          <a:headEnd/>
                          <a:tailEnd/>
                        </a:ln>
                      </wps:spPr>
                      <wps:txbx>
                        <w:txbxContent>
                          <w:p w14:paraId="4A56E1C8" w14:textId="08EA90E2" w:rsidR="0034338D" w:rsidRPr="00DD7938" w:rsidRDefault="0034338D">
                            <w:pPr>
                              <w:rPr>
                                <w:sz w:val="18"/>
                                <w:szCs w:val="18"/>
                              </w:rPr>
                            </w:pPr>
                            <w:r w:rsidRPr="00DD7938">
                              <w:rPr>
                                <w:sz w:val="18"/>
                                <w:szCs w:val="18"/>
                              </w:rPr>
                              <w:t xml:space="preserve">Children in relative </w:t>
                            </w:r>
                            <w:r w:rsidR="00DD7938" w:rsidRPr="00DD7938">
                              <w:rPr>
                                <w:sz w:val="18"/>
                                <w:szCs w:val="18"/>
                              </w:rPr>
                              <w:t>low-income</w:t>
                            </w:r>
                            <w:r w:rsidRPr="00DD7938">
                              <w:rPr>
                                <w:sz w:val="18"/>
                                <w:szCs w:val="18"/>
                              </w:rPr>
                              <w:t xml:space="preserve"> houses (under 16) </w:t>
                            </w:r>
                            <w:r w:rsidR="00DD7938" w:rsidRPr="00DD7938">
                              <w:rPr>
                                <w:sz w:val="18"/>
                                <w:szCs w:val="18"/>
                              </w:rPr>
                              <w:t>- OHID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11C53" id="_x0000_s1033" type="#_x0000_t202" style="position:absolute;margin-left:0;margin-top:7.95pt;width:239.7pt;height:21.5pt;z-index:2516341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NAFQIAACYEAAAOAAAAZHJzL2Uyb0RvYy54bWysU9tu2zAMfR+wfxD0vthxnD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">
                <v:textbox>
                  <w:txbxContent>
                    <w:p w14:paraId="4A56E1C8" w14:textId="08EA90E2" w:rsidR="0034338D" w:rsidRPr="00DD7938" w:rsidRDefault="0034338D">
                      <w:pPr>
                        <w:rPr>
                          <w:sz w:val="18"/>
                          <w:szCs w:val="18"/>
                        </w:rPr>
                      </w:pPr>
                      <w:r w:rsidRPr="00DD7938">
                        <w:rPr>
                          <w:sz w:val="18"/>
                          <w:szCs w:val="18"/>
                        </w:rPr>
                        <w:t xml:space="preserve">Children in relative </w:t>
                      </w:r>
                      <w:r w:rsidR="00DD7938" w:rsidRPr="00DD7938">
                        <w:rPr>
                          <w:sz w:val="18"/>
                          <w:szCs w:val="18"/>
                        </w:rPr>
                        <w:t>low-income</w:t>
                      </w:r>
                      <w:r w:rsidRPr="00DD7938">
                        <w:rPr>
                          <w:sz w:val="18"/>
                          <w:szCs w:val="18"/>
                        </w:rPr>
                        <w:t xml:space="preserve"> houses (under 16) </w:t>
                      </w:r>
                      <w:r w:rsidR="00DD7938" w:rsidRPr="00DD7938">
                        <w:rPr>
                          <w:sz w:val="18"/>
                          <w:szCs w:val="18"/>
                        </w:rPr>
                        <w:t>- OHID</w:t>
                      </w:r>
                    </w:p>
                  </w:txbxContent>
                </v:textbox>
                <w10:wrap anchorx="margin"/>
              </v:shape>
            </w:pict>
          </mc:Fallback>
        </mc:AlternateContent>
      </w:r>
      <w:r w:rsidR="00AE2ED6" w:rsidRPr="00AE2ED6">
        <w:rPr>
          <w:noProof/>
        </w:rPr>
        <w:drawing>
          <wp:inline distT="0" distB="0" distL="0" distR="0" wp14:anchorId="75E8F530" wp14:editId="28D662A0">
            <wp:extent cx="5240867" cy="3006082"/>
            <wp:effectExtent l="0" t="0" r="0" b="4445"/>
            <wp:docPr id="1829827431" name="Picture 1" descr="A graph of a line with red dots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7431" name="Picture 1" descr="A graph of a line with red dots and blue lines&#10;&#10;AI-generated content may be incorrect."/>
                    <pic:cNvPicPr/>
                  </pic:nvPicPr>
                  <pic:blipFill>
                    <a:blip r:embed="rId55"/>
                    <a:stretch>
                      <a:fillRect/>
                    </a:stretch>
                  </pic:blipFill>
                  <pic:spPr>
                    <a:xfrm>
                      <a:off x="0" y="0"/>
                      <a:ext cx="5292037" cy="3035432"/>
                    </a:xfrm>
                    <a:prstGeom prst="rect">
                      <a:avLst/>
                    </a:prstGeom>
                  </pic:spPr>
                </pic:pic>
              </a:graphicData>
            </a:graphic>
          </wp:inline>
        </w:drawing>
      </w:r>
    </w:p>
    <w:p w14:paraId="00D4DD17" w14:textId="7C2AE75C" w:rsidR="002B6B59" w:rsidRPr="00C33AA2" w:rsidRDefault="000C0B0B" w:rsidP="00C74A4F">
      <w:pPr>
        <w:pStyle w:val="Heading3"/>
      </w:pPr>
      <w:r w:rsidRPr="00C33AA2">
        <w:lastRenderedPageBreak/>
        <w:t xml:space="preserve">Clinical priorities for children </w:t>
      </w:r>
    </w:p>
    <w:p w14:paraId="0611C80F" w14:textId="2D1D9B70" w:rsidR="000C0B0B" w:rsidRDefault="009141DC" w:rsidP="002B6B59">
      <w:pPr>
        <w:rPr>
          <w:rFonts w:ascii="Aptos" w:eastAsia="Aptos" w:hAnsi="Aptos" w:cs="Arial"/>
        </w:rPr>
      </w:pPr>
      <w:r>
        <w:rPr>
          <w:noProof/>
        </w:rPr>
        <w:drawing>
          <wp:anchor distT="0" distB="0" distL="114300" distR="114300" simplePos="0" relativeHeight="251695616" behindDoc="0" locked="0" layoutInCell="1" allowOverlap="1" wp14:anchorId="72ED90AF" wp14:editId="39AB590C">
            <wp:simplePos x="0" y="0"/>
            <wp:positionH relativeFrom="column">
              <wp:posOffset>987552</wp:posOffset>
            </wp:positionH>
            <wp:positionV relativeFrom="paragraph">
              <wp:posOffset>660273</wp:posOffset>
            </wp:positionV>
            <wp:extent cx="2985770" cy="2108835"/>
            <wp:effectExtent l="0" t="0" r="5080" b="5715"/>
            <wp:wrapTopAndBottom/>
            <wp:docPr id="1717960086" name="drawing" descr="A graph of a number of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60086" name="drawing" descr="A graph of a number of orange bar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85770" cy="2108835"/>
                    </a:xfrm>
                    <a:prstGeom prst="rect">
                      <a:avLst/>
                    </a:prstGeom>
                  </pic:spPr>
                </pic:pic>
              </a:graphicData>
            </a:graphic>
          </wp:anchor>
        </w:drawing>
      </w:r>
      <w:r w:rsidR="000C0B0B">
        <w:rPr>
          <w:rFonts w:ascii="Aptos" w:eastAsia="Aptos" w:hAnsi="Aptos" w:cs="Arial"/>
        </w:rPr>
        <w:t>The core20plus5 approach defined the clinical priorities for children as being asthma, diabetes, epilepsy, mental health and oral health, with emphasis on the most deprived children.</w:t>
      </w:r>
      <w:r w:rsidRPr="009141DC">
        <w:rPr>
          <w:noProof/>
        </w:rPr>
        <w:t xml:space="preserve"> </w:t>
      </w:r>
    </w:p>
    <w:p w14:paraId="073A2E66" w14:textId="4E15E97E" w:rsidR="002B6B59" w:rsidRPr="009141DC" w:rsidRDefault="005B2710" w:rsidP="002B6B59">
      <w:pPr>
        <w:rPr>
          <w:rFonts w:ascii="Aptos" w:eastAsia="Aptos" w:hAnsi="Aptos" w:cs="Arial"/>
        </w:rPr>
      </w:pPr>
      <w:r>
        <w:rPr>
          <w:rFonts w:ascii="Aptos" w:eastAsia="Aptos" w:hAnsi="Aptos" w:cs="Arial"/>
        </w:rPr>
        <w:t xml:space="preserve">There are 19,816 children across Lancashire and South Cumbria who have been diagnosed with asthma. </w:t>
      </w:r>
      <w:r w:rsidR="002B6B59" w:rsidRPr="4F1A0394">
        <w:rPr>
          <w:rFonts w:ascii="Aptos" w:eastAsia="Aptos" w:hAnsi="Aptos" w:cs="Arial"/>
        </w:rPr>
        <w:t>Analysis by deprivation shows relatively stable rates across all IMD deciles, varying only slightly between the most and least deprived areas (approximately 3.62-4.0%). This pattern suggests that asthma is widespread across the population rather than concentrated in specific socioeconomic groups.</w:t>
      </w:r>
      <w:r w:rsidR="00801FBA">
        <w:rPr>
          <w:rFonts w:ascii="Aptos" w:eastAsia="Aptos" w:hAnsi="Aptos" w:cs="Arial"/>
        </w:rPr>
        <w:t xml:space="preserve"> The gap </w:t>
      </w:r>
      <w:r w:rsidR="001F77C9">
        <w:rPr>
          <w:rFonts w:ascii="Aptos" w:eastAsia="Aptos" w:hAnsi="Aptos" w:cs="Arial"/>
        </w:rPr>
        <w:t>in</w:t>
      </w:r>
      <w:r w:rsidR="00801FBA">
        <w:rPr>
          <w:rFonts w:ascii="Aptos" w:eastAsia="Aptos" w:hAnsi="Aptos" w:cs="Arial"/>
        </w:rPr>
        <w:t xml:space="preserve"> </w:t>
      </w:r>
      <w:r w:rsidR="001F77C9">
        <w:rPr>
          <w:rFonts w:ascii="Aptos" w:eastAsia="Aptos" w:hAnsi="Aptos" w:cs="Arial"/>
        </w:rPr>
        <w:t>paediatric admissions due to asthma between most and least deprived has narrowed since it peaked during the pandemic, but there is still a higher rate in the more deprived population. This is despite prevalence rates being similar</w:t>
      </w:r>
      <w:r w:rsidR="003F3DDB">
        <w:rPr>
          <w:rFonts w:ascii="Aptos" w:eastAsia="Aptos" w:hAnsi="Aptos" w:cs="Arial"/>
        </w:rPr>
        <w:t xml:space="preserve"> </w:t>
      </w:r>
      <w:r w:rsidR="001F77C9">
        <w:rPr>
          <w:rFonts w:ascii="Aptos" w:eastAsia="Aptos" w:hAnsi="Aptos" w:cs="Arial"/>
        </w:rPr>
        <w:t>and indicates poorer management</w:t>
      </w:r>
      <w:r w:rsidR="00FF3AA7">
        <w:rPr>
          <w:rFonts w:ascii="Aptos" w:eastAsia="Aptos" w:hAnsi="Aptos" w:cs="Arial"/>
        </w:rPr>
        <w:t xml:space="preserve"> of asthma</w:t>
      </w:r>
      <w:r w:rsidR="001F77C9">
        <w:rPr>
          <w:rFonts w:ascii="Aptos" w:eastAsia="Aptos" w:hAnsi="Aptos" w:cs="Arial"/>
        </w:rPr>
        <w:t xml:space="preserve"> in the more deprived population.</w:t>
      </w:r>
    </w:p>
    <w:p w14:paraId="70E85A6A" w14:textId="60E0A693" w:rsidR="00A91384" w:rsidRDefault="003E06DD" w:rsidP="003348BF">
      <w:r>
        <w:rPr>
          <w:noProof/>
        </w:rPr>
        <mc:AlternateContent>
          <mc:Choice Requires="wps">
            <w:drawing>
              <wp:anchor distT="45720" distB="45720" distL="114300" distR="114300" simplePos="0" relativeHeight="251640320" behindDoc="0" locked="0" layoutInCell="1" allowOverlap="1" wp14:anchorId="25634379" wp14:editId="58007171">
                <wp:simplePos x="0" y="0"/>
                <wp:positionH relativeFrom="margin">
                  <wp:posOffset>4847858</wp:posOffset>
                </wp:positionH>
                <wp:positionV relativeFrom="paragraph">
                  <wp:posOffset>3161869</wp:posOffset>
                </wp:positionV>
                <wp:extent cx="914400" cy="268448"/>
                <wp:effectExtent l="0" t="0" r="0" b="0"/>
                <wp:wrapNone/>
                <wp:docPr id="12445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06797570" w14:textId="03534FE5"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4379" id="_x0000_s1034" type="#_x0000_t202" style="position:absolute;margin-left:381.7pt;margin-top:248.95pt;width:1in;height:21.15pt;z-index:25164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syDgIAAPw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" stroked="f">
                <v:textbox>
                  <w:txbxContent>
                    <w:p w14:paraId="06797570" w14:textId="03534FE5"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8E205F">
        <w:rPr>
          <w:noProof/>
        </w:rPr>
        <mc:AlternateContent>
          <mc:Choice Requires="wps">
            <w:drawing>
              <wp:anchor distT="45720" distB="45720" distL="114300" distR="114300" simplePos="0" relativeHeight="251628032" behindDoc="0" locked="0" layoutInCell="1" allowOverlap="1" wp14:anchorId="5CBF0740" wp14:editId="213EBA5F">
                <wp:simplePos x="0" y="0"/>
                <wp:positionH relativeFrom="margin">
                  <wp:align>center</wp:align>
                </wp:positionH>
                <wp:positionV relativeFrom="paragraph">
                  <wp:posOffset>7815</wp:posOffset>
                </wp:positionV>
                <wp:extent cx="2360247" cy="250093"/>
                <wp:effectExtent l="0" t="0" r="2540" b="0"/>
                <wp:wrapNone/>
                <wp:docPr id="1054032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47" cy="250093"/>
                        </a:xfrm>
                        <a:prstGeom prst="rect">
                          <a:avLst/>
                        </a:prstGeom>
                        <a:solidFill>
                          <a:srgbClr val="FFFFFF"/>
                        </a:solidFill>
                        <a:ln w="9525">
                          <a:noFill/>
                          <a:miter lim="800000"/>
                          <a:headEnd/>
                          <a:tailEnd/>
                        </a:ln>
                      </wps:spPr>
                      <wps:txbx>
                        <w:txbxContent>
                          <w:p w14:paraId="39722693" w14:textId="21E0EBC0" w:rsidR="008E205F" w:rsidRPr="009A2C97" w:rsidRDefault="00714644" w:rsidP="008E205F">
                            <w:pPr>
                              <w:spacing w:after="0"/>
                              <w:rPr>
                                <w:sz w:val="20"/>
                                <w:szCs w:val="20"/>
                              </w:rPr>
                            </w:pPr>
                            <w:r>
                              <w:rPr>
                                <w:sz w:val="20"/>
                                <w:szCs w:val="20"/>
                              </w:rPr>
                              <w:t>Paediatric admissions due to asthma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0740" id="_x0000_s1035" type="#_x0000_t202" style="position:absolute;margin-left:0;margin-top:.6pt;width:185.85pt;height:19.7pt;z-index:2516280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" stroked="f">
                <v:textbox>
                  <w:txbxContent>
                    <w:p w14:paraId="39722693" w14:textId="21E0EBC0" w:rsidR="008E205F" w:rsidRPr="009A2C97" w:rsidRDefault="00714644" w:rsidP="008E205F">
                      <w:pPr>
                        <w:spacing w:after="0"/>
                        <w:rPr>
                          <w:sz w:val="20"/>
                          <w:szCs w:val="20"/>
                        </w:rPr>
                      </w:pPr>
                      <w:r>
                        <w:rPr>
                          <w:sz w:val="20"/>
                          <w:szCs w:val="20"/>
                        </w:rPr>
                        <w:t>Paediatric admissions due to asthma</w:t>
                      </w:r>
                    </w:p>
                  </w:txbxContent>
                </v:textbox>
                <w10:wrap anchorx="margin"/>
              </v:shape>
            </w:pict>
          </mc:Fallback>
        </mc:AlternateContent>
      </w:r>
      <w:r w:rsidR="00A91384">
        <w:rPr>
          <w:noProof/>
        </w:rPr>
        <w:drawing>
          <wp:inline distT="0" distB="0" distL="0" distR="0" wp14:anchorId="16F765B1" wp14:editId="5AFC11A0">
            <wp:extent cx="5731510" cy="3454400"/>
            <wp:effectExtent l="0" t="0" r="2540" b="0"/>
            <wp:docPr id="1782532806" name="Picture 3"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t obj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3454400"/>
                    </a:xfrm>
                    <a:prstGeom prst="rect">
                      <a:avLst/>
                    </a:prstGeom>
                    <a:noFill/>
                    <a:ln>
                      <a:noFill/>
                    </a:ln>
                  </pic:spPr>
                </pic:pic>
              </a:graphicData>
            </a:graphic>
          </wp:inline>
        </w:drawing>
      </w:r>
    </w:p>
    <w:p w14:paraId="2DDF9639" w14:textId="78E8CFB6" w:rsidR="00CD7E00" w:rsidRDefault="00CD7E00" w:rsidP="00CD7E00">
      <w:r>
        <w:lastRenderedPageBreak/>
        <w:t xml:space="preserve">There are </w:t>
      </w:r>
      <w:r w:rsidRPr="00CD7E00">
        <w:t>1,452</w:t>
      </w:r>
      <w:r>
        <w:t xml:space="preserve"> children with epilepsy in Lancashire and South Cumbria. </w:t>
      </w:r>
      <w:r w:rsidR="002E46AF">
        <w:t>There was no association between IMD decile and the prevalence of epilepsy</w:t>
      </w:r>
      <w:r w:rsidR="000C0B0B">
        <w:t xml:space="preserve">, and </w:t>
      </w:r>
      <w:r w:rsidR="005B2710">
        <w:t xml:space="preserve">the gap between most and least deprived for </w:t>
      </w:r>
      <w:r w:rsidR="000C0B0B">
        <w:t>paediatric admissions</w:t>
      </w:r>
      <w:r w:rsidR="005B2710">
        <w:t xml:space="preserve"> due to epilepsy has narrowed over the two years.</w:t>
      </w:r>
    </w:p>
    <w:p w14:paraId="6F694589" w14:textId="585D8290" w:rsidR="00835CF0" w:rsidRPr="00CD7E00" w:rsidRDefault="003E06DD" w:rsidP="00CD7E00">
      <w:r>
        <w:rPr>
          <w:noProof/>
        </w:rPr>
        <mc:AlternateContent>
          <mc:Choice Requires="wps">
            <w:drawing>
              <wp:anchor distT="45720" distB="45720" distL="114300" distR="114300" simplePos="0" relativeHeight="251643392" behindDoc="0" locked="0" layoutInCell="1" allowOverlap="1" wp14:anchorId="613A678B" wp14:editId="4656217B">
                <wp:simplePos x="0" y="0"/>
                <wp:positionH relativeFrom="margin">
                  <wp:posOffset>4966283</wp:posOffset>
                </wp:positionH>
                <wp:positionV relativeFrom="paragraph">
                  <wp:posOffset>3203091</wp:posOffset>
                </wp:positionV>
                <wp:extent cx="914400" cy="268448"/>
                <wp:effectExtent l="0" t="0" r="0" b="0"/>
                <wp:wrapNone/>
                <wp:docPr id="1805005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08AC2101" w14:textId="01CEAC7C"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A678B" id="_x0000_s1036" type="#_x0000_t202" style="position:absolute;margin-left:391.05pt;margin-top:252.2pt;width:1in;height:21.15pt;z-index:25164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JDgIAAP0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" stroked="f">
                <v:textbox>
                  <w:txbxContent>
                    <w:p w14:paraId="08AC2101" w14:textId="01CEAC7C"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714644">
        <w:rPr>
          <w:noProof/>
        </w:rPr>
        <mc:AlternateContent>
          <mc:Choice Requires="wps">
            <w:drawing>
              <wp:anchor distT="45720" distB="45720" distL="114300" distR="114300" simplePos="0" relativeHeight="251631104" behindDoc="0" locked="0" layoutInCell="1" allowOverlap="1" wp14:anchorId="77C0C15C" wp14:editId="74AE0295">
                <wp:simplePos x="0" y="0"/>
                <wp:positionH relativeFrom="margin">
                  <wp:posOffset>1648802</wp:posOffset>
                </wp:positionH>
                <wp:positionV relativeFrom="paragraph">
                  <wp:posOffset>56564</wp:posOffset>
                </wp:positionV>
                <wp:extent cx="2360247" cy="250093"/>
                <wp:effectExtent l="0" t="0" r="2540" b="0"/>
                <wp:wrapNone/>
                <wp:docPr id="1473954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47" cy="250093"/>
                        </a:xfrm>
                        <a:prstGeom prst="rect">
                          <a:avLst/>
                        </a:prstGeom>
                        <a:solidFill>
                          <a:srgbClr val="FFFFFF"/>
                        </a:solidFill>
                        <a:ln w="9525">
                          <a:noFill/>
                          <a:miter lim="800000"/>
                          <a:headEnd/>
                          <a:tailEnd/>
                        </a:ln>
                      </wps:spPr>
                      <wps:txbx>
                        <w:txbxContent>
                          <w:p w14:paraId="0DEB9EDE" w14:textId="65746135" w:rsidR="00714644" w:rsidRPr="009A2C97" w:rsidRDefault="00714644" w:rsidP="00714644">
                            <w:pPr>
                              <w:spacing w:after="0"/>
                              <w:rPr>
                                <w:sz w:val="20"/>
                                <w:szCs w:val="20"/>
                              </w:rPr>
                            </w:pPr>
                            <w:r>
                              <w:rPr>
                                <w:sz w:val="20"/>
                                <w:szCs w:val="20"/>
                              </w:rPr>
                              <w:t>Paediatric admissions due to epilepsy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0C15C" id="_x0000_s1037" type="#_x0000_t202" style="position:absolute;margin-left:129.85pt;margin-top:4.45pt;width:185.85pt;height:19.7pt;z-index:25163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" stroked="f">
                <v:textbox>
                  <w:txbxContent>
                    <w:p w14:paraId="0DEB9EDE" w14:textId="65746135" w:rsidR="00714644" w:rsidRPr="009A2C97" w:rsidRDefault="00714644" w:rsidP="00714644">
                      <w:pPr>
                        <w:spacing w:after="0"/>
                        <w:rPr>
                          <w:sz w:val="20"/>
                          <w:szCs w:val="20"/>
                        </w:rPr>
                      </w:pPr>
                      <w:r>
                        <w:rPr>
                          <w:sz w:val="20"/>
                          <w:szCs w:val="20"/>
                        </w:rPr>
                        <w:t>Paediatric admissions due to epilepsy</w:t>
                      </w:r>
                    </w:p>
                  </w:txbxContent>
                </v:textbox>
                <w10:wrap anchorx="margin"/>
              </v:shape>
            </w:pict>
          </mc:Fallback>
        </mc:AlternateContent>
      </w:r>
      <w:r w:rsidR="00835CF0">
        <w:rPr>
          <w:noProof/>
        </w:rPr>
        <w:drawing>
          <wp:inline distT="0" distB="0" distL="0" distR="0" wp14:anchorId="6862C3B2" wp14:editId="1040B489">
            <wp:extent cx="5731510" cy="3454400"/>
            <wp:effectExtent l="0" t="0" r="2540" b="0"/>
            <wp:docPr id="1781409452" name="Picture 2"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3454400"/>
                    </a:xfrm>
                    <a:prstGeom prst="rect">
                      <a:avLst/>
                    </a:prstGeom>
                    <a:noFill/>
                    <a:ln>
                      <a:noFill/>
                    </a:ln>
                  </pic:spPr>
                </pic:pic>
              </a:graphicData>
            </a:graphic>
          </wp:inline>
        </w:drawing>
      </w:r>
    </w:p>
    <w:p w14:paraId="5C8EF1F3" w14:textId="7BC23FBB" w:rsidR="005B2710" w:rsidRPr="005B2710" w:rsidRDefault="003E06DD" w:rsidP="005B2710">
      <w:r>
        <w:rPr>
          <w:noProof/>
        </w:rPr>
        <mc:AlternateContent>
          <mc:Choice Requires="wps">
            <w:drawing>
              <wp:anchor distT="45720" distB="45720" distL="114300" distR="114300" simplePos="0" relativeHeight="251661824" behindDoc="0" locked="0" layoutInCell="1" allowOverlap="1" wp14:anchorId="1665DCD8" wp14:editId="2EC6C035">
                <wp:simplePos x="0" y="0"/>
                <wp:positionH relativeFrom="margin">
                  <wp:posOffset>4865516</wp:posOffset>
                </wp:positionH>
                <wp:positionV relativeFrom="paragraph">
                  <wp:posOffset>4760153</wp:posOffset>
                </wp:positionV>
                <wp:extent cx="914400" cy="268448"/>
                <wp:effectExtent l="0" t="0" r="0" b="0"/>
                <wp:wrapNone/>
                <wp:docPr id="1032587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585F8966" w14:textId="6DE5208F"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5DCD8" id="_x0000_s1038" type="#_x0000_t202" style="position:absolute;margin-left:383.1pt;margin-top:374.8pt;width:1in;height:21.1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" stroked="f">
                <v:textbox>
                  <w:txbxContent>
                    <w:p w14:paraId="585F8966" w14:textId="6DE5208F"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C33AA2">
        <w:t>There were 970 children with diabetes across Lancashire and South Cumbria</w:t>
      </w:r>
      <w:r w:rsidR="00B86837">
        <w:t xml:space="preserve">. </w:t>
      </w:r>
      <w:proofErr w:type="gramStart"/>
      <w:r w:rsidR="00B86837">
        <w:t>T</w:t>
      </w:r>
      <w:r w:rsidR="00C33AA2">
        <w:t xml:space="preserve">he majority </w:t>
      </w:r>
      <w:r w:rsidR="00B86837">
        <w:t>of</w:t>
      </w:r>
      <w:proofErr w:type="gramEnd"/>
      <w:r w:rsidR="00B86837">
        <w:t xml:space="preserve"> diagnoses are of</w:t>
      </w:r>
      <w:r w:rsidR="00C33AA2">
        <w:t xml:space="preserve"> type 1 diabetes</w:t>
      </w:r>
      <w:r w:rsidR="00B86837">
        <w:t xml:space="preserve">, but there has been an increase in paediatric type 2 diabetes since the COVID-19 </w:t>
      </w:r>
      <w:proofErr w:type="gramStart"/>
      <w:r w:rsidR="00B86837">
        <w:t>pandemic.</w:t>
      </w:r>
      <w:r w:rsidR="00C33AA2">
        <w:t>.</w:t>
      </w:r>
      <w:proofErr w:type="gramEnd"/>
      <w:r w:rsidR="00C33AA2">
        <w:t xml:space="preserve"> </w:t>
      </w:r>
      <w:r w:rsidR="009637CA">
        <w:t xml:space="preserve">There was no association between IMD decile and diabetes prevalence, however the gap in admissions </w:t>
      </w:r>
      <w:r w:rsidR="002C7449">
        <w:t xml:space="preserve">due to diabetes (any type 1 or type 2 diabetes related admission) </w:t>
      </w:r>
      <w:r w:rsidR="009637CA">
        <w:t xml:space="preserve">has widened since </w:t>
      </w:r>
      <w:r w:rsidR="006119A8">
        <w:t xml:space="preserve">the COVID-19 pandemic, with more admissions from the most deprived. This suggests that long term management of diabetes is less optimal among the more deprived children </w:t>
      </w:r>
      <w:r w:rsidR="006119A8">
        <w:lastRenderedPageBreak/>
        <w:t>with the condition.</w:t>
      </w:r>
      <w:r w:rsidR="009E4CF6">
        <w:rPr>
          <w:noProof/>
        </w:rPr>
        <w:drawing>
          <wp:inline distT="0" distB="0" distL="0" distR="0" wp14:anchorId="0F19943E" wp14:editId="64331F67">
            <wp:extent cx="5731510" cy="3454400"/>
            <wp:effectExtent l="0" t="0" r="2540" b="0"/>
            <wp:docPr id="81251264" name="Picture 4"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ot obj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454400"/>
                    </a:xfrm>
                    <a:prstGeom prst="rect">
                      <a:avLst/>
                    </a:prstGeom>
                    <a:noFill/>
                    <a:ln>
                      <a:noFill/>
                    </a:ln>
                  </pic:spPr>
                </pic:pic>
              </a:graphicData>
            </a:graphic>
          </wp:inline>
        </w:drawing>
      </w:r>
    </w:p>
    <w:p w14:paraId="68D0AFE1" w14:textId="63DC51DB" w:rsidR="005446EB" w:rsidRPr="005446EB" w:rsidRDefault="005446EB" w:rsidP="005446EB">
      <w:r>
        <w:t xml:space="preserve">In 2023-24, 30,100 children accessed mental health services. </w:t>
      </w:r>
      <w:r w:rsidR="003348BF">
        <w:t>There was once again no significant pattern in IMD decile and prevalence of a mental health condition. Admissions due to mental health were similar among most and least deprived in the latest data, although previous years showed a significant gap.</w:t>
      </w:r>
    </w:p>
    <w:p w14:paraId="537B8C6D" w14:textId="3D0C735A" w:rsidR="005B2710" w:rsidRPr="005B2710" w:rsidRDefault="003E06DD" w:rsidP="005B2710">
      <w:r>
        <w:rPr>
          <w:noProof/>
        </w:rPr>
        <mc:AlternateContent>
          <mc:Choice Requires="wps">
            <w:drawing>
              <wp:anchor distT="45720" distB="45720" distL="114300" distR="114300" simplePos="0" relativeHeight="251664896" behindDoc="0" locked="0" layoutInCell="1" allowOverlap="1" wp14:anchorId="71BEB53B" wp14:editId="581DECAD">
                <wp:simplePos x="0" y="0"/>
                <wp:positionH relativeFrom="margin">
                  <wp:posOffset>4848837</wp:posOffset>
                </wp:positionH>
                <wp:positionV relativeFrom="paragraph">
                  <wp:posOffset>3110812</wp:posOffset>
                </wp:positionV>
                <wp:extent cx="914400" cy="268448"/>
                <wp:effectExtent l="0" t="0" r="0" b="0"/>
                <wp:wrapNone/>
                <wp:docPr id="868228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041309FC" w14:textId="62F910BA"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EB53B" id="_x0000_s1039" type="#_x0000_t202" style="position:absolute;margin-left:381.8pt;margin-top:244.95pt;width:1in;height:21.1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" stroked="f">
                <v:textbox>
                  <w:txbxContent>
                    <w:p w14:paraId="041309FC" w14:textId="62F910BA"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714644">
        <w:rPr>
          <w:noProof/>
        </w:rPr>
        <mc:AlternateContent>
          <mc:Choice Requires="wps">
            <w:drawing>
              <wp:anchor distT="45720" distB="45720" distL="114300" distR="114300" simplePos="0" relativeHeight="251658752" behindDoc="0" locked="0" layoutInCell="1" allowOverlap="1" wp14:anchorId="3FB0957D" wp14:editId="6ABD5EFE">
                <wp:simplePos x="0" y="0"/>
                <wp:positionH relativeFrom="margin">
                  <wp:align>center</wp:align>
                </wp:positionH>
                <wp:positionV relativeFrom="paragraph">
                  <wp:posOffset>40298</wp:posOffset>
                </wp:positionV>
                <wp:extent cx="2766060" cy="484553"/>
                <wp:effectExtent l="0" t="0" r="0" b="0"/>
                <wp:wrapNone/>
                <wp:docPr id="202773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484553"/>
                        </a:xfrm>
                        <a:prstGeom prst="rect">
                          <a:avLst/>
                        </a:prstGeom>
                        <a:solidFill>
                          <a:srgbClr val="FFFFFF"/>
                        </a:solidFill>
                        <a:ln w="9525">
                          <a:noFill/>
                          <a:miter lim="800000"/>
                          <a:headEnd/>
                          <a:tailEnd/>
                        </a:ln>
                      </wps:spPr>
                      <wps:txbx>
                        <w:txbxContent>
                          <w:p w14:paraId="2442B6EF" w14:textId="0089A7C6" w:rsidR="00714644" w:rsidRPr="009A2C97" w:rsidRDefault="00714644" w:rsidP="00714644">
                            <w:pPr>
                              <w:spacing w:after="0"/>
                              <w:jc w:val="center"/>
                              <w:rPr>
                                <w:sz w:val="20"/>
                                <w:szCs w:val="20"/>
                              </w:rPr>
                            </w:pPr>
                            <w:r>
                              <w:rPr>
                                <w:sz w:val="20"/>
                                <w:szCs w:val="20"/>
                              </w:rPr>
                              <w:t>Paediatric admissions due to mental health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0957D" id="_x0000_s1040" type="#_x0000_t202" style="position:absolute;margin-left:0;margin-top:3.15pt;width:217.8pt;height:38.15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" stroked="f">
                <v:textbox>
                  <w:txbxContent>
                    <w:p w14:paraId="2442B6EF" w14:textId="0089A7C6" w:rsidR="00714644" w:rsidRPr="009A2C97" w:rsidRDefault="00714644" w:rsidP="00714644">
                      <w:pPr>
                        <w:spacing w:after="0"/>
                        <w:jc w:val="center"/>
                        <w:rPr>
                          <w:sz w:val="20"/>
                          <w:szCs w:val="20"/>
                        </w:rPr>
                      </w:pPr>
                      <w:r>
                        <w:rPr>
                          <w:sz w:val="20"/>
                          <w:szCs w:val="20"/>
                        </w:rPr>
                        <w:t>Paediatric admissions due to mental health conditions</w:t>
                      </w:r>
                    </w:p>
                  </w:txbxContent>
                </v:textbox>
                <w10:wrap anchorx="margin"/>
              </v:shape>
            </w:pict>
          </mc:Fallback>
        </mc:AlternateContent>
      </w:r>
      <w:r w:rsidR="001F6CB6">
        <w:rPr>
          <w:noProof/>
        </w:rPr>
        <w:drawing>
          <wp:inline distT="0" distB="0" distL="0" distR="0" wp14:anchorId="16DD2354" wp14:editId="4AA72196">
            <wp:extent cx="5731510" cy="3454400"/>
            <wp:effectExtent l="0" t="0" r="2540" b="0"/>
            <wp:docPr id="512753177" name="Picture 5"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 obj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454400"/>
                    </a:xfrm>
                    <a:prstGeom prst="rect">
                      <a:avLst/>
                    </a:prstGeom>
                    <a:noFill/>
                    <a:ln>
                      <a:noFill/>
                    </a:ln>
                  </pic:spPr>
                </pic:pic>
              </a:graphicData>
            </a:graphic>
          </wp:inline>
        </w:drawing>
      </w:r>
    </w:p>
    <w:p w14:paraId="03327012" w14:textId="012CA320" w:rsidR="004C4F0F" w:rsidRDefault="3151350E" w:rsidP="004C4F0F">
      <w:r>
        <w:t xml:space="preserve">Data from the Dental Public Health Epidemiological Programme (DPHEP) oral health surveys show that levels of dental decay among children in Lancashire and South </w:t>
      </w:r>
      <w:r>
        <w:lastRenderedPageBreak/>
        <w:t>Cumbria Integrated Care Board (ICB) are generally comparable to or slightly higher than national averages, depending on the age group assessed.</w:t>
      </w:r>
      <w:r w:rsidR="26682FE3">
        <w:t xml:space="preserve"> However, there is a large amount of variance when broken down to lower tier authority level. For example, in the 2024 survey of five-year-olds, the prevalence of visually obvious decay ranged from </w:t>
      </w:r>
      <w:proofErr w:type="spellStart"/>
      <w:r w:rsidR="26682FE3">
        <w:t>from</w:t>
      </w:r>
      <w:proofErr w:type="spellEnd"/>
      <w:r w:rsidR="26682FE3">
        <w:t xml:space="preserve"> 16% in Ribble Valley, to more than double that in Hyndburn (30.2%), Blackpool (32.1%), Blackburn with Darwen (34.8%), Preston (36.6%), and Pendle (39.4%). Pendle has the 4th highest prevalence of decay in five-year-olds of all lower tier local authorities in England.</w:t>
      </w:r>
    </w:p>
    <w:p w14:paraId="055608B0" w14:textId="01CDEEA8" w:rsidR="004C4F0F" w:rsidRDefault="004C4F0F" w:rsidP="00B86837">
      <w:pPr>
        <w:jc w:val="center"/>
      </w:pPr>
      <w:r>
        <w:rPr>
          <w:noProof/>
        </w:rPr>
        <w:drawing>
          <wp:inline distT="0" distB="0" distL="0" distR="0" wp14:anchorId="1E25768F" wp14:editId="573243DD">
            <wp:extent cx="4525742" cy="3200400"/>
            <wp:effectExtent l="0" t="0" r="8255" b="0"/>
            <wp:docPr id="588246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4606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34844" cy="3206837"/>
                    </a:xfrm>
                    <a:prstGeom prst="rect">
                      <a:avLst/>
                    </a:prstGeom>
                  </pic:spPr>
                </pic:pic>
              </a:graphicData>
            </a:graphic>
          </wp:inline>
        </w:drawing>
      </w:r>
    </w:p>
    <w:p w14:paraId="5097F3B2" w14:textId="77777777" w:rsidR="004C4F0F" w:rsidRDefault="004C4F0F" w:rsidP="00B86837">
      <w:pPr>
        <w:jc w:val="center"/>
      </w:pPr>
      <w:r>
        <w:rPr>
          <w:noProof/>
        </w:rPr>
        <w:drawing>
          <wp:inline distT="0" distB="0" distL="0" distR="0" wp14:anchorId="6963170E" wp14:editId="5B63B78B">
            <wp:extent cx="4833615" cy="3418114"/>
            <wp:effectExtent l="0" t="0" r="5715" b="0"/>
            <wp:docPr id="849496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9600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40115" cy="3422711"/>
                    </a:xfrm>
                    <a:prstGeom prst="rect">
                      <a:avLst/>
                    </a:prstGeom>
                  </pic:spPr>
                </pic:pic>
              </a:graphicData>
            </a:graphic>
          </wp:inline>
        </w:drawing>
      </w:r>
    </w:p>
    <w:p w14:paraId="706CD07F" w14:textId="77777777" w:rsidR="004C4F0F" w:rsidRDefault="004C4F0F" w:rsidP="004C4F0F">
      <w:r>
        <w:lastRenderedPageBreak/>
        <w:t>Among three-year-olds (2019/20), 12.4% of children in the ICB had experience of dental decay (D3MFT&gt;0), compared with 10.7% nationally. The mean D3MFT (decayed, missing, or filled teeth) for this age group was 0.37, slightly higher than the England average of 0.31.</w:t>
      </w:r>
    </w:p>
    <w:p w14:paraId="19879A5D" w14:textId="77777777" w:rsidR="004C4F0F" w:rsidRDefault="004C4F0F" w:rsidP="004C4F0F">
      <w:r>
        <w:t>For five-year-olds (2023/24), 26.7% had experienced dental decay, compared with 22.4% nationally. The mean D3MFT value was 1.0 locally, above the England average of 0.8, indicating slightly more affected teeth per child among those with decay.</w:t>
      </w:r>
    </w:p>
    <w:p w14:paraId="0239AFF1" w14:textId="77777777" w:rsidR="004C4F0F" w:rsidRDefault="004C4F0F" w:rsidP="004C4F0F">
      <w:r>
        <w:t>Among eleven-year-olds (2022/23), 15.0% were found to have dental decay compared with 16.2% for England. The mean D3MFT value was 0.27 locally, close to the national figure of 0.30.</w:t>
      </w:r>
    </w:p>
    <w:p w14:paraId="7A1F4EF8" w14:textId="0BF81B24" w:rsidR="004C4F0F" w:rsidRDefault="3151350E" w:rsidP="004C4F0F">
      <w:r>
        <w:t>Overall, the data indicate that dental decay among children in Lancashire and south Cumbria ICB is slightly more common than England average in early childhood, with both the prevalence and severity of decay higher among three- and five-year-olds.</w:t>
      </w:r>
      <w:r w:rsidR="5D15DCB4">
        <w:t xml:space="preserve"> However, there is a significant amount of inequality at a more local level.</w:t>
      </w:r>
      <w:r>
        <w:t xml:space="preserve"> By age eleven, local rates are broadly in line with national figures, suggesting some improvement as children get older. These findings point to the importance of early-years oral health promotion from an early age, particularly in communities where risk factors such as diet, deprivation, and access to dental care may influence outcomes.</w:t>
      </w:r>
    </w:p>
    <w:p w14:paraId="45588F95" w14:textId="48245076" w:rsidR="00694428" w:rsidRDefault="00114FE3" w:rsidP="00D434D6">
      <w:pPr>
        <w:pStyle w:val="Heading3"/>
      </w:pPr>
      <w:r>
        <w:t>Childhood obesity</w:t>
      </w:r>
    </w:p>
    <w:p w14:paraId="34F65970" w14:textId="381EFCC4" w:rsidR="00694428" w:rsidRPr="00694428" w:rsidRDefault="003E06DD" w:rsidP="00694428">
      <w:r>
        <w:rPr>
          <w:noProof/>
        </w:rPr>
        <mc:AlternateContent>
          <mc:Choice Requires="wps">
            <w:drawing>
              <wp:anchor distT="45720" distB="45720" distL="114300" distR="114300" simplePos="0" relativeHeight="251667968" behindDoc="0" locked="0" layoutInCell="1" allowOverlap="1" wp14:anchorId="2433A663" wp14:editId="17D3BBE7">
                <wp:simplePos x="0" y="0"/>
                <wp:positionH relativeFrom="margin">
                  <wp:align>right</wp:align>
                </wp:positionH>
                <wp:positionV relativeFrom="paragraph">
                  <wp:posOffset>1633474</wp:posOffset>
                </wp:positionV>
                <wp:extent cx="914400" cy="268448"/>
                <wp:effectExtent l="0" t="0" r="0" b="0"/>
                <wp:wrapNone/>
                <wp:docPr id="192248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1B129F29" w14:textId="28DB919B" w:rsidR="003E06DD" w:rsidRPr="003E06DD" w:rsidRDefault="003E06DD" w:rsidP="003E06DD">
                            <w:pPr>
                              <w:spacing w:after="0"/>
                              <w:rPr>
                                <w:sz w:val="14"/>
                                <w:szCs w:val="14"/>
                              </w:rPr>
                            </w:pPr>
                            <w:r w:rsidRPr="003E06DD">
                              <w:rPr>
                                <w:sz w:val="14"/>
                                <w:szCs w:val="14"/>
                              </w:rPr>
                              <w:t xml:space="preserve">Source: </w:t>
                            </w:r>
                            <w:r>
                              <w:rPr>
                                <w:sz w:val="14"/>
                                <w:szCs w:val="14"/>
                              </w:rPr>
                              <w:t>OHID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3A663" id="_x0000_s1041" type="#_x0000_t202" style="position:absolute;margin-left:20.8pt;margin-top:128.6pt;width:1in;height:21.15pt;z-index:25166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JQDwIAAP0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" stroked="f">
                <v:textbox>
                  <w:txbxContent>
                    <w:p w14:paraId="1B129F29" w14:textId="28DB919B" w:rsidR="003E06DD" w:rsidRPr="003E06DD" w:rsidRDefault="003E06DD" w:rsidP="003E06DD">
                      <w:pPr>
                        <w:spacing w:after="0"/>
                        <w:rPr>
                          <w:sz w:val="14"/>
                          <w:szCs w:val="14"/>
                        </w:rPr>
                      </w:pPr>
                      <w:r w:rsidRPr="003E06DD">
                        <w:rPr>
                          <w:sz w:val="14"/>
                          <w:szCs w:val="14"/>
                        </w:rPr>
                        <w:t xml:space="preserve">Source: </w:t>
                      </w:r>
                      <w:r>
                        <w:rPr>
                          <w:sz w:val="14"/>
                          <w:szCs w:val="14"/>
                        </w:rPr>
                        <w:t>OHID</w:t>
                      </w:r>
                    </w:p>
                  </w:txbxContent>
                </v:textbox>
                <w10:wrap anchorx="margin"/>
              </v:shape>
            </w:pict>
          </mc:Fallback>
        </mc:AlternateContent>
      </w:r>
      <w:r w:rsidR="00694428" w:rsidRPr="00694428">
        <w:rPr>
          <w:noProof/>
        </w:rPr>
        <w:drawing>
          <wp:inline distT="0" distB="0" distL="0" distR="0" wp14:anchorId="350C5A8A" wp14:editId="3F762600">
            <wp:extent cx="5731510" cy="1675130"/>
            <wp:effectExtent l="0" t="0" r="2540" b="1270"/>
            <wp:docPr id="552069234" name="Picture 1" descr="A white table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69234" name="Picture 1" descr="A white table with black and white text&#10;&#10;AI-generated content may be incorrect."/>
                    <pic:cNvPicPr/>
                  </pic:nvPicPr>
                  <pic:blipFill>
                    <a:blip r:embed="rId63"/>
                    <a:stretch>
                      <a:fillRect/>
                    </a:stretch>
                  </pic:blipFill>
                  <pic:spPr>
                    <a:xfrm>
                      <a:off x="0" y="0"/>
                      <a:ext cx="5731510" cy="1675130"/>
                    </a:xfrm>
                    <a:prstGeom prst="rect">
                      <a:avLst/>
                    </a:prstGeom>
                  </pic:spPr>
                </pic:pic>
              </a:graphicData>
            </a:graphic>
          </wp:inline>
        </w:drawing>
      </w:r>
    </w:p>
    <w:p w14:paraId="49351D83" w14:textId="77777777" w:rsidR="00D434D6" w:rsidRDefault="00D434D6" w:rsidP="00C74A4F">
      <w:pPr>
        <w:spacing w:after="0"/>
      </w:pPr>
    </w:p>
    <w:p w14:paraId="1DB98290" w14:textId="78C8C4DC" w:rsidR="00C74A4F" w:rsidRDefault="00C74A4F" w:rsidP="00C74A4F">
      <w:pPr>
        <w:spacing w:after="0"/>
        <w:rPr>
          <w:rFonts w:cs="Arial"/>
        </w:rPr>
      </w:pPr>
      <w:r w:rsidRPr="008124F0">
        <w:t>2</w:t>
      </w:r>
      <w:r w:rsidR="003E3AB1" w:rsidRPr="008124F0">
        <w:t>3.5</w:t>
      </w:r>
      <w:r w:rsidRPr="008124F0">
        <w:t>% of Children and Young People are identified as being overweight or obese</w:t>
      </w:r>
      <w:r w:rsidR="008124F0" w:rsidRPr="008124F0">
        <w:t xml:space="preserve"> in reception</w:t>
      </w:r>
      <w:r w:rsidRPr="008124F0">
        <w:rPr>
          <w:rFonts w:ascii="Arial" w:hAnsi="Arial" w:cs="Arial"/>
        </w:rPr>
        <w:t>​​</w:t>
      </w:r>
      <w:r w:rsidRPr="008124F0">
        <w:rPr>
          <w:rFonts w:cs="Arial"/>
        </w:rPr>
        <w:t xml:space="preserve"> across Lancashire and South Cumbria</w:t>
      </w:r>
      <w:r w:rsidR="008124F0" w:rsidRPr="008124F0">
        <w:rPr>
          <w:rFonts w:cs="Arial"/>
        </w:rPr>
        <w:t>, compared to 22.1% in England</w:t>
      </w:r>
      <w:r w:rsidR="00FA7E5B">
        <w:rPr>
          <w:rFonts w:cs="Arial"/>
        </w:rPr>
        <w:t xml:space="preserve">, with this increasing to </w:t>
      </w:r>
      <w:r w:rsidR="00A279B3">
        <w:rPr>
          <w:rFonts w:cs="Arial"/>
        </w:rPr>
        <w:t xml:space="preserve">36.5% in Year 6, which is around the England average of </w:t>
      </w:r>
      <w:r w:rsidR="00FB3971">
        <w:rPr>
          <w:rFonts w:cs="Arial"/>
        </w:rPr>
        <w:t>35.8%.</w:t>
      </w:r>
      <w:r w:rsidR="003D51E7">
        <w:rPr>
          <w:rFonts w:cs="Arial"/>
        </w:rPr>
        <w:t xml:space="preserve"> There was an increased prevalence for both ages of overweight and obesity among the most deprived children.</w:t>
      </w:r>
    </w:p>
    <w:p w14:paraId="0647D5D2" w14:textId="42D375C2" w:rsidR="009A2C97" w:rsidRPr="008124F0" w:rsidRDefault="009A2C97" w:rsidP="00C74A4F">
      <w:pPr>
        <w:spacing w:after="0"/>
      </w:pPr>
    </w:p>
    <w:p w14:paraId="33626186" w14:textId="52087502" w:rsidR="00114FE3" w:rsidRPr="00114FE3" w:rsidRDefault="003E06DD" w:rsidP="00114FE3">
      <w:r>
        <w:rPr>
          <w:noProof/>
        </w:rPr>
        <w:lastRenderedPageBreak/>
        <mc:AlternateContent>
          <mc:Choice Requires="wps">
            <w:drawing>
              <wp:anchor distT="45720" distB="45720" distL="114300" distR="114300" simplePos="0" relativeHeight="251671040" behindDoc="0" locked="0" layoutInCell="1" allowOverlap="1" wp14:anchorId="297DA10C" wp14:editId="3897D75E">
                <wp:simplePos x="0" y="0"/>
                <wp:positionH relativeFrom="margin">
                  <wp:posOffset>4832949</wp:posOffset>
                </wp:positionH>
                <wp:positionV relativeFrom="paragraph">
                  <wp:posOffset>3049796</wp:posOffset>
                </wp:positionV>
                <wp:extent cx="914400" cy="268448"/>
                <wp:effectExtent l="0" t="0" r="0" b="0"/>
                <wp:wrapNone/>
                <wp:docPr id="266585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0A6DA37B" w14:textId="0B81A9E5"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DA10C" id="_x0000_s1042" type="#_x0000_t202" style="position:absolute;margin-left:380.55pt;margin-top:240.15pt;width:1in;height:21.15pt;z-index:25167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" stroked="f">
                <v:textbox>
                  <w:txbxContent>
                    <w:p w14:paraId="0A6DA37B" w14:textId="0B81A9E5"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9A2C97">
        <w:rPr>
          <w:noProof/>
        </w:rPr>
        <mc:AlternateContent>
          <mc:Choice Requires="wps">
            <w:drawing>
              <wp:anchor distT="45720" distB="45720" distL="114300" distR="114300" simplePos="0" relativeHeight="251621888" behindDoc="0" locked="0" layoutInCell="1" allowOverlap="1" wp14:anchorId="5903FAE3" wp14:editId="62259791">
                <wp:simplePos x="0" y="0"/>
                <wp:positionH relativeFrom="margin">
                  <wp:posOffset>307612</wp:posOffset>
                </wp:positionH>
                <wp:positionV relativeFrom="paragraph">
                  <wp:posOffset>10432</wp:posOffset>
                </wp:positionV>
                <wp:extent cx="4724400" cy="1404620"/>
                <wp:effectExtent l="0" t="0" r="0" b="5715"/>
                <wp:wrapNone/>
                <wp:docPr id="1277338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404620"/>
                        </a:xfrm>
                        <a:prstGeom prst="rect">
                          <a:avLst/>
                        </a:prstGeom>
                        <a:solidFill>
                          <a:srgbClr val="FFFFFF"/>
                        </a:solidFill>
                        <a:ln w="9525">
                          <a:noFill/>
                          <a:miter lim="800000"/>
                          <a:headEnd/>
                          <a:tailEnd/>
                        </a:ln>
                      </wps:spPr>
                      <wps:txbx>
                        <w:txbxContent>
                          <w:p w14:paraId="59741BD1" w14:textId="1B77B104" w:rsidR="009A2C97" w:rsidRPr="009A2C97" w:rsidRDefault="009A2C97" w:rsidP="009A2C97">
                            <w:pPr>
                              <w:spacing w:after="0"/>
                              <w:rPr>
                                <w:sz w:val="20"/>
                                <w:szCs w:val="20"/>
                              </w:rPr>
                            </w:pPr>
                            <w:r w:rsidRPr="009A2C97">
                              <w:rPr>
                                <w:sz w:val="20"/>
                                <w:szCs w:val="20"/>
                              </w:rPr>
                              <w:t xml:space="preserve">Reception prevalence of </w:t>
                            </w:r>
                            <w:r w:rsidR="005674D5">
                              <w:rPr>
                                <w:sz w:val="20"/>
                                <w:szCs w:val="20"/>
                              </w:rPr>
                              <w:t>overweight</w:t>
                            </w:r>
                            <w:r w:rsidRPr="009A2C97">
                              <w:rPr>
                                <w:sz w:val="20"/>
                                <w:szCs w:val="20"/>
                              </w:rPr>
                              <w:t xml:space="preserve"> (including obesity), 3 years data combined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03FAE3" id="_x0000_s1043" type="#_x0000_t202" style="position:absolute;margin-left:24.2pt;margin-top:.8pt;width:372pt;height:110.6pt;z-index:251621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" stroked="f">
                <v:textbox style="mso-fit-shape-to-text:t">
                  <w:txbxContent>
                    <w:p w14:paraId="59741BD1" w14:textId="1B77B104" w:rsidR="009A2C97" w:rsidRPr="009A2C97" w:rsidRDefault="009A2C97" w:rsidP="009A2C97">
                      <w:pPr>
                        <w:spacing w:after="0"/>
                        <w:rPr>
                          <w:sz w:val="20"/>
                          <w:szCs w:val="20"/>
                        </w:rPr>
                      </w:pPr>
                      <w:r w:rsidRPr="009A2C97">
                        <w:rPr>
                          <w:sz w:val="20"/>
                          <w:szCs w:val="20"/>
                        </w:rPr>
                        <w:t xml:space="preserve">Reception prevalence of </w:t>
                      </w:r>
                      <w:r w:rsidR="005674D5">
                        <w:rPr>
                          <w:sz w:val="20"/>
                          <w:szCs w:val="20"/>
                        </w:rPr>
                        <w:t>overweight</w:t>
                      </w:r>
                      <w:r w:rsidRPr="009A2C97">
                        <w:rPr>
                          <w:sz w:val="20"/>
                          <w:szCs w:val="20"/>
                        </w:rPr>
                        <w:t xml:space="preserve"> (including obesity), 3 years data combined</w:t>
                      </w:r>
                    </w:p>
                  </w:txbxContent>
                </v:textbox>
                <w10:wrap anchorx="margin"/>
              </v:shape>
            </w:pict>
          </mc:Fallback>
        </mc:AlternateContent>
      </w:r>
      <w:r w:rsidR="005674D5">
        <w:rPr>
          <w:noProof/>
        </w:rPr>
        <w:drawing>
          <wp:inline distT="0" distB="0" distL="0" distR="0" wp14:anchorId="327444AE" wp14:editId="733CBC6F">
            <wp:extent cx="5731510" cy="3451860"/>
            <wp:effectExtent l="0" t="0" r="2540" b="0"/>
            <wp:docPr id="1661598078" name="Picture 8"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ot obj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451860"/>
                    </a:xfrm>
                    <a:prstGeom prst="rect">
                      <a:avLst/>
                    </a:prstGeom>
                    <a:noFill/>
                    <a:ln>
                      <a:noFill/>
                    </a:ln>
                  </pic:spPr>
                </pic:pic>
              </a:graphicData>
            </a:graphic>
          </wp:inline>
        </w:drawing>
      </w:r>
    </w:p>
    <w:p w14:paraId="443B7CF1" w14:textId="65D7A2E2" w:rsidR="00FD4514" w:rsidRDefault="003E06DD" w:rsidP="0005191B">
      <w:r>
        <w:rPr>
          <w:noProof/>
        </w:rPr>
        <mc:AlternateContent>
          <mc:Choice Requires="wps">
            <w:drawing>
              <wp:anchor distT="45720" distB="45720" distL="114300" distR="114300" simplePos="0" relativeHeight="251674112" behindDoc="0" locked="0" layoutInCell="1" allowOverlap="1" wp14:anchorId="1C90B216" wp14:editId="27AB02BF">
                <wp:simplePos x="0" y="0"/>
                <wp:positionH relativeFrom="margin">
                  <wp:align>right</wp:align>
                </wp:positionH>
                <wp:positionV relativeFrom="paragraph">
                  <wp:posOffset>3290153</wp:posOffset>
                </wp:positionV>
                <wp:extent cx="914400" cy="268448"/>
                <wp:effectExtent l="0" t="0" r="0" b="0"/>
                <wp:wrapNone/>
                <wp:docPr id="582221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570DF4AC" w14:textId="52B590A4"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0B216" id="_x0000_s1044" type="#_x0000_t202" style="position:absolute;margin-left:20.8pt;margin-top:259.05pt;width:1in;height:21.15pt;z-index:251674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UXDgIAAP0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" stroked="f">
                <v:textbox>
                  <w:txbxContent>
                    <w:p w14:paraId="570DF4AC" w14:textId="52B590A4" w:rsidR="003E06DD" w:rsidRPr="003E06DD" w:rsidRDefault="003E06DD" w:rsidP="003E06DD">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FD4514">
        <w:rPr>
          <w:noProof/>
        </w:rPr>
        <mc:AlternateContent>
          <mc:Choice Requires="wps">
            <w:drawing>
              <wp:anchor distT="45720" distB="45720" distL="114300" distR="114300" simplePos="0" relativeHeight="251624960" behindDoc="0" locked="0" layoutInCell="1" allowOverlap="1" wp14:anchorId="11F3B7B4" wp14:editId="3CF58C60">
                <wp:simplePos x="0" y="0"/>
                <wp:positionH relativeFrom="margin">
                  <wp:posOffset>239486</wp:posOffset>
                </wp:positionH>
                <wp:positionV relativeFrom="paragraph">
                  <wp:posOffset>101328</wp:posOffset>
                </wp:positionV>
                <wp:extent cx="4724400" cy="1404620"/>
                <wp:effectExtent l="0" t="0" r="0" b="5715"/>
                <wp:wrapNone/>
                <wp:docPr id="2008581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404620"/>
                        </a:xfrm>
                        <a:prstGeom prst="rect">
                          <a:avLst/>
                        </a:prstGeom>
                        <a:solidFill>
                          <a:srgbClr val="FFFFFF"/>
                        </a:solidFill>
                        <a:ln w="9525">
                          <a:noFill/>
                          <a:miter lim="800000"/>
                          <a:headEnd/>
                          <a:tailEnd/>
                        </a:ln>
                      </wps:spPr>
                      <wps:txbx>
                        <w:txbxContent>
                          <w:p w14:paraId="773F0F6C" w14:textId="18316B7C" w:rsidR="00FD4514" w:rsidRPr="009A2C97" w:rsidRDefault="00E5427E" w:rsidP="00FD4514">
                            <w:pPr>
                              <w:spacing w:after="0"/>
                              <w:rPr>
                                <w:sz w:val="20"/>
                                <w:szCs w:val="20"/>
                              </w:rPr>
                            </w:pPr>
                            <w:r>
                              <w:rPr>
                                <w:sz w:val="20"/>
                                <w:szCs w:val="20"/>
                              </w:rPr>
                              <w:t>Year 6</w:t>
                            </w:r>
                            <w:r w:rsidR="00FD4514" w:rsidRPr="009A2C97">
                              <w:rPr>
                                <w:sz w:val="20"/>
                                <w:szCs w:val="20"/>
                              </w:rPr>
                              <w:t xml:space="preserve"> prevalence of </w:t>
                            </w:r>
                            <w:r w:rsidR="005674D5">
                              <w:rPr>
                                <w:sz w:val="20"/>
                                <w:szCs w:val="20"/>
                              </w:rPr>
                              <w:t>overweight</w:t>
                            </w:r>
                            <w:r w:rsidR="00FD4514" w:rsidRPr="009A2C97">
                              <w:rPr>
                                <w:sz w:val="20"/>
                                <w:szCs w:val="20"/>
                              </w:rPr>
                              <w:t xml:space="preserve"> (including obesity), 3 years data combined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F3B7B4" id="_x0000_s1045" type="#_x0000_t202" style="position:absolute;margin-left:18.85pt;margin-top:8pt;width:372pt;height:110.6pt;z-index:251624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" stroked="f">
                <v:textbox style="mso-fit-shape-to-text:t">
                  <w:txbxContent>
                    <w:p w14:paraId="773F0F6C" w14:textId="18316B7C" w:rsidR="00FD4514" w:rsidRPr="009A2C97" w:rsidRDefault="00E5427E" w:rsidP="00FD4514">
                      <w:pPr>
                        <w:spacing w:after="0"/>
                        <w:rPr>
                          <w:sz w:val="20"/>
                          <w:szCs w:val="20"/>
                        </w:rPr>
                      </w:pPr>
                      <w:r>
                        <w:rPr>
                          <w:sz w:val="20"/>
                          <w:szCs w:val="20"/>
                        </w:rPr>
                        <w:t>Year 6</w:t>
                      </w:r>
                      <w:r w:rsidR="00FD4514" w:rsidRPr="009A2C97">
                        <w:rPr>
                          <w:sz w:val="20"/>
                          <w:szCs w:val="20"/>
                        </w:rPr>
                        <w:t xml:space="preserve"> prevalence of </w:t>
                      </w:r>
                      <w:r w:rsidR="005674D5">
                        <w:rPr>
                          <w:sz w:val="20"/>
                          <w:szCs w:val="20"/>
                        </w:rPr>
                        <w:t>overweight</w:t>
                      </w:r>
                      <w:r w:rsidR="00FD4514" w:rsidRPr="009A2C97">
                        <w:rPr>
                          <w:sz w:val="20"/>
                          <w:szCs w:val="20"/>
                        </w:rPr>
                        <w:t xml:space="preserve"> (including obesity), 3 years data combined</w:t>
                      </w:r>
                    </w:p>
                  </w:txbxContent>
                </v:textbox>
                <w10:wrap anchorx="margin"/>
              </v:shape>
            </w:pict>
          </mc:Fallback>
        </mc:AlternateContent>
      </w:r>
      <w:r w:rsidR="003D51E7">
        <w:rPr>
          <w:noProof/>
        </w:rPr>
        <w:drawing>
          <wp:inline distT="0" distB="0" distL="0" distR="0" wp14:anchorId="49F5A904" wp14:editId="60D43039">
            <wp:extent cx="5731510" cy="3451860"/>
            <wp:effectExtent l="0" t="0" r="2540" b="0"/>
            <wp:docPr id="371152677" name="Picture 9"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ot obj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451860"/>
                    </a:xfrm>
                    <a:prstGeom prst="rect">
                      <a:avLst/>
                    </a:prstGeom>
                    <a:noFill/>
                    <a:ln>
                      <a:noFill/>
                    </a:ln>
                  </pic:spPr>
                </pic:pic>
              </a:graphicData>
            </a:graphic>
          </wp:inline>
        </w:drawing>
      </w:r>
    </w:p>
    <w:p w14:paraId="1E58C545" w14:textId="3F7EF73D" w:rsidR="00B66D7D" w:rsidRDefault="00B66D7D" w:rsidP="006E768D">
      <w:pPr>
        <w:pStyle w:val="Heading2"/>
      </w:pPr>
      <w:bookmarkStart w:id="71" w:name="_Toc214447021"/>
      <w:bookmarkStart w:id="72" w:name="_Toc214460966"/>
      <w:bookmarkStart w:id="73" w:name="_Toc220937624"/>
      <w:r>
        <w:t>Maternity</w:t>
      </w:r>
      <w:bookmarkEnd w:id="71"/>
      <w:bookmarkEnd w:id="72"/>
      <w:bookmarkEnd w:id="73"/>
    </w:p>
    <w:p w14:paraId="6BF574ED" w14:textId="77777777" w:rsidR="004C4F0F" w:rsidRDefault="004C4F0F" w:rsidP="004C4F0F">
      <w:r>
        <w:t xml:space="preserve">In 2021, </w:t>
      </w:r>
      <w:r w:rsidRPr="006C204A">
        <w:t>326,215 (36.2%) of the ICS’s registered female population were aged 15-44.</w:t>
      </w:r>
      <w:r>
        <w:t xml:space="preserve"> </w:t>
      </w:r>
      <w:r w:rsidRPr="006C204A">
        <w:t xml:space="preserve">This figure varies by </w:t>
      </w:r>
      <w:r>
        <w:t>sub-ICB area,</w:t>
      </w:r>
      <w:r w:rsidRPr="006C204A">
        <w:t xml:space="preserve"> rising to 40.4% in Blackburn with Darwen and dropping down to 29.1% in Fylde &amp; Wyre. </w:t>
      </w:r>
    </w:p>
    <w:p w14:paraId="4293902C" w14:textId="77777777" w:rsidR="004C4F0F" w:rsidRDefault="004C4F0F" w:rsidP="004C4F0F">
      <w:r>
        <w:lastRenderedPageBreak/>
        <w:t xml:space="preserve">Splitting the registered female reproductive population (15-44) by LSOA and deprivation decile, shows us that ICS has a far higher proportion of such women living within deprivation decile 1 than the England average. </w:t>
      </w:r>
      <w:r>
        <w:rPr>
          <w:rFonts w:ascii="Arial" w:hAnsi="Arial" w:cs="Arial"/>
        </w:rPr>
        <w:t>​</w:t>
      </w:r>
    </w:p>
    <w:p w14:paraId="320ECD5D" w14:textId="2B58A8C5" w:rsidR="004C4F0F" w:rsidRDefault="003E06DD" w:rsidP="004C4F0F">
      <w:r>
        <w:rPr>
          <w:noProof/>
        </w:rPr>
        <mc:AlternateContent>
          <mc:Choice Requires="wps">
            <w:drawing>
              <wp:anchor distT="45720" distB="45720" distL="114300" distR="114300" simplePos="0" relativeHeight="251677184" behindDoc="0" locked="0" layoutInCell="1" allowOverlap="1" wp14:anchorId="3AB87E77" wp14:editId="034F5C3F">
                <wp:simplePos x="0" y="0"/>
                <wp:positionH relativeFrom="margin">
                  <wp:align>right</wp:align>
                </wp:positionH>
                <wp:positionV relativeFrom="paragraph">
                  <wp:posOffset>2681696</wp:posOffset>
                </wp:positionV>
                <wp:extent cx="914400" cy="268448"/>
                <wp:effectExtent l="0" t="0" r="0" b="0"/>
                <wp:wrapNone/>
                <wp:docPr id="859211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66952579" w14:textId="6F11AB2F" w:rsidR="003E06DD" w:rsidRPr="003E06DD" w:rsidRDefault="003E06DD" w:rsidP="003E06DD">
                            <w:pPr>
                              <w:spacing w:after="0"/>
                              <w:rPr>
                                <w:sz w:val="14"/>
                                <w:szCs w:val="14"/>
                              </w:rPr>
                            </w:pPr>
                            <w:r w:rsidRPr="003E06DD">
                              <w:rPr>
                                <w:sz w:val="14"/>
                                <w:szCs w:val="14"/>
                              </w:rPr>
                              <w:t xml:space="preserve">Source: </w:t>
                            </w:r>
                            <w:r w:rsidR="00EC50B7">
                              <w:rPr>
                                <w:sz w:val="14"/>
                                <w:szCs w:val="14"/>
                              </w:rPr>
                              <w:t>M</w:t>
                            </w:r>
                            <w:r w:rsidR="00FE55F7">
                              <w:rPr>
                                <w:sz w:val="14"/>
                                <w:szCs w:val="14"/>
                              </w:rPr>
                              <w:t>LCSU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87E77" id="_x0000_s1046" type="#_x0000_t202" style="position:absolute;margin-left:20.8pt;margin-top:211.15pt;width:1in;height:21.15pt;z-index:251677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hxDQIAAP0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" stroked="f">
                <v:textbox>
                  <w:txbxContent>
                    <w:p w14:paraId="66952579" w14:textId="6F11AB2F" w:rsidR="003E06DD" w:rsidRPr="003E06DD" w:rsidRDefault="003E06DD" w:rsidP="003E06DD">
                      <w:pPr>
                        <w:spacing w:after="0"/>
                        <w:rPr>
                          <w:sz w:val="14"/>
                          <w:szCs w:val="14"/>
                        </w:rPr>
                      </w:pPr>
                      <w:r w:rsidRPr="003E06DD">
                        <w:rPr>
                          <w:sz w:val="14"/>
                          <w:szCs w:val="14"/>
                        </w:rPr>
                        <w:t xml:space="preserve">Source: </w:t>
                      </w:r>
                      <w:r w:rsidR="00EC50B7">
                        <w:rPr>
                          <w:sz w:val="14"/>
                          <w:szCs w:val="14"/>
                        </w:rPr>
                        <w:t>M</w:t>
                      </w:r>
                      <w:r w:rsidR="00FE55F7">
                        <w:rPr>
                          <w:sz w:val="14"/>
                          <w:szCs w:val="14"/>
                        </w:rPr>
                        <w:t>LCSU</w:t>
                      </w:r>
                    </w:p>
                  </w:txbxContent>
                </v:textbox>
                <w10:wrap anchorx="margin"/>
              </v:shape>
            </w:pict>
          </mc:Fallback>
        </mc:AlternateContent>
      </w:r>
      <w:r w:rsidR="004C4F0F" w:rsidRPr="002F0678">
        <w:rPr>
          <w:noProof/>
        </w:rPr>
        <w:drawing>
          <wp:inline distT="0" distB="0" distL="0" distR="0" wp14:anchorId="2FFA3AF4" wp14:editId="2DB47104">
            <wp:extent cx="5731510" cy="2844800"/>
            <wp:effectExtent l="0" t="0" r="2540" b="0"/>
            <wp:docPr id="1612388631"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bar chart&#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844800"/>
                    </a:xfrm>
                    <a:prstGeom prst="rect">
                      <a:avLst/>
                    </a:prstGeom>
                    <a:noFill/>
                    <a:ln>
                      <a:noFill/>
                    </a:ln>
                  </pic:spPr>
                </pic:pic>
              </a:graphicData>
            </a:graphic>
          </wp:inline>
        </w:drawing>
      </w:r>
    </w:p>
    <w:p w14:paraId="7CE93968" w14:textId="77777777" w:rsidR="004C4F0F" w:rsidRDefault="3151350E" w:rsidP="1FC98660">
      <w:pPr>
        <w:pStyle w:val="Heading3"/>
        <w:rPr>
          <w:rStyle w:val="BookTitle"/>
        </w:rPr>
      </w:pPr>
      <w:r>
        <w:t>Low birth weight</w:t>
      </w:r>
    </w:p>
    <w:p w14:paraId="1A4C35B5" w14:textId="77777777" w:rsidR="004C4F0F" w:rsidRDefault="2495DFF1" w:rsidP="004C4F0F">
      <w:pPr>
        <w:tabs>
          <w:tab w:val="left" w:pos="7260"/>
        </w:tabs>
      </w:pPr>
      <w:r w:rsidRPr="004D5025">
        <w:rPr>
          <w:spacing w:val="5"/>
        </w:rPr>
        <w:t>Low birth weight increases the risk of childhood mortality and of developmental problems for the child and is associated with poorer health in later life. At a population level</w:t>
      </w:r>
      <w:r>
        <w:rPr>
          <w:spacing w:val="5"/>
        </w:rPr>
        <w:t>,</w:t>
      </w:r>
      <w:r w:rsidRPr="004D5025">
        <w:rPr>
          <w:spacing w:val="5"/>
        </w:rPr>
        <w:t xml:space="preserve"> there are inequalities in low birth weight</w:t>
      </w:r>
      <w:r>
        <w:rPr>
          <w:spacing w:val="5"/>
        </w:rPr>
        <w:t xml:space="preserve">. </w:t>
      </w:r>
    </w:p>
    <w:p w14:paraId="78B51C05" w14:textId="77777777" w:rsidR="004C4F0F" w:rsidRPr="007E7190" w:rsidRDefault="2495DFF1" w:rsidP="004C4F0F">
      <w:pPr>
        <w:tabs>
          <w:tab w:val="left" w:pos="7260"/>
        </w:tabs>
      </w:pPr>
      <w:r w:rsidRPr="007E7190">
        <w:rPr>
          <w:spacing w:val="5"/>
        </w:rPr>
        <w:t xml:space="preserve">In </w:t>
      </w:r>
      <w:r w:rsidRPr="00C45042">
        <w:rPr>
          <w:spacing w:val="5"/>
        </w:rPr>
        <w:t xml:space="preserve">Lancashire, 2.8% of all live births at term are low birth weight, this is </w:t>
      </w:r>
      <w:proofErr w:type="gramStart"/>
      <w:r w:rsidRPr="00C45042">
        <w:rPr>
          <w:spacing w:val="5"/>
        </w:rPr>
        <w:t>similar to</w:t>
      </w:r>
      <w:proofErr w:type="gramEnd"/>
      <w:r w:rsidRPr="00C45042">
        <w:rPr>
          <w:spacing w:val="5"/>
        </w:rPr>
        <w:t xml:space="preserve"> the England rate (2.9%). In Westmoreland</w:t>
      </w:r>
      <w:r>
        <w:rPr>
          <w:spacing w:val="5"/>
        </w:rPr>
        <w:t xml:space="preserve"> and Furness (2.2%), the rate is lower than the England rate. </w:t>
      </w:r>
      <w:r w:rsidRPr="007E7190">
        <w:rPr>
          <w:spacing w:val="5"/>
        </w:rPr>
        <w:t>Blackburn with Darwen (4.</w:t>
      </w:r>
      <w:r>
        <w:rPr>
          <w:spacing w:val="5"/>
        </w:rPr>
        <w:t>6</w:t>
      </w:r>
      <w:r w:rsidRPr="007E7190">
        <w:rPr>
          <w:spacing w:val="5"/>
        </w:rPr>
        <w:t>%) has one of the highest proportions of low-birth-weight term babies in England and is significantly above the England rate. In Blackpool the rate is 3.</w:t>
      </w:r>
      <w:r>
        <w:rPr>
          <w:spacing w:val="5"/>
        </w:rPr>
        <w:t>2</w:t>
      </w:r>
      <w:r w:rsidRPr="007E7190">
        <w:rPr>
          <w:spacing w:val="5"/>
        </w:rPr>
        <w:t>%</w:t>
      </w:r>
      <w:r>
        <w:rPr>
          <w:spacing w:val="5"/>
        </w:rPr>
        <w:t>,</w:t>
      </w:r>
      <w:r w:rsidRPr="007E7190">
        <w:rPr>
          <w:spacing w:val="5"/>
        </w:rPr>
        <w:t xml:space="preserve"> </w:t>
      </w:r>
      <w:proofErr w:type="gramStart"/>
      <w:r w:rsidRPr="007E7190">
        <w:rPr>
          <w:spacing w:val="5"/>
        </w:rPr>
        <w:t>similar to</w:t>
      </w:r>
      <w:proofErr w:type="gramEnd"/>
      <w:r w:rsidRPr="007E7190">
        <w:rPr>
          <w:spacing w:val="5"/>
        </w:rPr>
        <w:t xml:space="preserve"> the England rate.</w:t>
      </w:r>
      <w:r>
        <w:rPr>
          <w:spacing w:val="5"/>
        </w:rPr>
        <w:t xml:space="preserve"> </w:t>
      </w:r>
    </w:p>
    <w:p w14:paraId="5700DFA8" w14:textId="77777777" w:rsidR="004C4F0F" w:rsidRPr="007E7190" w:rsidRDefault="2495DFF1" w:rsidP="004C4F0F">
      <w:pPr>
        <w:tabs>
          <w:tab w:val="left" w:pos="7260"/>
        </w:tabs>
      </w:pPr>
      <w:r w:rsidRPr="007E7190">
        <w:rPr>
          <w:spacing w:val="5"/>
        </w:rPr>
        <w:t>In Lancashire, 7.</w:t>
      </w:r>
      <w:r>
        <w:rPr>
          <w:spacing w:val="5"/>
        </w:rPr>
        <w:t>5</w:t>
      </w:r>
      <w:r w:rsidRPr="007E7190">
        <w:rPr>
          <w:spacing w:val="5"/>
        </w:rPr>
        <w:t xml:space="preserve">% of live and still births of all babies are low birth weight; this is </w:t>
      </w:r>
      <w:proofErr w:type="gramStart"/>
      <w:r w:rsidRPr="007E7190">
        <w:rPr>
          <w:spacing w:val="5"/>
        </w:rPr>
        <w:t>similar to</w:t>
      </w:r>
      <w:proofErr w:type="gramEnd"/>
      <w:r w:rsidRPr="007E7190">
        <w:rPr>
          <w:spacing w:val="5"/>
        </w:rPr>
        <w:t xml:space="preserve"> the England rate (7.</w:t>
      </w:r>
      <w:r>
        <w:rPr>
          <w:spacing w:val="5"/>
        </w:rPr>
        <w:t>4</w:t>
      </w:r>
      <w:r w:rsidRPr="007E7190">
        <w:rPr>
          <w:spacing w:val="5"/>
        </w:rPr>
        <w:t>%).</w:t>
      </w:r>
      <w:r>
        <w:rPr>
          <w:spacing w:val="5"/>
        </w:rPr>
        <w:t xml:space="preserve"> </w:t>
      </w:r>
      <w:r w:rsidRPr="007E7190">
        <w:rPr>
          <w:spacing w:val="5"/>
        </w:rPr>
        <w:t>In Blackburn with Darwen (</w:t>
      </w:r>
      <w:r>
        <w:rPr>
          <w:spacing w:val="5"/>
        </w:rPr>
        <w:t>8.9</w:t>
      </w:r>
      <w:r w:rsidRPr="007E7190">
        <w:rPr>
          <w:spacing w:val="5"/>
        </w:rPr>
        <w:t>%) and Blackpool (</w:t>
      </w:r>
      <w:r>
        <w:rPr>
          <w:spacing w:val="5"/>
        </w:rPr>
        <w:t>10</w:t>
      </w:r>
      <w:r w:rsidRPr="007E7190">
        <w:rPr>
          <w:spacing w:val="5"/>
        </w:rPr>
        <w:t>%) the rate is significantly above the England rate</w:t>
      </w:r>
      <w:r>
        <w:rPr>
          <w:spacing w:val="5"/>
        </w:rPr>
        <w:t>.</w:t>
      </w:r>
    </w:p>
    <w:p w14:paraId="579102FA" w14:textId="77777777" w:rsidR="004C4F0F" w:rsidRPr="004D5025" w:rsidRDefault="2495DFF1" w:rsidP="004C4F0F">
      <w:pPr>
        <w:tabs>
          <w:tab w:val="left" w:pos="7260"/>
        </w:tabs>
      </w:pPr>
      <w:r w:rsidRPr="007E7190">
        <w:rPr>
          <w:spacing w:val="5"/>
        </w:rPr>
        <w:t xml:space="preserve">In Lancashire, 1.0% of live and still births of all babies are very low birth weight; this is </w:t>
      </w:r>
      <w:proofErr w:type="gramStart"/>
      <w:r w:rsidRPr="007E7190">
        <w:rPr>
          <w:spacing w:val="5"/>
        </w:rPr>
        <w:t>similar to</w:t>
      </w:r>
      <w:proofErr w:type="gramEnd"/>
      <w:r w:rsidRPr="007E7190">
        <w:rPr>
          <w:spacing w:val="5"/>
        </w:rPr>
        <w:t xml:space="preserve"> the England rate (1.</w:t>
      </w:r>
      <w:r>
        <w:rPr>
          <w:spacing w:val="5"/>
        </w:rPr>
        <w:t>1</w:t>
      </w:r>
      <w:r w:rsidRPr="007E7190">
        <w:rPr>
          <w:spacing w:val="5"/>
        </w:rPr>
        <w:t>%).</w:t>
      </w:r>
      <w:r>
        <w:rPr>
          <w:spacing w:val="5"/>
        </w:rPr>
        <w:t xml:space="preserve"> </w:t>
      </w:r>
      <w:r w:rsidRPr="007E7190">
        <w:rPr>
          <w:spacing w:val="5"/>
        </w:rPr>
        <w:t>In Blackburn with Darwen (0.</w:t>
      </w:r>
      <w:r>
        <w:rPr>
          <w:spacing w:val="5"/>
        </w:rPr>
        <w:t>9</w:t>
      </w:r>
      <w:r w:rsidRPr="007E7190">
        <w:rPr>
          <w:spacing w:val="5"/>
        </w:rPr>
        <w:t xml:space="preserve">%) the rate is </w:t>
      </w:r>
      <w:proofErr w:type="gramStart"/>
      <w:r w:rsidRPr="007E7190">
        <w:rPr>
          <w:spacing w:val="5"/>
        </w:rPr>
        <w:t>similar to</w:t>
      </w:r>
      <w:proofErr w:type="gramEnd"/>
      <w:r w:rsidRPr="007E7190">
        <w:rPr>
          <w:spacing w:val="5"/>
        </w:rPr>
        <w:t xml:space="preserve"> the England rate</w:t>
      </w:r>
      <w:r>
        <w:rPr>
          <w:spacing w:val="5"/>
        </w:rPr>
        <w:t xml:space="preserve">, </w:t>
      </w:r>
      <w:r w:rsidRPr="007E7190">
        <w:rPr>
          <w:spacing w:val="5"/>
        </w:rPr>
        <w:t>and in Blackpool (1.</w:t>
      </w:r>
      <w:r>
        <w:rPr>
          <w:spacing w:val="5"/>
        </w:rPr>
        <w:t>4</w:t>
      </w:r>
      <w:r w:rsidRPr="007E7190">
        <w:rPr>
          <w:spacing w:val="5"/>
        </w:rPr>
        <w:t>%)</w:t>
      </w:r>
      <w:r>
        <w:rPr>
          <w:spacing w:val="5"/>
        </w:rPr>
        <w:t xml:space="preserve"> it is slightly higher.</w:t>
      </w:r>
      <w:r w:rsidRPr="007E7190">
        <w:rPr>
          <w:spacing w:val="5"/>
        </w:rPr>
        <w:t xml:space="preserve"> </w:t>
      </w:r>
      <w:r>
        <w:rPr>
          <w:spacing w:val="5"/>
        </w:rPr>
        <w:t xml:space="preserve">Westmoreland and Furness (0.6%) </w:t>
      </w:r>
      <w:proofErr w:type="gramStart"/>
      <w:r>
        <w:rPr>
          <w:spacing w:val="5"/>
        </w:rPr>
        <w:t>is</w:t>
      </w:r>
      <w:proofErr w:type="gramEnd"/>
      <w:r>
        <w:rPr>
          <w:spacing w:val="5"/>
        </w:rPr>
        <w:t xml:space="preserve"> slightly lower than the England rate.</w:t>
      </w:r>
    </w:p>
    <w:p w14:paraId="4211E206" w14:textId="24BEF9F0" w:rsidR="00F35BD7" w:rsidRPr="00917E7B" w:rsidRDefault="004C4F0F" w:rsidP="007220B7">
      <w:pPr>
        <w:pStyle w:val="Heading3"/>
      </w:pPr>
      <w:r>
        <w:t xml:space="preserve">Smoking At Time </w:t>
      </w:r>
      <w:proofErr w:type="gramStart"/>
      <w:r>
        <w:t>Of</w:t>
      </w:r>
      <w:proofErr w:type="gramEnd"/>
      <w:r>
        <w:t xml:space="preserve"> Delivery (SATOD)</w:t>
      </w:r>
    </w:p>
    <w:p w14:paraId="57687282" w14:textId="51F7729A" w:rsidR="007220B7" w:rsidRDefault="007220B7" w:rsidP="004C4F0F">
      <w:pPr>
        <w:rPr>
          <w:lang w:val="en-US"/>
        </w:rPr>
      </w:pPr>
      <w:r w:rsidRPr="007220B7">
        <w:rPr>
          <w:lang w:val="en-US"/>
        </w:rPr>
        <w:t>Smoking or exposure to second-hand smoke during pregnancy increases the risk of stillbirth, miscarriage, and sudden infant death. Children born to parents who smoke are more likely to develop health problems including respiratory conditions, learning difficulties, and diabetes, and are more likely to grow up to be smokers.</w:t>
      </w:r>
    </w:p>
    <w:p w14:paraId="4318D260" w14:textId="35068D53" w:rsidR="004C4F0F" w:rsidRPr="00072460" w:rsidRDefault="004C4F0F" w:rsidP="004C4F0F">
      <w:pPr>
        <w:rPr>
          <w:lang w:val="en-US"/>
        </w:rPr>
      </w:pPr>
      <w:r w:rsidRPr="00072460">
        <w:rPr>
          <w:lang w:val="en-US"/>
        </w:rPr>
        <w:lastRenderedPageBreak/>
        <w:t>SATOD rates in NHS Blackpool</w:t>
      </w:r>
      <w:r w:rsidR="00F12259">
        <w:rPr>
          <w:lang w:val="en-US"/>
        </w:rPr>
        <w:t xml:space="preserve"> </w:t>
      </w:r>
      <w:r w:rsidR="00490229">
        <w:rPr>
          <w:lang w:val="en-US"/>
        </w:rPr>
        <w:t>(13.1%)</w:t>
      </w:r>
      <w:r w:rsidRPr="00072460">
        <w:rPr>
          <w:lang w:val="en-US"/>
        </w:rPr>
        <w:t xml:space="preserve"> and NHS East Lancashire</w:t>
      </w:r>
      <w:r w:rsidR="00490229">
        <w:rPr>
          <w:lang w:val="en-US"/>
        </w:rPr>
        <w:t xml:space="preserve"> (9.1%)</w:t>
      </w:r>
      <w:r w:rsidRPr="00072460">
        <w:rPr>
          <w:lang w:val="en-US"/>
        </w:rPr>
        <w:t xml:space="preserve"> Sub-ICB locations, along with the </w:t>
      </w:r>
      <w:proofErr w:type="gramStart"/>
      <w:r w:rsidRPr="00072460">
        <w:rPr>
          <w:lang w:val="en-US"/>
        </w:rPr>
        <w:t>North West</w:t>
      </w:r>
      <w:proofErr w:type="gramEnd"/>
      <w:r w:rsidRPr="00072460">
        <w:rPr>
          <w:lang w:val="en-US"/>
        </w:rPr>
        <w:t xml:space="preserve"> region (6.5%), are higher than the England rate.</w:t>
      </w:r>
      <w:r>
        <w:rPr>
          <w:lang w:val="en-US"/>
        </w:rPr>
        <w:t xml:space="preserve"> </w:t>
      </w:r>
      <w:r w:rsidRPr="00072460">
        <w:rPr>
          <w:lang w:val="en-US"/>
        </w:rPr>
        <w:t>In all Lancashire and South Cumbria Sub-ICB locations, apart from NHS Blackburn with Darwen (5.8%) and NHS West Lancashire (4.5%), the SATOD rate is above the current national ambition of 6% or less.</w:t>
      </w:r>
    </w:p>
    <w:p w14:paraId="429D5515" w14:textId="08EBE477" w:rsidR="00B66D7D" w:rsidRPr="00816434" w:rsidRDefault="004C4F0F" w:rsidP="00B66D7D">
      <w:pPr>
        <w:rPr>
          <w:lang w:val="en-US"/>
        </w:rPr>
      </w:pPr>
      <w:r w:rsidRPr="00072460">
        <w:rPr>
          <w:lang w:val="en-US"/>
        </w:rPr>
        <w:t>Smoking status is unknown for some maternities and therefore caution should be used when making comparisons with earlier periods and between locations. In Lancashire and South Cumbria Sub-ICB locations, the average percentage of maternities with an unknown smoking status is 3.1% compared to 2.6% at the national level (2024/25).</w:t>
      </w:r>
    </w:p>
    <w:p w14:paraId="6348F1B7" w14:textId="01867590" w:rsidR="006E768D" w:rsidRDefault="00B66D7D" w:rsidP="006E768D">
      <w:pPr>
        <w:pStyle w:val="Heading2"/>
      </w:pPr>
      <w:bookmarkStart w:id="74" w:name="_Toc214447022"/>
      <w:bookmarkStart w:id="75" w:name="_Toc214460967"/>
      <w:bookmarkStart w:id="76" w:name="_Toc220937625"/>
      <w:r>
        <w:t>W</w:t>
      </w:r>
      <w:r w:rsidR="006E768D">
        <w:t>omen’s health</w:t>
      </w:r>
      <w:bookmarkEnd w:id="74"/>
      <w:bookmarkEnd w:id="75"/>
      <w:bookmarkEnd w:id="76"/>
    </w:p>
    <w:p w14:paraId="05A5CCEF" w14:textId="5F03F4B6" w:rsidR="00D877B2" w:rsidRPr="003200E4" w:rsidRDefault="002E7BC3" w:rsidP="00D877B2">
      <w:r w:rsidRPr="002E7BC3">
        <w:t>Across the life course, women encounter health challenges that are not always well supported by systems designed with a one-size-fits-all approach.</w:t>
      </w:r>
      <w:r>
        <w:t xml:space="preserve"> These health challenges </w:t>
      </w:r>
      <w:r w:rsidR="00F07A3B">
        <w:t xml:space="preserve">are correlated to physical and mental ill health. </w:t>
      </w:r>
      <w:r w:rsidR="00D877B2">
        <w:t>Engagement work done throughout Lancashire and South Cumbria led to the identification of</w:t>
      </w:r>
      <w:r w:rsidR="00F07A3B">
        <w:t xml:space="preserve"> some</w:t>
      </w:r>
      <w:r w:rsidR="00D877B2">
        <w:t xml:space="preserve"> priority areas for women’s health. </w:t>
      </w:r>
    </w:p>
    <w:p w14:paraId="44B39416" w14:textId="77777777" w:rsidR="00D877B2" w:rsidRDefault="00D877B2" w:rsidP="00125AF4">
      <w:pPr>
        <w:pStyle w:val="Heading3"/>
      </w:pPr>
      <w:r>
        <w:t>Menopause</w:t>
      </w:r>
    </w:p>
    <w:p w14:paraId="3844F0BA" w14:textId="77777777" w:rsidR="00D877B2" w:rsidRDefault="00D877B2" w:rsidP="00D877B2">
      <w:r>
        <w:t xml:space="preserve">Menopause happens to every woman at some point in their life, with varied age of onset. The Government’s equity framework states that it is a priority area, and Healthwatch Lancashire found that it was the top women’s health concern in women aged 45-54. </w:t>
      </w:r>
    </w:p>
    <w:p w14:paraId="47D3D627" w14:textId="77777777" w:rsidR="00D877B2" w:rsidRDefault="00D877B2" w:rsidP="00D877B2">
      <w:r w:rsidRPr="00F13818">
        <w:t>There are known inequalities for the management of menopause for women. Lower levels of HRT prescribing in the North suggest that some women in this region may not be receiving adequate treatment for menopause symptoms, and there is no commissioned complex menopause service in Lancashire and South Cumbria. Preventative bone health is also a consideration for women post menopause – there is currently a significant gender gap in number of bone fractures in over 50s that costs the ICB around £1million.</w:t>
      </w:r>
    </w:p>
    <w:p w14:paraId="24CB740E" w14:textId="77777777" w:rsidR="00D877B2" w:rsidRDefault="00D877B2" w:rsidP="00D877B2">
      <w:r>
        <w:t xml:space="preserve">The engagement work by Healthwatch in Blackpool and Lancashire indicated that there is a need </w:t>
      </w:r>
      <w:r w:rsidRPr="006B584F">
        <w:t>for extra prevention support and education in primary care, particularly in access to diet, exercise and mental health support in the community.</w:t>
      </w:r>
    </w:p>
    <w:p w14:paraId="2C30076B" w14:textId="77777777" w:rsidR="00D877B2" w:rsidRDefault="00D877B2" w:rsidP="00125AF4">
      <w:pPr>
        <w:pStyle w:val="Heading3"/>
      </w:pPr>
      <w:r>
        <w:t>Gynaecological conditions</w:t>
      </w:r>
    </w:p>
    <w:p w14:paraId="49994E8A" w14:textId="2F0DEBD2" w:rsidR="00D877B2" w:rsidRPr="00E47A9F" w:rsidRDefault="00D877B2" w:rsidP="00D877B2">
      <w:r>
        <w:t>Menstrual health and reproductive conditions were highlighted by engagement reports and data as priority areas within this category. There is no data specific to L&amp;SC for prevalence of gynaecological conditions, but national survey dat</w:t>
      </w:r>
      <w:r w:rsidR="00CC4022">
        <w:t>a funded by the DHSC</w:t>
      </w:r>
      <w:r>
        <w:t xml:space="preserve"> found that </w:t>
      </w:r>
      <w:r w:rsidRPr="00E47A9F">
        <w:t>1 in 3</w:t>
      </w:r>
      <w:r>
        <w:t xml:space="preserve"> women surveyed</w:t>
      </w:r>
      <w:r w:rsidRPr="00E47A9F">
        <w:t> reported having a reproductive condition, such as endometriosis, polycystic ovary syndrome, uterine fibroids, pelvic organ prolapse, or cervical, ovarian, uterine, or breast cancer.</w:t>
      </w:r>
      <w:r>
        <w:t xml:space="preserve"> Additionally, a</w:t>
      </w:r>
      <w:r w:rsidRPr="00E47A9F">
        <w:t xml:space="preserve">mong those aged 16-24, 1 in </w:t>
      </w:r>
      <w:r w:rsidRPr="00E47A9F">
        <w:lastRenderedPageBreak/>
        <w:t>3 reported severely painful periods and more than half experienced heavy menstrual bleeding in the last year.</w:t>
      </w:r>
    </w:p>
    <w:p w14:paraId="63B27D95" w14:textId="18EEA997" w:rsidR="00BC48E4" w:rsidRDefault="00D877B2" w:rsidP="00B66D7D">
      <w:r>
        <w:t>The survey also found that w</w:t>
      </w:r>
      <w:r w:rsidRPr="00E47A9F">
        <w:t>omen from minority ethnic groups, particularly black women, were more likely to report reproductive conditions, menstrual issues, and pregnancy-related adverse experiences.</w:t>
      </w:r>
      <w:r>
        <w:t xml:space="preserve"> </w:t>
      </w:r>
      <w:r w:rsidRPr="00E47A9F">
        <w:t>There was a strong association between financial status and reproductive health, with those who were struggling financially having poorer reproductive health.</w:t>
      </w:r>
    </w:p>
    <w:p w14:paraId="73314565" w14:textId="0E621453" w:rsidR="00C87068" w:rsidRPr="00504AB2" w:rsidRDefault="00C87068" w:rsidP="00C93069">
      <w:pPr>
        <w:pStyle w:val="Heading2"/>
      </w:pPr>
      <w:bookmarkStart w:id="77" w:name="_Toc214447023"/>
      <w:bookmarkStart w:id="78" w:name="_Toc214460968"/>
      <w:bookmarkStart w:id="79" w:name="_Toc220937626"/>
      <w:r w:rsidRPr="00504AB2">
        <w:t>Risk and lifestyle factors</w:t>
      </w:r>
      <w:bookmarkEnd w:id="77"/>
      <w:bookmarkEnd w:id="78"/>
      <w:bookmarkEnd w:id="79"/>
    </w:p>
    <w:p w14:paraId="7E857337" w14:textId="77777777" w:rsidR="00E44909" w:rsidRDefault="57037359" w:rsidP="002A07FA">
      <w:pPr>
        <w:pStyle w:val="HNAHeader1"/>
      </w:pPr>
      <w:r>
        <w:t xml:space="preserve">As demonstrated </w:t>
      </w:r>
      <w:r w:rsidRPr="00504AB2">
        <w:t>previously in this report,</w:t>
      </w:r>
      <w:r>
        <w:t xml:space="preserve"> there are some risk factors that are particularly impactful in terms of mortality and years lived with disability.</w:t>
      </w:r>
    </w:p>
    <w:p w14:paraId="346F6E03" w14:textId="4CE23FE4" w:rsidR="00FA7023" w:rsidRPr="00E44909" w:rsidRDefault="1DF71890" w:rsidP="00E44909">
      <w:pPr>
        <w:pStyle w:val="HNAHeader1"/>
        <w:ind w:left="360"/>
      </w:pPr>
      <w:r>
        <w:rPr>
          <w:noProof/>
        </w:rPr>
        <w:drawing>
          <wp:inline distT="0" distB="0" distL="0" distR="0" wp14:anchorId="754B7720" wp14:editId="7C85F2B6">
            <wp:extent cx="5724525" cy="4048125"/>
            <wp:effectExtent l="0" t="0" r="0" b="0"/>
            <wp:docPr id="11175324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32489"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24525" cy="4048125"/>
                    </a:xfrm>
                    <a:prstGeom prst="rect">
                      <a:avLst/>
                    </a:prstGeom>
                  </pic:spPr>
                </pic:pic>
              </a:graphicData>
            </a:graphic>
          </wp:inline>
        </w:drawing>
      </w:r>
    </w:p>
    <w:p w14:paraId="60A20D33" w14:textId="77777777" w:rsidR="00E44909" w:rsidRPr="00504AB2" w:rsidRDefault="00E44909" w:rsidP="002A07FA">
      <w:pPr>
        <w:pStyle w:val="Heading3"/>
      </w:pPr>
      <w:r w:rsidRPr="00504AB2">
        <w:t>Tobacco</w:t>
      </w:r>
    </w:p>
    <w:p w14:paraId="762C1DAE" w14:textId="2DA0D364" w:rsidR="00490950" w:rsidRDefault="00490950" w:rsidP="002A07FA">
      <w:pPr>
        <w:pStyle w:val="HNAHeader1"/>
      </w:pPr>
      <w:r>
        <w:t xml:space="preserve">In the previous section, the mortality rate attributable to tobacco was discussed, particularly the inequalities in this measure. </w:t>
      </w:r>
    </w:p>
    <w:p w14:paraId="090FDF8B" w14:textId="77777777" w:rsidR="00773931" w:rsidRDefault="00773931" w:rsidP="002A07FA">
      <w:pPr>
        <w:pStyle w:val="HNAHeader1"/>
        <w:rPr>
          <w:noProof/>
        </w:rPr>
      </w:pPr>
    </w:p>
    <w:p w14:paraId="6F499E4E" w14:textId="3EDEEBFB" w:rsidR="00773931" w:rsidRDefault="00773931" w:rsidP="002A07FA">
      <w:pPr>
        <w:pStyle w:val="HNAHeader1"/>
      </w:pPr>
      <w:r>
        <w:rPr>
          <w:noProof/>
        </w:rPr>
        <w:lastRenderedPageBreak/>
        <w:drawing>
          <wp:inline distT="0" distB="0" distL="0" distR="0" wp14:anchorId="6DAA19D2" wp14:editId="661E0DE4">
            <wp:extent cx="5439266" cy="3772038"/>
            <wp:effectExtent l="0" t="0" r="9525" b="0"/>
            <wp:docPr id="1867549084" name="drawing" descr="A comparison of a graph&#10;&#10;AI-generated content may be incorrect.">
              <a:extLst xmlns:a="http://schemas.openxmlformats.org/drawingml/2006/main">
                <a:ext uri="{FF2B5EF4-FFF2-40B4-BE49-F238E27FC236}">
                  <a16:creationId xmlns:a16="http://schemas.microsoft.com/office/drawing/2014/main" id="{8B631E6F-7704-4F7B-9A4F-C62863C2D2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49084" name="drawing" descr="A comparison of a graph&#10;&#10;AI-generated content may be incorrect."/>
                    <pic:cNvPicPr/>
                  </pic:nvPicPr>
                  <pic:blipFill rotWithShape="1">
                    <a:blip r:embed="rId68">
                      <a:extLst>
                        <a:ext uri="{28A0092B-C50C-407E-A947-70E740481C1C}">
                          <a14:useLocalDpi xmlns:a14="http://schemas.microsoft.com/office/drawing/2010/main"/>
                        </a:ext>
                      </a:extLst>
                    </a:blip>
                    <a:srcRect l="50824"/>
                    <a:stretch>
                      <a:fillRect/>
                    </a:stretch>
                  </pic:blipFill>
                  <pic:spPr bwMode="auto">
                    <a:xfrm>
                      <a:off x="0" y="0"/>
                      <a:ext cx="5445593" cy="3776425"/>
                    </a:xfrm>
                    <a:prstGeom prst="rect">
                      <a:avLst/>
                    </a:prstGeom>
                    <a:ln>
                      <a:noFill/>
                    </a:ln>
                    <a:extLst>
                      <a:ext uri="{53640926-AAD7-44D8-BBD7-CCE9431645EC}">
                        <a14:shadowObscured xmlns:a14="http://schemas.microsoft.com/office/drawing/2010/main"/>
                      </a:ext>
                    </a:extLst>
                  </pic:spPr>
                </pic:pic>
              </a:graphicData>
            </a:graphic>
          </wp:inline>
        </w:drawing>
      </w:r>
    </w:p>
    <w:p w14:paraId="43E1400F" w14:textId="11751579" w:rsidR="00E44909" w:rsidRDefault="00E44909" w:rsidP="002A07FA">
      <w:pPr>
        <w:pStyle w:val="HNAHeader1"/>
      </w:pPr>
      <w:r w:rsidRPr="00E44909">
        <w:t>Smoking prevalence in adults is above the England average (11.6%) for Lancashire and South Cumbria (13%). When broken down by IMD, the prevalence is higher in more deprived areas.</w:t>
      </w:r>
      <w:r w:rsidR="00490950">
        <w:t xml:space="preserve"> The gradient between groups is not as steep as the mortality rate attributable to tobacco gradient, indicating other f</w:t>
      </w:r>
      <w:r w:rsidR="002D3576">
        <w:t>actors also contribute to the increased mortality.</w:t>
      </w:r>
    </w:p>
    <w:p w14:paraId="5E32CB16" w14:textId="5304102F" w:rsidR="00FA7023" w:rsidRPr="00E44909" w:rsidRDefault="00FE55F7" w:rsidP="00E44909">
      <w:pPr>
        <w:pStyle w:val="HNAHeader1"/>
        <w:ind w:left="360"/>
      </w:pPr>
      <w:r>
        <w:rPr>
          <w:noProof/>
        </w:rPr>
        <w:lastRenderedPageBreak/>
        <mc:AlternateContent>
          <mc:Choice Requires="wps">
            <w:drawing>
              <wp:anchor distT="45720" distB="45720" distL="114300" distR="114300" simplePos="0" relativeHeight="251680256" behindDoc="0" locked="0" layoutInCell="1" allowOverlap="1" wp14:anchorId="32103680" wp14:editId="57CA1888">
                <wp:simplePos x="0" y="0"/>
                <wp:positionH relativeFrom="margin">
                  <wp:posOffset>4053847</wp:posOffset>
                </wp:positionH>
                <wp:positionV relativeFrom="paragraph">
                  <wp:posOffset>3098578</wp:posOffset>
                </wp:positionV>
                <wp:extent cx="914400" cy="268448"/>
                <wp:effectExtent l="0" t="0" r="0" b="0"/>
                <wp:wrapNone/>
                <wp:docPr id="95416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8448"/>
                        </a:xfrm>
                        <a:prstGeom prst="rect">
                          <a:avLst/>
                        </a:prstGeom>
                        <a:solidFill>
                          <a:srgbClr val="FFFFFF"/>
                        </a:solidFill>
                        <a:ln w="9525">
                          <a:noFill/>
                          <a:miter lim="800000"/>
                          <a:headEnd/>
                          <a:tailEnd/>
                        </a:ln>
                      </wps:spPr>
                      <wps:txbx>
                        <w:txbxContent>
                          <w:p w14:paraId="13E11261" w14:textId="341A2153" w:rsidR="00FE55F7" w:rsidRPr="003E06DD" w:rsidRDefault="00FE55F7" w:rsidP="00FE55F7">
                            <w:pPr>
                              <w:spacing w:after="0"/>
                              <w:rPr>
                                <w:sz w:val="14"/>
                                <w:szCs w:val="14"/>
                              </w:rPr>
                            </w:pPr>
                            <w:r w:rsidRPr="003E06DD">
                              <w:rPr>
                                <w:sz w:val="14"/>
                                <w:szCs w:val="14"/>
                              </w:rPr>
                              <w:t xml:space="preserve">Source: </w:t>
                            </w:r>
                            <w:r w:rsidR="00C04851">
                              <w:rPr>
                                <w:sz w:val="14"/>
                                <w:szCs w:val="14"/>
                              </w:rPr>
                              <w:t>LSCIS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03680" id="_x0000_s1047" type="#_x0000_t202" style="position:absolute;left:0;text-align:left;margin-left:319.2pt;margin-top:244pt;width:1in;height:21.1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" stroked="f">
                <v:textbox>
                  <w:txbxContent>
                    <w:p w14:paraId="13E11261" w14:textId="341A2153" w:rsidR="00FE55F7" w:rsidRPr="003E06DD" w:rsidRDefault="00FE55F7" w:rsidP="00FE55F7">
                      <w:pPr>
                        <w:spacing w:after="0"/>
                        <w:rPr>
                          <w:sz w:val="14"/>
                          <w:szCs w:val="14"/>
                        </w:rPr>
                      </w:pPr>
                      <w:r w:rsidRPr="003E06DD">
                        <w:rPr>
                          <w:sz w:val="14"/>
                          <w:szCs w:val="14"/>
                        </w:rPr>
                        <w:t xml:space="preserve">Source: </w:t>
                      </w:r>
                      <w:r w:rsidR="00C04851">
                        <w:rPr>
                          <w:sz w:val="14"/>
                          <w:szCs w:val="14"/>
                        </w:rPr>
                        <w:t>LSCIS</w:t>
                      </w:r>
                    </w:p>
                  </w:txbxContent>
                </v:textbox>
                <w10:wrap anchorx="margin"/>
              </v:shape>
            </w:pict>
          </mc:Fallback>
        </mc:AlternateContent>
      </w:r>
      <w:r w:rsidR="00FA7023" w:rsidRPr="00504AB2">
        <w:rPr>
          <w:noProof/>
        </w:rPr>
        <mc:AlternateContent>
          <mc:Choice Requires="wpg">
            <w:drawing>
              <wp:inline distT="0" distB="0" distL="0" distR="0" wp14:anchorId="28BE6847" wp14:editId="0D0D0139">
                <wp:extent cx="6315959" cy="3836709"/>
                <wp:effectExtent l="0" t="0" r="0" b="0"/>
                <wp:docPr id="1557636466" name="Group 15"/>
                <wp:cNvGraphicFramePr/>
                <a:graphic xmlns:a="http://schemas.openxmlformats.org/drawingml/2006/main">
                  <a:graphicData uri="http://schemas.microsoft.com/office/word/2010/wordprocessingGroup">
                    <wpg:wgp>
                      <wpg:cNvGrpSpPr/>
                      <wpg:grpSpPr>
                        <a:xfrm>
                          <a:off x="0" y="0"/>
                          <a:ext cx="6315959" cy="3836709"/>
                          <a:chOff x="0" y="0"/>
                          <a:chExt cx="4283255" cy="2105130"/>
                        </a:xfrm>
                      </wpg:grpSpPr>
                      <pic:pic xmlns:pic="http://schemas.openxmlformats.org/drawingml/2006/picture">
                        <pic:nvPicPr>
                          <pic:cNvPr id="1274853031" name="Picture 1274853031" descr="Plot obj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325990" y="0"/>
                            <a:ext cx="2822448" cy="1754327"/>
                          </a:xfrm>
                          <a:prstGeom prst="rect">
                            <a:avLst/>
                          </a:prstGeom>
                          <a:noFill/>
                          <a:extLst>
                            <a:ext uri="{909E8E84-426E-40DD-AFC4-6F175D3DCCD1}">
                              <a14:hiddenFill xmlns:a14="http://schemas.microsoft.com/office/drawing/2010/main">
                                <a:solidFill>
                                  <a:srgbClr val="FFFFFF"/>
                                </a:solidFill>
                              </a14:hiddenFill>
                            </a:ext>
                          </a:extLst>
                        </pic:spPr>
                      </pic:pic>
                      <wps:wsp>
                        <wps:cNvPr id="788655822" name="TextBox 17"/>
                        <wps:cNvSpPr txBox="1"/>
                        <wps:spPr>
                          <a:xfrm>
                            <a:off x="0" y="1753876"/>
                            <a:ext cx="4283255" cy="351254"/>
                          </a:xfrm>
                          <a:prstGeom prst="rect">
                            <a:avLst/>
                          </a:prstGeom>
                          <a:noFill/>
                        </wps:spPr>
                        <wps:txbx>
                          <w:txbxContent>
                            <w:p w14:paraId="63BD76F6" w14:textId="77777777" w:rsidR="00FA7023" w:rsidRPr="00504AB2" w:rsidRDefault="00FA7023" w:rsidP="00FA7023">
                              <w:pPr>
                                <w:rPr>
                                  <w:rFonts w:hAnsi="Aptos"/>
                                  <w:color w:val="000000" w:themeColor="text1"/>
                                  <w:kern w:val="24"/>
                                  <w:sz w:val="20"/>
                                  <w:szCs w:val="20"/>
                                  <w14:ligatures w14:val="none"/>
                                </w:rPr>
                              </w:pPr>
                              <w:r w:rsidRPr="00504AB2">
                                <w:rPr>
                                  <w:rFonts w:hAnsi="Aptos"/>
                                  <w:color w:val="000000" w:themeColor="text1"/>
                                  <w:kern w:val="24"/>
                                  <w:sz w:val="20"/>
                                  <w:szCs w:val="20"/>
                                </w:rPr>
                                <w:t>Smoking: QOF prevalence (15+ yrs) Age Adjusted</w:t>
                              </w:r>
                            </w:p>
                          </w:txbxContent>
                        </wps:txbx>
                        <wps:bodyPr wrap="square">
                          <a:noAutofit/>
                        </wps:bodyPr>
                      </wps:wsp>
                    </wpg:wgp>
                  </a:graphicData>
                </a:graphic>
              </wp:inline>
            </w:drawing>
          </mc:Choice>
          <mc:Fallback>
            <w:pict>
              <v:group w14:anchorId="28BE6847" id="Group 15" o:spid="_x0000_s1048" style="width:497.3pt;height:302.1pt;mso-position-horizontal-relative:char;mso-position-vertical-relative:line" coordsize="42832,2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4853031" o:spid="_x0000_s1049" type="#_x0000_t75" alt="Plot object" style="position:absolute;left:3259;width:28225;height:1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">
                  <v:imagedata r:id="rId70" o:title="Plot object"/>
                </v:shape>
                <v:shape id="TextBox 17" o:spid="_x0000_s1050" type="#_x0000_t202" style="position:absolute;top:17538;width:42832;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" filled="f" stroked="f">
                  <v:textbox>
                    <w:txbxContent>
                      <w:p w14:paraId="63BD76F6" w14:textId="77777777" w:rsidR="00FA7023" w:rsidRPr="00504AB2" w:rsidRDefault="00FA7023" w:rsidP="00FA7023">
                        <w:pPr>
                          <w:rPr>
                            <w:rFonts w:hAnsi="Aptos"/>
                            <w:color w:val="000000" w:themeColor="text1"/>
                            <w:kern w:val="24"/>
                            <w:sz w:val="20"/>
                            <w:szCs w:val="20"/>
                            <w14:ligatures w14:val="none"/>
                          </w:rPr>
                        </w:pPr>
                        <w:r w:rsidRPr="00504AB2">
                          <w:rPr>
                            <w:rFonts w:hAnsi="Aptos"/>
                            <w:color w:val="000000" w:themeColor="text1"/>
                            <w:kern w:val="24"/>
                            <w:sz w:val="20"/>
                            <w:szCs w:val="20"/>
                          </w:rPr>
                          <w:t>Smoking: QOF prevalence (15+ yrs) Age Adjusted</w:t>
                        </w:r>
                      </w:p>
                    </w:txbxContent>
                  </v:textbox>
                </v:shape>
                <w10:anchorlock/>
              </v:group>
            </w:pict>
          </mc:Fallback>
        </mc:AlternateContent>
      </w:r>
    </w:p>
    <w:p w14:paraId="336353D2" w14:textId="77777777" w:rsidR="00E44909" w:rsidRPr="00504AB2" w:rsidRDefault="00E44909" w:rsidP="002A07FA">
      <w:pPr>
        <w:pStyle w:val="Heading3"/>
      </w:pPr>
      <w:r w:rsidRPr="00504AB2">
        <w:t>Obesity</w:t>
      </w:r>
    </w:p>
    <w:p w14:paraId="71CEF587" w14:textId="21D34283" w:rsidR="00FA7023" w:rsidRPr="00E44909" w:rsidRDefault="00E44909" w:rsidP="000D2FB1">
      <w:pPr>
        <w:pStyle w:val="HNAHeader1"/>
      </w:pPr>
      <w:r w:rsidRPr="00E44909">
        <w:t>In all measures of obesity, Lancashire and South Cumbria was either close to or worse than the England average. Generally, the prevalence of severe obesity in all ages was close to the England average, but the prevalence of overweight in all ages was worse than the England average</w:t>
      </w:r>
      <w:r w:rsidR="000D2FB1">
        <w:t>.</w:t>
      </w:r>
    </w:p>
    <w:p w14:paraId="141AEB3F" w14:textId="46B7EB14" w:rsidR="00E44909" w:rsidRPr="00504AB2" w:rsidRDefault="52B6E777" w:rsidP="002A07FA">
      <w:pPr>
        <w:pStyle w:val="Heading3"/>
      </w:pPr>
      <w:r>
        <w:t>Alcohol</w:t>
      </w:r>
      <w:r w:rsidR="599D576C">
        <w:t xml:space="preserve"> </w:t>
      </w:r>
    </w:p>
    <w:p w14:paraId="3759E345" w14:textId="030CDD91" w:rsidR="00E44909" w:rsidRPr="00E44909" w:rsidRDefault="765C87E1" w:rsidP="517600A3">
      <w:pPr>
        <w:rPr>
          <w:rFonts w:eastAsiaTheme="minorEastAsia"/>
        </w:rPr>
      </w:pPr>
      <w:r w:rsidRPr="517600A3">
        <w:rPr>
          <w:rFonts w:eastAsiaTheme="minorEastAsia"/>
        </w:rPr>
        <w:t>Excessive alcohol consumption is England’s second biggest cause of premature mortality behind tobacco use. Regular heavy drinking and binge-drinking behaviours are associated with a whole range of issues including anti-social behaviour, and an increased risk of physical and mental health problems. Long-term alcohol misuse is linked to a range of cancers, cardiovascular diseases, chronic liver</w:t>
      </w:r>
      <w:r w:rsidR="5C5EADCC" w:rsidRPr="517600A3">
        <w:rPr>
          <w:rFonts w:eastAsiaTheme="minorEastAsia"/>
        </w:rPr>
        <w:t xml:space="preserve"> </w:t>
      </w:r>
      <w:r w:rsidRPr="517600A3">
        <w:rPr>
          <w:rFonts w:eastAsiaTheme="minorEastAsia"/>
        </w:rPr>
        <w:t>disease and diabetes as well as having an impact on the social wellbeing of a person, their family, and friends. Long-term alcohol misuse can lead to social problems such as unemployment, domestic abuse and homelessness.</w:t>
      </w:r>
    </w:p>
    <w:p w14:paraId="551F4956" w14:textId="321F998E" w:rsidR="00E44909" w:rsidRDefault="00EE13A7" w:rsidP="5FEA3C1F">
      <w:pPr>
        <w:rPr>
          <w:rFonts w:eastAsiaTheme="minorEastAsia"/>
        </w:rPr>
      </w:pPr>
      <w:r>
        <w:rPr>
          <w:rFonts w:eastAsiaTheme="minorEastAsia"/>
        </w:rPr>
        <w:t>A</w:t>
      </w:r>
      <w:r w:rsidR="5CEAEB63" w:rsidRPr="5FEA3C1F">
        <w:rPr>
          <w:rFonts w:eastAsiaTheme="minorEastAsia"/>
        </w:rPr>
        <w:t>lcohol related mortality</w:t>
      </w:r>
      <w:r w:rsidR="00B351E7">
        <w:rPr>
          <w:rFonts w:eastAsiaTheme="minorEastAsia"/>
        </w:rPr>
        <w:t xml:space="preserve"> in 2021</w:t>
      </w:r>
      <w:r w:rsidR="006931B8">
        <w:rPr>
          <w:rFonts w:eastAsiaTheme="minorEastAsia"/>
        </w:rPr>
        <w:t xml:space="preserve"> was worse than the England average (</w:t>
      </w:r>
      <w:r>
        <w:rPr>
          <w:rFonts w:eastAsiaTheme="minorEastAsia"/>
        </w:rPr>
        <w:t>40.7</w:t>
      </w:r>
      <w:r w:rsidR="00F579F0">
        <w:rPr>
          <w:rFonts w:eastAsiaTheme="minorEastAsia"/>
        </w:rPr>
        <w:t xml:space="preserve"> per 100,000 people – </w:t>
      </w:r>
      <w:r w:rsidR="00BB6DEC">
        <w:rPr>
          <w:rFonts w:eastAsiaTheme="minorEastAsia"/>
        </w:rPr>
        <w:t>directly standardised rate</w:t>
      </w:r>
      <w:r w:rsidR="00F579F0">
        <w:rPr>
          <w:rFonts w:eastAsiaTheme="minorEastAsia"/>
        </w:rPr>
        <w:t xml:space="preserve"> </w:t>
      </w:r>
      <w:r>
        <w:rPr>
          <w:rFonts w:eastAsiaTheme="minorEastAsia"/>
        </w:rPr>
        <w:t xml:space="preserve">) </w:t>
      </w:r>
      <w:r w:rsidR="002520C1">
        <w:rPr>
          <w:rFonts w:eastAsiaTheme="minorEastAsia"/>
        </w:rPr>
        <w:t xml:space="preserve">in </w:t>
      </w:r>
      <w:r w:rsidR="008C26E8">
        <w:rPr>
          <w:rFonts w:eastAsiaTheme="minorEastAsia"/>
        </w:rPr>
        <w:t xml:space="preserve">all </w:t>
      </w:r>
      <w:r w:rsidR="00AF11EC">
        <w:rPr>
          <w:rFonts w:eastAsiaTheme="minorEastAsia"/>
        </w:rPr>
        <w:t>higher-level</w:t>
      </w:r>
      <w:r w:rsidR="008C26E8">
        <w:rPr>
          <w:rFonts w:eastAsiaTheme="minorEastAsia"/>
        </w:rPr>
        <w:t xml:space="preserve"> local authorities, with </w:t>
      </w:r>
      <w:r w:rsidR="00E7526A">
        <w:rPr>
          <w:rFonts w:eastAsiaTheme="minorEastAsia"/>
        </w:rPr>
        <w:t>it</w:t>
      </w:r>
      <w:r w:rsidR="00BB6DEC">
        <w:rPr>
          <w:rFonts w:eastAsiaTheme="minorEastAsia"/>
        </w:rPr>
        <w:t xml:space="preserve"> being</w:t>
      </w:r>
      <w:r w:rsidR="00E7526A">
        <w:rPr>
          <w:rFonts w:eastAsiaTheme="minorEastAsia"/>
        </w:rPr>
        <w:t xml:space="preserve"> lowest in Blackpool with Darwen</w:t>
      </w:r>
      <w:r w:rsidR="00F579F0">
        <w:rPr>
          <w:rFonts w:eastAsiaTheme="minorEastAsia"/>
        </w:rPr>
        <w:t xml:space="preserve"> (54</w:t>
      </w:r>
      <w:r w:rsidR="00BB6DEC">
        <w:rPr>
          <w:rFonts w:eastAsiaTheme="minorEastAsia"/>
        </w:rPr>
        <w:t xml:space="preserve"> per 100,000</w:t>
      </w:r>
      <w:r w:rsidR="00F579F0">
        <w:rPr>
          <w:rFonts w:eastAsiaTheme="minorEastAsia"/>
        </w:rPr>
        <w:t>)</w:t>
      </w:r>
      <w:r w:rsidR="00BB6DEC">
        <w:rPr>
          <w:rFonts w:eastAsiaTheme="minorEastAsia"/>
        </w:rPr>
        <w:t xml:space="preserve"> and highest in Blackpool (76.1</w:t>
      </w:r>
      <w:r w:rsidR="00B351E7">
        <w:rPr>
          <w:rFonts w:eastAsiaTheme="minorEastAsia"/>
        </w:rPr>
        <w:t xml:space="preserve"> per 100,000</w:t>
      </w:r>
      <w:r w:rsidR="00BB6DEC">
        <w:rPr>
          <w:rFonts w:eastAsiaTheme="minorEastAsia"/>
        </w:rPr>
        <w:t>).</w:t>
      </w:r>
      <w:r w:rsidR="0047269D">
        <w:rPr>
          <w:rFonts w:eastAsiaTheme="minorEastAsia"/>
        </w:rPr>
        <w:t xml:space="preserve"> When broken down by IMD at an L&amp;SC-wide level</w:t>
      </w:r>
      <w:r w:rsidR="00B03FB7">
        <w:rPr>
          <w:rFonts w:eastAsiaTheme="minorEastAsia"/>
        </w:rPr>
        <w:t xml:space="preserve"> the rate of alcohol related mortality is significantly higher in the most deprived than the least deprived.</w:t>
      </w:r>
      <w:r w:rsidR="00BB6DEC">
        <w:rPr>
          <w:rFonts w:eastAsiaTheme="minorEastAsia"/>
        </w:rPr>
        <w:t xml:space="preserve"> </w:t>
      </w:r>
      <w:r w:rsidR="00F579F0">
        <w:rPr>
          <w:rFonts w:eastAsiaTheme="minorEastAsia"/>
        </w:rPr>
        <w:t xml:space="preserve"> </w:t>
      </w:r>
    </w:p>
    <w:p w14:paraId="696392B4" w14:textId="77777777" w:rsidR="00773931" w:rsidRDefault="00773931" w:rsidP="5FEA3C1F">
      <w:pPr>
        <w:rPr>
          <w:noProof/>
        </w:rPr>
      </w:pPr>
    </w:p>
    <w:p w14:paraId="48BD7B5F" w14:textId="2832D310" w:rsidR="006931B8" w:rsidRPr="00E44909" w:rsidRDefault="006931B8" w:rsidP="5FEA3C1F">
      <w:pPr>
        <w:rPr>
          <w:rFonts w:eastAsiaTheme="minorEastAsia"/>
        </w:rPr>
      </w:pPr>
      <w:r>
        <w:rPr>
          <w:noProof/>
        </w:rPr>
        <w:lastRenderedPageBreak/>
        <w:drawing>
          <wp:inline distT="0" distB="0" distL="0" distR="0" wp14:anchorId="40D7E7B3" wp14:editId="46F850D2">
            <wp:extent cx="5071621" cy="3447662"/>
            <wp:effectExtent l="0" t="0" r="0" b="0"/>
            <wp:docPr id="538584792" name="drawing" descr="A comparison of a graph&#10;&#10;AI-generated content may be incorrect.">
              <a:extLst xmlns:a="http://schemas.openxmlformats.org/drawingml/2006/main">
                <a:ext uri="{FF2B5EF4-FFF2-40B4-BE49-F238E27FC236}">
                  <a16:creationId xmlns:a16="http://schemas.microsoft.com/office/drawing/2014/main" id="{8B631E6F-7704-4F7B-9A4F-C62863C2D2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84792" name="drawing" descr="A comparison of a graph&#10;&#10;AI-generated content may be incorrect."/>
                    <pic:cNvPicPr/>
                  </pic:nvPicPr>
                  <pic:blipFill rotWithShape="1">
                    <a:blip r:embed="rId68">
                      <a:extLst>
                        <a:ext uri="{28A0092B-C50C-407E-A947-70E740481C1C}">
                          <a14:useLocalDpi xmlns:a14="http://schemas.microsoft.com/office/drawing/2010/main"/>
                        </a:ext>
                      </a:extLst>
                    </a:blip>
                    <a:srcRect r="49834"/>
                    <a:stretch>
                      <a:fillRect/>
                    </a:stretch>
                  </pic:blipFill>
                  <pic:spPr bwMode="auto">
                    <a:xfrm>
                      <a:off x="0" y="0"/>
                      <a:ext cx="5081390" cy="3454303"/>
                    </a:xfrm>
                    <a:prstGeom prst="rect">
                      <a:avLst/>
                    </a:prstGeom>
                    <a:ln>
                      <a:noFill/>
                    </a:ln>
                    <a:extLst>
                      <a:ext uri="{53640926-AAD7-44D8-BBD7-CCE9431645EC}">
                        <a14:shadowObscured xmlns:a14="http://schemas.microsoft.com/office/drawing/2010/main"/>
                      </a:ext>
                    </a:extLst>
                  </pic:spPr>
                </pic:pic>
              </a:graphicData>
            </a:graphic>
          </wp:inline>
        </w:drawing>
      </w:r>
    </w:p>
    <w:p w14:paraId="06C6EB3E" w14:textId="7141C855" w:rsidR="5FEA3C1F" w:rsidRDefault="445BB3E0" w:rsidP="5FEA3C1F">
      <w:r w:rsidRPr="517600A3">
        <w:rPr>
          <w:rFonts w:eastAsiaTheme="minorEastAsia"/>
        </w:rPr>
        <w:t xml:space="preserve">Lancashire and South Cumbria </w:t>
      </w:r>
      <w:proofErr w:type="gramStart"/>
      <w:r w:rsidRPr="517600A3">
        <w:rPr>
          <w:rFonts w:eastAsiaTheme="minorEastAsia"/>
        </w:rPr>
        <w:t>faces</w:t>
      </w:r>
      <w:proofErr w:type="gramEnd"/>
      <w:r w:rsidRPr="517600A3">
        <w:rPr>
          <w:rFonts w:eastAsiaTheme="minorEastAsia"/>
        </w:rPr>
        <w:t xml:space="preserve"> significant alcohol-related harm, with some places showing particularly high rates of alcohol dependence</w:t>
      </w:r>
      <w:r w:rsidR="62BC33FD" w:rsidRPr="517600A3">
        <w:rPr>
          <w:rFonts w:eastAsiaTheme="minorEastAsia"/>
        </w:rPr>
        <w:t>. R</w:t>
      </w:r>
      <w:r w:rsidR="62BC33FD" w:rsidRPr="517600A3">
        <w:rPr>
          <w:rFonts w:eastAsiaTheme="minorEastAsia"/>
          <w:color w:val="0A0A0A"/>
        </w:rPr>
        <w:t xml:space="preserve">ates of alcohol-specific hospital admissions and mortality </w:t>
      </w:r>
      <w:r w:rsidR="348D9D0F" w:rsidRPr="517600A3">
        <w:rPr>
          <w:rFonts w:eastAsiaTheme="minorEastAsia"/>
        </w:rPr>
        <w:t>were higher in Lancashire and South Cumbria (502) compared to the England average (475)</w:t>
      </w:r>
      <w:r w:rsidR="7D19DEEE" w:rsidRPr="517600A3">
        <w:rPr>
          <w:rFonts w:eastAsiaTheme="minorEastAsia"/>
        </w:rPr>
        <w:t>.</w:t>
      </w:r>
      <w:r w:rsidR="38C91EA8" w:rsidRPr="517600A3">
        <w:rPr>
          <w:rFonts w:eastAsiaTheme="minorEastAsia"/>
        </w:rPr>
        <w:t xml:space="preserve"> </w:t>
      </w:r>
    </w:p>
    <w:p w14:paraId="3B0AE258" w14:textId="77777777" w:rsidR="00E44909" w:rsidRPr="00504AB2" w:rsidRDefault="00E44909" w:rsidP="002A07FA">
      <w:pPr>
        <w:pStyle w:val="Heading3"/>
      </w:pPr>
      <w:r w:rsidRPr="00504AB2">
        <w:t>Physical activity</w:t>
      </w:r>
    </w:p>
    <w:p w14:paraId="2B9A1533" w14:textId="77777777" w:rsidR="00E44909" w:rsidRPr="00E44909" w:rsidRDefault="00E44909" w:rsidP="002A07FA">
      <w:pPr>
        <w:pStyle w:val="HNAHeader1"/>
      </w:pPr>
      <w:r w:rsidRPr="00E44909">
        <w:t>Physical activity levels were similar across Lancashire and South Cumbria to the England average. Over 60% of the population meet the recommended minimum activity levels, although 27% report less than 30 minutes of physical activity a week.</w:t>
      </w:r>
    </w:p>
    <w:p w14:paraId="185FF7E4" w14:textId="6C821134" w:rsidR="7F78E839" w:rsidRPr="00504AB2" w:rsidRDefault="7F78E839" w:rsidP="7F78E839">
      <w:pPr>
        <w:pStyle w:val="HNAHeader1"/>
        <w:ind w:left="360"/>
      </w:pPr>
    </w:p>
    <w:p w14:paraId="1D052E44" w14:textId="3D2199C6" w:rsidR="00E44909" w:rsidRPr="00E44909" w:rsidRDefault="004C5A42" w:rsidP="00E44909">
      <w:pPr>
        <w:pStyle w:val="HNAHeader1"/>
        <w:ind w:left="360"/>
      </w:pPr>
      <w:r w:rsidRPr="004C5A42">
        <w:rPr>
          <w:noProof/>
        </w:rPr>
        <w:drawing>
          <wp:inline distT="0" distB="0" distL="0" distR="0" wp14:anchorId="7C555B0C" wp14:editId="4E76CA2E">
            <wp:extent cx="5316711" cy="2923822"/>
            <wp:effectExtent l="0" t="0" r="0" b="0"/>
            <wp:docPr id="1274036109" name="Picture 7" descr="A graph of different colored squares&#10;&#10;AI-generated content may be incorrect.">
              <a:extLst xmlns:a="http://schemas.openxmlformats.org/drawingml/2006/main">
                <a:ext uri="{FF2B5EF4-FFF2-40B4-BE49-F238E27FC236}">
                  <a16:creationId xmlns:a16="http://schemas.microsoft.com/office/drawing/2014/main" id="{D8DDC6D8-BD0F-4110-8BDD-1B5258DBE3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different colored squares&#10;&#10;AI-generated content may be incorrect.">
                      <a:extLst>
                        <a:ext uri="{FF2B5EF4-FFF2-40B4-BE49-F238E27FC236}">
                          <a16:creationId xmlns:a16="http://schemas.microsoft.com/office/drawing/2014/main" id="{2FD2B631-FA13-0ED6-8C33-D76C81220967}"/>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24931" cy="2928342"/>
                    </a:xfrm>
                    <a:prstGeom prst="rect">
                      <a:avLst/>
                    </a:prstGeom>
                  </pic:spPr>
                </pic:pic>
              </a:graphicData>
            </a:graphic>
          </wp:inline>
        </w:drawing>
      </w:r>
    </w:p>
    <w:p w14:paraId="01DEEE62" w14:textId="3065A50E" w:rsidR="50C9165E" w:rsidRPr="00504AB2" w:rsidRDefault="2A0570BA" w:rsidP="00C93069">
      <w:pPr>
        <w:pStyle w:val="Heading2"/>
      </w:pPr>
      <w:bookmarkStart w:id="80" w:name="_Toc214447024"/>
      <w:bookmarkStart w:id="81" w:name="_Toc214460969"/>
      <w:bookmarkStart w:id="82" w:name="_Toc220937627"/>
      <w:r w:rsidRPr="00504AB2">
        <w:lastRenderedPageBreak/>
        <w:t>Communicable Diseases</w:t>
      </w:r>
      <w:bookmarkEnd w:id="80"/>
      <w:bookmarkEnd w:id="81"/>
      <w:bookmarkEnd w:id="82"/>
    </w:p>
    <w:p w14:paraId="14D18149" w14:textId="3A5BC6C8" w:rsidR="2A0570BA" w:rsidRPr="00504AB2" w:rsidRDefault="2A0570BA" w:rsidP="00C93FF9">
      <w:pPr>
        <w:spacing w:line="276" w:lineRule="auto"/>
        <w:rPr>
          <w:rFonts w:ascii="Aptos" w:eastAsia="Aptos" w:hAnsi="Aptos" w:cs="Aptos"/>
          <w:b/>
          <w:bCs/>
          <w:i/>
          <w:iCs/>
        </w:rPr>
      </w:pPr>
      <w:r w:rsidRPr="00504AB2">
        <w:rPr>
          <w:rFonts w:ascii="Aptos" w:eastAsia="Aptos" w:hAnsi="Aptos" w:cs="Aptos"/>
          <w:b/>
          <w:bCs/>
          <w:i/>
          <w:iCs/>
        </w:rPr>
        <w:t>Immunisation and Vaccination Coverage</w:t>
      </w:r>
    </w:p>
    <w:p w14:paraId="4909E7F1" w14:textId="0D2F6608" w:rsidR="049AF19F" w:rsidRPr="00504AB2" w:rsidRDefault="2A0570BA" w:rsidP="387AFD6E">
      <w:pPr>
        <w:spacing w:line="276" w:lineRule="auto"/>
        <w:ind w:left="363"/>
        <w:rPr>
          <w:rFonts w:ascii="Aptos" w:eastAsia="Aptos" w:hAnsi="Aptos" w:cs="Aptos"/>
          <w:b/>
          <w:bCs/>
          <w:i/>
          <w:iCs/>
        </w:rPr>
      </w:pPr>
      <w:r w:rsidRPr="00504AB2">
        <w:rPr>
          <w:noProof/>
        </w:rPr>
        <w:drawing>
          <wp:inline distT="0" distB="0" distL="0" distR="0" wp14:anchorId="0BDB665A" wp14:editId="487A8BE9">
            <wp:extent cx="4572000" cy="3228975"/>
            <wp:effectExtent l="0" t="0" r="0" b="0"/>
            <wp:docPr id="1144933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335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572000" cy="3228975"/>
                    </a:xfrm>
                    <a:prstGeom prst="rect">
                      <a:avLst/>
                    </a:prstGeom>
                  </pic:spPr>
                </pic:pic>
              </a:graphicData>
            </a:graphic>
          </wp:inline>
        </w:drawing>
      </w:r>
    </w:p>
    <w:p w14:paraId="79DC5E5F" w14:textId="7FA54A48" w:rsidR="387AFD6E" w:rsidRPr="00504AB2" w:rsidRDefault="2A0570BA" w:rsidP="00C93FF9">
      <w:pPr>
        <w:spacing w:line="276" w:lineRule="auto"/>
        <w:rPr>
          <w:rFonts w:ascii="Aptos" w:eastAsia="Aptos" w:hAnsi="Aptos" w:cs="Aptos"/>
        </w:rPr>
      </w:pPr>
      <w:r w:rsidRPr="00504AB2">
        <w:rPr>
          <w:rFonts w:ascii="Aptos" w:eastAsia="Aptos" w:hAnsi="Aptos" w:cs="Aptos"/>
        </w:rPr>
        <w:t>Immunisation coverage across Lancashire and South Cumbria Integrated Care Board (ICB) is generally comparable with national levels, with strong uptake for most routine childhood vaccinations.</w:t>
      </w:r>
    </w:p>
    <w:p w14:paraId="08296691" w14:textId="47B86400" w:rsidR="387AFD6E" w:rsidRPr="00504AB2" w:rsidRDefault="2A0570BA" w:rsidP="00C93FF9">
      <w:pPr>
        <w:spacing w:line="276" w:lineRule="auto"/>
        <w:rPr>
          <w:rFonts w:ascii="Aptos" w:eastAsia="Aptos" w:hAnsi="Aptos" w:cs="Aptos"/>
        </w:rPr>
      </w:pPr>
      <w:r w:rsidRPr="00504AB2">
        <w:rPr>
          <w:rFonts w:ascii="Aptos" w:eastAsia="Aptos" w:hAnsi="Aptos" w:cs="Aptos"/>
        </w:rPr>
        <w:t>For infant immunisations, coverage for DTaP/IPV/Hib/</w:t>
      </w:r>
      <w:proofErr w:type="spellStart"/>
      <w:r w:rsidRPr="00504AB2">
        <w:rPr>
          <w:rFonts w:ascii="Aptos" w:eastAsia="Aptos" w:hAnsi="Aptos" w:cs="Aptos"/>
        </w:rPr>
        <w:t>HepB</w:t>
      </w:r>
      <w:proofErr w:type="spellEnd"/>
      <w:r w:rsidRPr="00504AB2">
        <w:rPr>
          <w:rFonts w:ascii="Aptos" w:eastAsia="Aptos" w:hAnsi="Aptos" w:cs="Aptos"/>
        </w:rPr>
        <w:t xml:space="preserve"> at age one is 90.4%, slightly below the England rate of 91.8%, while coverage for the Hib/</w:t>
      </w:r>
      <w:proofErr w:type="spellStart"/>
      <w:r w:rsidRPr="00504AB2">
        <w:rPr>
          <w:rFonts w:ascii="Aptos" w:eastAsia="Aptos" w:hAnsi="Aptos" w:cs="Aptos"/>
        </w:rPr>
        <w:t>MenC</w:t>
      </w:r>
      <w:proofErr w:type="spellEnd"/>
      <w:r w:rsidRPr="00504AB2">
        <w:rPr>
          <w:rFonts w:ascii="Aptos" w:eastAsia="Aptos" w:hAnsi="Aptos" w:cs="Aptos"/>
        </w:rPr>
        <w:t xml:space="preserve"> booster at age two is 89.9%, slightly higher than the national rate (88.7%). Uptake for the DTaP/IPV booster at age five is notably high at 95.3%, exceeding the England value (83.3%).</w:t>
      </w:r>
    </w:p>
    <w:p w14:paraId="73FE582F" w14:textId="755E2BF7" w:rsidR="387AFD6E" w:rsidRPr="00504AB2" w:rsidRDefault="2A0570BA" w:rsidP="00C93FF9">
      <w:pPr>
        <w:spacing w:line="276" w:lineRule="auto"/>
        <w:rPr>
          <w:rFonts w:ascii="Aptos" w:eastAsia="Aptos" w:hAnsi="Aptos" w:cs="Aptos"/>
        </w:rPr>
      </w:pPr>
      <w:r w:rsidRPr="00504AB2">
        <w:rPr>
          <w:rFonts w:ascii="Aptos" w:eastAsia="Aptos" w:hAnsi="Aptos" w:cs="Aptos"/>
        </w:rPr>
        <w:t xml:space="preserve">Coverage for MMR vaccination is broadly in line with England. The first dose at age two is 90.9%, compared with 92.5% nationally, and coverage for two doses at age five is 88.5%, </w:t>
      </w:r>
      <w:proofErr w:type="gramStart"/>
      <w:r w:rsidRPr="00504AB2">
        <w:rPr>
          <w:rFonts w:ascii="Aptos" w:eastAsia="Aptos" w:hAnsi="Aptos" w:cs="Aptos"/>
        </w:rPr>
        <w:t>similar to</w:t>
      </w:r>
      <w:proofErr w:type="gramEnd"/>
      <w:r w:rsidRPr="00504AB2">
        <w:rPr>
          <w:rFonts w:ascii="Aptos" w:eastAsia="Aptos" w:hAnsi="Aptos" w:cs="Aptos"/>
        </w:rPr>
        <w:t xml:space="preserve"> England (84.5%). Among children aged five who received a reinforcing DTaP/IPV dose and two MMR doses, coverage is 87.1%, slightly higher than the national value (83.8%). Immunisation rates among children in care are also high at 89%, compared with 82% nationally.</w:t>
      </w:r>
    </w:p>
    <w:p w14:paraId="3D9C11F9" w14:textId="6180B5F4" w:rsidR="387AFD6E" w:rsidRPr="00504AB2" w:rsidRDefault="2A0570BA" w:rsidP="00C93FF9">
      <w:pPr>
        <w:spacing w:line="276" w:lineRule="auto"/>
        <w:rPr>
          <w:rFonts w:ascii="Aptos" w:eastAsia="Aptos" w:hAnsi="Aptos" w:cs="Aptos"/>
        </w:rPr>
      </w:pPr>
      <w:r w:rsidRPr="00504AB2">
        <w:rPr>
          <w:rFonts w:ascii="Aptos" w:eastAsia="Aptos" w:hAnsi="Aptos" w:cs="Aptos"/>
        </w:rPr>
        <w:t xml:space="preserve">Influenza vaccination uptake is </w:t>
      </w:r>
      <w:proofErr w:type="gramStart"/>
      <w:r w:rsidRPr="00504AB2">
        <w:rPr>
          <w:rFonts w:ascii="Aptos" w:eastAsia="Aptos" w:hAnsi="Aptos" w:cs="Aptos"/>
        </w:rPr>
        <w:t>similar to</w:t>
      </w:r>
      <w:proofErr w:type="gramEnd"/>
      <w:r w:rsidRPr="00504AB2">
        <w:rPr>
          <w:rFonts w:ascii="Aptos" w:eastAsia="Aptos" w:hAnsi="Aptos" w:cs="Aptos"/>
        </w:rPr>
        <w:t xml:space="preserve"> national levels across most age groups. Coverage for adults aged 65 and over is 77.5% (England 77.8%), and for those at risk it is 39.6% (England 39.6%). Uptake among primary school-aged children is 53.2%, slightly below the national rate (55.1%), while coverage for children aged two to three years is 38.4%, compared with 44.4% nationally.</w:t>
      </w:r>
    </w:p>
    <w:p w14:paraId="0048B8A3" w14:textId="6B731270" w:rsidR="387AFD6E" w:rsidRPr="00504AB2" w:rsidRDefault="2A0570BA" w:rsidP="00C93FF9">
      <w:pPr>
        <w:spacing w:line="276" w:lineRule="auto"/>
        <w:rPr>
          <w:rFonts w:ascii="Aptos" w:eastAsia="Aptos" w:hAnsi="Aptos" w:cs="Aptos"/>
        </w:rPr>
      </w:pPr>
      <w:r w:rsidRPr="00504AB2">
        <w:rPr>
          <w:rFonts w:ascii="Aptos" w:eastAsia="Aptos" w:hAnsi="Aptos" w:cs="Aptos"/>
        </w:rPr>
        <w:t>For HPV vaccination among young people, coverage is 68.3%, slightly higher than the England rate of 67.7%.</w:t>
      </w:r>
    </w:p>
    <w:p w14:paraId="0F44F4A1" w14:textId="75AF9CF1" w:rsidR="387AFD6E" w:rsidRPr="00504AB2" w:rsidRDefault="2A0570BA" w:rsidP="00C93FF9">
      <w:pPr>
        <w:spacing w:line="276" w:lineRule="auto"/>
        <w:rPr>
          <w:rFonts w:ascii="Aptos" w:eastAsia="Aptos" w:hAnsi="Aptos" w:cs="Aptos"/>
        </w:rPr>
      </w:pPr>
      <w:r w:rsidRPr="00504AB2">
        <w:rPr>
          <w:rFonts w:ascii="Aptos" w:eastAsia="Aptos" w:hAnsi="Aptos" w:cs="Aptos"/>
        </w:rPr>
        <w:lastRenderedPageBreak/>
        <w:t xml:space="preserve">Shingles vaccination coverage among those aged 71 years is 44.0%, lower than the England rate (48.3%). However, cumulative coverage among those aged 80 years who have received a shingles vaccine since eligibility is 82.2%, </w:t>
      </w:r>
      <w:proofErr w:type="gramStart"/>
      <w:r w:rsidRPr="00504AB2">
        <w:rPr>
          <w:rFonts w:ascii="Aptos" w:eastAsia="Aptos" w:hAnsi="Aptos" w:cs="Aptos"/>
        </w:rPr>
        <w:t>similar to</w:t>
      </w:r>
      <w:proofErr w:type="gramEnd"/>
      <w:r w:rsidRPr="00504AB2">
        <w:rPr>
          <w:rFonts w:ascii="Aptos" w:eastAsia="Aptos" w:hAnsi="Aptos" w:cs="Aptos"/>
        </w:rPr>
        <w:t xml:space="preserve"> the national figure (83.3%).</w:t>
      </w:r>
    </w:p>
    <w:p w14:paraId="4F68CEB3" w14:textId="05F7FCCA" w:rsidR="00B57E1F" w:rsidRDefault="2A0570BA" w:rsidP="4D1BF36E">
      <w:pPr>
        <w:spacing w:line="276" w:lineRule="auto"/>
        <w:rPr>
          <w:rFonts w:ascii="Aptos" w:eastAsia="Aptos" w:hAnsi="Aptos" w:cs="Aptos"/>
        </w:rPr>
      </w:pPr>
      <w:r w:rsidRPr="4F1A0394">
        <w:rPr>
          <w:rFonts w:ascii="Aptos" w:eastAsia="Aptos" w:hAnsi="Aptos" w:cs="Aptos"/>
        </w:rPr>
        <w:t>Overall, vaccination coverage across the ICB remains strong and comparable with national averages. Slightly lower uptake in some programmes, including HPV, shingles (age 71), and flu vaccination among younger children, highlights areas where engagement activity could be strengthened.</w:t>
      </w:r>
    </w:p>
    <w:p w14:paraId="48168486" w14:textId="70108410" w:rsidR="00B57E1F" w:rsidRDefault="00A81136" w:rsidP="00C93069">
      <w:pPr>
        <w:pStyle w:val="Heading2"/>
      </w:pPr>
      <w:bookmarkStart w:id="83" w:name="_Toc214447025"/>
      <w:bookmarkStart w:id="84" w:name="_Toc214460970"/>
      <w:bookmarkStart w:id="85" w:name="_Toc220937628"/>
      <w:r>
        <w:t>Use of urgent care</w:t>
      </w:r>
      <w:bookmarkEnd w:id="83"/>
      <w:bookmarkEnd w:id="84"/>
      <w:bookmarkEnd w:id="85"/>
    </w:p>
    <w:p w14:paraId="03268EAE" w14:textId="6579779B" w:rsidR="00A81136" w:rsidRPr="00A81136" w:rsidRDefault="20BAECC7" w:rsidP="76C807FA">
      <w:pPr>
        <w:spacing w:line="276" w:lineRule="auto"/>
      </w:pPr>
      <w:r w:rsidRPr="76C807FA">
        <w:rPr>
          <w:rFonts w:ascii="Aptos" w:eastAsia="Aptos" w:hAnsi="Aptos" w:cs="Aptos"/>
          <w:b/>
          <w:bCs/>
        </w:rPr>
        <w:t>A&amp;E Attendances - All Ages</w:t>
      </w:r>
    </w:p>
    <w:p w14:paraId="5409BE68" w14:textId="77556EAA" w:rsidR="00A81136" w:rsidRPr="00A81136" w:rsidRDefault="20BAECC7" w:rsidP="00A81136">
      <w:r>
        <w:rPr>
          <w:noProof/>
        </w:rPr>
        <w:drawing>
          <wp:inline distT="0" distB="0" distL="0" distR="0" wp14:anchorId="4DA07317" wp14:editId="2B2E0B9D">
            <wp:extent cx="5724525" cy="4048125"/>
            <wp:effectExtent l="0" t="0" r="0" b="0"/>
            <wp:docPr id="19870436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43658" name="Picture 1987043658"/>
                    <pic:cNvPicPr/>
                  </pic:nvPicPr>
                  <pic:blipFill>
                    <a:blip r:embed="rId73">
                      <a:extLst>
                        <a:ext uri="{28A0092B-C50C-407E-A947-70E740481C1C}">
                          <a14:useLocalDpi xmlns:a14="http://schemas.microsoft.com/office/drawing/2010/main"/>
                        </a:ext>
                      </a:extLst>
                    </a:blip>
                    <a:stretch>
                      <a:fillRect/>
                    </a:stretch>
                  </pic:blipFill>
                  <pic:spPr>
                    <a:xfrm>
                      <a:off x="0" y="0"/>
                      <a:ext cx="5724525" cy="4048125"/>
                    </a:xfrm>
                    <a:prstGeom prst="rect">
                      <a:avLst/>
                    </a:prstGeom>
                  </pic:spPr>
                </pic:pic>
              </a:graphicData>
            </a:graphic>
          </wp:inline>
        </w:drawing>
      </w:r>
    </w:p>
    <w:p w14:paraId="5BFC1331" w14:textId="33BCC9DA" w:rsidR="20BAECC7" w:rsidRDefault="20BAECC7" w:rsidP="76C807FA">
      <w:pPr>
        <w:spacing w:line="276" w:lineRule="auto"/>
      </w:pPr>
      <w:r w:rsidRPr="76C807FA">
        <w:rPr>
          <w:rFonts w:ascii="Aptos" w:eastAsia="Aptos" w:hAnsi="Aptos" w:cs="Aptos"/>
        </w:rPr>
        <w:t>Across Lancashire and South Cumbria ICB, A&amp;E attendance rates show a clear socioeconomic gradient, with people living in the most deprived areas having substantially higher attendance rates than those in the least deprived. In 2024, the directly standardised rate (DSR) for A&amp;E attendances in the most deprived decile was around 81,698.93 per 100,000, compared with approximately 32,948.93 per 100,000 in the least deprived decile.</w:t>
      </w:r>
    </w:p>
    <w:p w14:paraId="2D4BF3AD" w14:textId="1E495C2E" w:rsidR="20BAECC7" w:rsidRDefault="20BAECC7" w:rsidP="76C807FA">
      <w:pPr>
        <w:spacing w:line="276" w:lineRule="auto"/>
      </w:pPr>
      <w:r w:rsidRPr="76C807FA">
        <w:rPr>
          <w:rFonts w:ascii="Aptos" w:eastAsia="Aptos" w:hAnsi="Aptos" w:cs="Aptos"/>
        </w:rPr>
        <w:t>Both the crude and age-standardised measures follow a consistent downward trend across the deprivation spectrum, highlighting that A&amp;E use is nearly two and a half times higher in the most deprived communities.</w:t>
      </w:r>
    </w:p>
    <w:p w14:paraId="415D145E" w14:textId="57CC2D0B" w:rsidR="20BAECC7" w:rsidRDefault="20BAECC7" w:rsidP="76C807FA">
      <w:pPr>
        <w:spacing w:line="276" w:lineRule="auto"/>
      </w:pPr>
      <w:r w:rsidRPr="76C807FA">
        <w:rPr>
          <w:rFonts w:ascii="Aptos" w:eastAsia="Aptos" w:hAnsi="Aptos" w:cs="Aptos"/>
          <w:b/>
          <w:bCs/>
        </w:rPr>
        <w:lastRenderedPageBreak/>
        <w:t xml:space="preserve">A&amp;E Attendances - Children and Young People (Aged 16 and </w:t>
      </w:r>
      <w:proofErr w:type="gramStart"/>
      <w:r w:rsidRPr="76C807FA">
        <w:rPr>
          <w:rFonts w:ascii="Aptos" w:eastAsia="Aptos" w:hAnsi="Aptos" w:cs="Aptos"/>
          <w:b/>
          <w:bCs/>
        </w:rPr>
        <w:t>Under</w:t>
      </w:r>
      <w:proofErr w:type="gramEnd"/>
      <w:r w:rsidRPr="76C807FA">
        <w:rPr>
          <w:rFonts w:ascii="Aptos" w:eastAsia="Aptos" w:hAnsi="Aptos" w:cs="Aptos"/>
          <w:b/>
          <w:bCs/>
        </w:rPr>
        <w:t>)</w:t>
      </w:r>
    </w:p>
    <w:p w14:paraId="035173C1" w14:textId="582EE60B" w:rsidR="20BAECC7" w:rsidRDefault="20BAECC7">
      <w:r>
        <w:rPr>
          <w:noProof/>
        </w:rPr>
        <w:drawing>
          <wp:inline distT="0" distB="0" distL="0" distR="0" wp14:anchorId="43BF0E57" wp14:editId="01C68B95">
            <wp:extent cx="5724525" cy="4048125"/>
            <wp:effectExtent l="0" t="0" r="0" b="0"/>
            <wp:docPr id="16970816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81628" name="Picture 1697081628"/>
                    <pic:cNvPicPr/>
                  </pic:nvPicPr>
                  <pic:blipFill>
                    <a:blip r:embed="rId74">
                      <a:extLst>
                        <a:ext uri="{28A0092B-C50C-407E-A947-70E740481C1C}">
                          <a14:useLocalDpi xmlns:a14="http://schemas.microsoft.com/office/drawing/2010/main"/>
                        </a:ext>
                      </a:extLst>
                    </a:blip>
                    <a:stretch>
                      <a:fillRect/>
                    </a:stretch>
                  </pic:blipFill>
                  <pic:spPr>
                    <a:xfrm>
                      <a:off x="0" y="0"/>
                      <a:ext cx="5724525" cy="4048125"/>
                    </a:xfrm>
                    <a:prstGeom prst="rect">
                      <a:avLst/>
                    </a:prstGeom>
                  </pic:spPr>
                </pic:pic>
              </a:graphicData>
            </a:graphic>
          </wp:inline>
        </w:drawing>
      </w:r>
    </w:p>
    <w:p w14:paraId="26F677F7" w14:textId="264DDC7C" w:rsidR="20BAECC7" w:rsidRDefault="20BAECC7" w:rsidP="76C807FA">
      <w:pPr>
        <w:spacing w:line="276" w:lineRule="auto"/>
      </w:pPr>
      <w:r w:rsidRPr="76C807FA">
        <w:rPr>
          <w:rFonts w:ascii="Aptos" w:eastAsia="Aptos" w:hAnsi="Aptos" w:cs="Aptos"/>
        </w:rPr>
        <w:t>A similar but slightly less pronounced pattern is observed for children and young people. In 2024, the A&amp;E attendance rate among those aged under 16 ranged from around 72,077.47 per 100,000 in the most deprived decile to approximately 38,566.72 per 100,000 in the least deprived.</w:t>
      </w:r>
    </w:p>
    <w:p w14:paraId="3CE49D39" w14:textId="4B7E4EE0" w:rsidR="20BAECC7" w:rsidRDefault="20BAECC7" w:rsidP="76C807FA">
      <w:pPr>
        <w:spacing w:line="276" w:lineRule="auto"/>
      </w:pPr>
      <w:r w:rsidRPr="76C807FA">
        <w:rPr>
          <w:rFonts w:ascii="Aptos" w:eastAsia="Aptos" w:hAnsi="Aptos" w:cs="Aptos"/>
        </w:rPr>
        <w:t>While the gradient is smaller than that seen for all ages, the data still show that children in more deprived areas are almost twice as likely to attend A&amp;E as those in the least deprived deciles. This highlights the influence of deprivation on both underlying child health needs and patterns of service use, including greater reliance on urgent and emergency care.</w:t>
      </w:r>
    </w:p>
    <w:p w14:paraId="22FBF1BF" w14:textId="21DAD97C" w:rsidR="20BAECC7" w:rsidRDefault="20BAECC7" w:rsidP="76C807FA">
      <w:pPr>
        <w:spacing w:line="276" w:lineRule="auto"/>
      </w:pPr>
      <w:r w:rsidRPr="76C807FA">
        <w:rPr>
          <w:rFonts w:ascii="Aptos" w:eastAsia="Aptos" w:hAnsi="Aptos" w:cs="Aptos"/>
          <w:b/>
          <w:bCs/>
        </w:rPr>
        <w:t>Inpatient Admissions by Point of Delivery (POD) and Deprivation</w:t>
      </w:r>
    </w:p>
    <w:p w14:paraId="63A04962" w14:textId="4D093387" w:rsidR="20BAECC7" w:rsidRDefault="20BAECC7">
      <w:r>
        <w:rPr>
          <w:noProof/>
        </w:rPr>
        <w:lastRenderedPageBreak/>
        <w:drawing>
          <wp:inline distT="0" distB="0" distL="0" distR="0" wp14:anchorId="3A92FF7B" wp14:editId="2CD68D57">
            <wp:extent cx="5724525" cy="4048125"/>
            <wp:effectExtent l="0" t="0" r="0" b="0"/>
            <wp:docPr id="1839403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03902" name="Picture 1839403902"/>
                    <pic:cNvPicPr/>
                  </pic:nvPicPr>
                  <pic:blipFill>
                    <a:blip r:embed="rId75">
                      <a:extLst>
                        <a:ext uri="{28A0092B-C50C-407E-A947-70E740481C1C}">
                          <a14:useLocalDpi xmlns:a14="http://schemas.microsoft.com/office/drawing/2010/main"/>
                        </a:ext>
                      </a:extLst>
                    </a:blip>
                    <a:stretch>
                      <a:fillRect/>
                    </a:stretch>
                  </pic:blipFill>
                  <pic:spPr>
                    <a:xfrm>
                      <a:off x="0" y="0"/>
                      <a:ext cx="5724525" cy="4048125"/>
                    </a:xfrm>
                    <a:prstGeom prst="rect">
                      <a:avLst/>
                    </a:prstGeom>
                  </pic:spPr>
                </pic:pic>
              </a:graphicData>
            </a:graphic>
          </wp:inline>
        </w:drawing>
      </w:r>
    </w:p>
    <w:p w14:paraId="1484D239" w14:textId="6912EE1E" w:rsidR="20BAECC7" w:rsidRDefault="20BAECC7" w:rsidP="76C807FA">
      <w:pPr>
        <w:spacing w:line="276" w:lineRule="auto"/>
      </w:pPr>
      <w:r w:rsidRPr="76C807FA">
        <w:rPr>
          <w:rFonts w:ascii="Aptos" w:eastAsia="Aptos" w:hAnsi="Aptos" w:cs="Aptos"/>
        </w:rPr>
        <w:t>Analysis of age-standardised inpatient admission rates across deprivation deciles in NHS Lancashire and South Cumbria ICB shows clear variation by point of delivery.</w:t>
      </w:r>
    </w:p>
    <w:p w14:paraId="09231B49" w14:textId="753D18CD" w:rsidR="20BAECC7" w:rsidRDefault="20BAECC7" w:rsidP="76C807FA">
      <w:pPr>
        <w:spacing w:line="276" w:lineRule="auto"/>
      </w:pPr>
      <w:r w:rsidRPr="76C807FA">
        <w:rPr>
          <w:rFonts w:ascii="Aptos" w:eastAsia="Aptos" w:hAnsi="Aptos" w:cs="Aptos"/>
        </w:rPr>
        <w:t>Emergency admissions display the highest overall rates, from 11,552.38 - 24,447.46 per 100,000 population. Rates are highest in the most deprived deciles and gradually decrease with decreasing deprivation.</w:t>
      </w:r>
    </w:p>
    <w:p w14:paraId="2BE7FD84" w14:textId="007C6F74" w:rsidR="20BAECC7" w:rsidRDefault="20BAECC7" w:rsidP="76C807FA">
      <w:pPr>
        <w:spacing w:line="276" w:lineRule="auto"/>
      </w:pPr>
      <w:r w:rsidRPr="76C807FA">
        <w:rPr>
          <w:rFonts w:ascii="Aptos" w:eastAsia="Aptos" w:hAnsi="Aptos" w:cs="Aptos"/>
        </w:rPr>
        <w:t>Non-elective admissions follow a similar pattern, with rates ranging between 1,080.84-1,312.13 per 100,000, again slightly higher in the most deprived groups.</w:t>
      </w:r>
    </w:p>
    <w:p w14:paraId="7738FE73" w14:textId="2F551DFF" w:rsidR="20BAECC7" w:rsidRDefault="20BAECC7" w:rsidP="76C807FA">
      <w:pPr>
        <w:spacing w:line="276" w:lineRule="auto"/>
      </w:pPr>
      <w:r w:rsidRPr="76C807FA">
        <w:rPr>
          <w:rFonts w:ascii="Aptos" w:eastAsia="Aptos" w:hAnsi="Aptos" w:cs="Aptos"/>
        </w:rPr>
        <w:t>Day-case admissions exhibit broadly stable rates across deciles, indicating limited deprivation effect once age standardisation is applied.</w:t>
      </w:r>
    </w:p>
    <w:p w14:paraId="7C26A1EF" w14:textId="2953D9A5" w:rsidR="20BAECC7" w:rsidRDefault="20BAECC7" w:rsidP="76C807FA">
      <w:pPr>
        <w:spacing w:line="276" w:lineRule="auto"/>
      </w:pPr>
      <w:r w:rsidRPr="76C807FA">
        <w:rPr>
          <w:rFonts w:ascii="Aptos" w:eastAsia="Aptos" w:hAnsi="Aptos" w:cs="Aptos"/>
        </w:rPr>
        <w:t>Ordinary elective admissions show rates of 3,137.34 - 3,170.01 per 100,000. Rates are similar across deprivation deciles, with only a small difference between deciles 1 and 10.</w:t>
      </w:r>
    </w:p>
    <w:p w14:paraId="0A89A680" w14:textId="26C9491D" w:rsidR="20BAECC7" w:rsidRDefault="20BAECC7" w:rsidP="76C807FA">
      <w:pPr>
        <w:spacing w:line="276" w:lineRule="auto"/>
      </w:pPr>
      <w:r w:rsidRPr="76C807FA">
        <w:rPr>
          <w:rFonts w:ascii="Aptos" w:eastAsia="Aptos" w:hAnsi="Aptos" w:cs="Aptos"/>
        </w:rPr>
        <w:t>Regular day admissions range from 8,007.29 - 12,411.93 per 100,000. After age standardisation, a clearer pattern appears, with higher rates in more deprived deciles and decreases across the deprivation spectrum.</w:t>
      </w:r>
    </w:p>
    <w:p w14:paraId="7B27F644" w14:textId="65808D7A" w:rsidR="20BAECC7" w:rsidRDefault="20BAECC7" w:rsidP="76C807FA">
      <w:pPr>
        <w:spacing w:line="276" w:lineRule="auto"/>
      </w:pPr>
      <w:r w:rsidRPr="76C807FA">
        <w:rPr>
          <w:rFonts w:ascii="Aptos" w:eastAsia="Aptos" w:hAnsi="Aptos" w:cs="Aptos"/>
        </w:rPr>
        <w:t>Overall, the data suggest that urgent and emergency activity is higher in deprived areas, while planned activity is more evenly distributed or higher in less deprived groups. These findings align with national evidence on healthcare utilisation and the impact of deprivation on health service demand.</w:t>
      </w:r>
    </w:p>
    <w:p w14:paraId="75AC8071" w14:textId="2DC931DC" w:rsidR="20BAECC7" w:rsidRDefault="20BAECC7" w:rsidP="76C807FA">
      <w:pPr>
        <w:spacing w:line="276" w:lineRule="auto"/>
      </w:pPr>
      <w:r w:rsidRPr="76C807FA">
        <w:rPr>
          <w:rFonts w:ascii="Aptos" w:eastAsia="Aptos" w:hAnsi="Aptos" w:cs="Aptos"/>
          <w:b/>
          <w:bCs/>
        </w:rPr>
        <w:lastRenderedPageBreak/>
        <w:t>Outpatient Activity by Deprivation</w:t>
      </w:r>
    </w:p>
    <w:p w14:paraId="6949F0EB" w14:textId="61D80E3C" w:rsidR="20BAECC7" w:rsidRDefault="20BAECC7">
      <w:r>
        <w:rPr>
          <w:noProof/>
        </w:rPr>
        <w:drawing>
          <wp:inline distT="0" distB="0" distL="0" distR="0" wp14:anchorId="3D99FFF1" wp14:editId="710CCD97">
            <wp:extent cx="5724525" cy="4048125"/>
            <wp:effectExtent l="0" t="0" r="0" b="0"/>
            <wp:docPr id="568123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364" name="Picture 56812364"/>
                    <pic:cNvPicPr/>
                  </pic:nvPicPr>
                  <pic:blipFill>
                    <a:blip r:embed="rId76">
                      <a:extLst>
                        <a:ext uri="{28A0092B-C50C-407E-A947-70E740481C1C}">
                          <a14:useLocalDpi xmlns:a14="http://schemas.microsoft.com/office/drawing/2010/main"/>
                        </a:ext>
                      </a:extLst>
                    </a:blip>
                    <a:stretch>
                      <a:fillRect/>
                    </a:stretch>
                  </pic:blipFill>
                  <pic:spPr>
                    <a:xfrm>
                      <a:off x="0" y="0"/>
                      <a:ext cx="5724525" cy="4048125"/>
                    </a:xfrm>
                    <a:prstGeom prst="rect">
                      <a:avLst/>
                    </a:prstGeom>
                  </pic:spPr>
                </pic:pic>
              </a:graphicData>
            </a:graphic>
          </wp:inline>
        </w:drawing>
      </w:r>
    </w:p>
    <w:p w14:paraId="61E0F212" w14:textId="632F872B" w:rsidR="20BAECC7" w:rsidRDefault="20BAECC7" w:rsidP="76C807FA">
      <w:pPr>
        <w:spacing w:line="276" w:lineRule="auto"/>
      </w:pPr>
      <w:r w:rsidRPr="76C807FA">
        <w:rPr>
          <w:rFonts w:ascii="Aptos" w:eastAsia="Aptos" w:hAnsi="Aptos" w:cs="Aptos"/>
        </w:rPr>
        <w:t>Indirectly standardised rates for outpatient activity across Lancashire and South Cumbria ICB show little variation by deprivation decile. Rates range between 174,025.9 and 184,902.3 per 100,000 population. Which shows once age is accounted for, outpatient activity levels are broadly similar between more and less deprived areas.</w:t>
      </w:r>
    </w:p>
    <w:p w14:paraId="41DA45F1" w14:textId="15EB4647" w:rsidR="76C807FA" w:rsidRDefault="76C807FA"/>
    <w:p w14:paraId="4E8D8BDC" w14:textId="31E73101" w:rsidR="20BAECC7" w:rsidRDefault="20BAECC7" w:rsidP="76C807FA">
      <w:r>
        <w:rPr>
          <w:noProof/>
        </w:rPr>
        <w:lastRenderedPageBreak/>
        <w:drawing>
          <wp:inline distT="0" distB="0" distL="0" distR="0" wp14:anchorId="11D7DFFD" wp14:editId="09E6B5F9">
            <wp:extent cx="3048264" cy="3249450"/>
            <wp:effectExtent l="0" t="0" r="0" b="0"/>
            <wp:docPr id="1235657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57517" name="Picture 1235657517"/>
                    <pic:cNvPicPr/>
                  </pic:nvPicPr>
                  <pic:blipFill>
                    <a:blip r:embed="rId77">
                      <a:extLst>
                        <a:ext uri="{28A0092B-C50C-407E-A947-70E740481C1C}">
                          <a14:useLocalDpi xmlns:a14="http://schemas.microsoft.com/office/drawing/2010/main"/>
                        </a:ext>
                      </a:extLst>
                    </a:blip>
                    <a:stretch>
                      <a:fillRect/>
                    </a:stretch>
                  </pic:blipFill>
                  <pic:spPr>
                    <a:xfrm>
                      <a:off x="0" y="0"/>
                      <a:ext cx="3048264" cy="3249450"/>
                    </a:xfrm>
                    <a:prstGeom prst="rect">
                      <a:avLst/>
                    </a:prstGeom>
                  </pic:spPr>
                </pic:pic>
              </a:graphicData>
            </a:graphic>
          </wp:inline>
        </w:drawing>
      </w:r>
    </w:p>
    <w:p w14:paraId="645857CE" w14:textId="5FC3D011" w:rsidR="20BAECC7" w:rsidRDefault="20BAECC7" w:rsidP="76C807FA">
      <w:pPr>
        <w:spacing w:line="276" w:lineRule="auto"/>
      </w:pPr>
      <w:r w:rsidRPr="76C807FA">
        <w:rPr>
          <w:rFonts w:ascii="Aptos" w:eastAsia="Aptos" w:hAnsi="Aptos" w:cs="Aptos"/>
        </w:rPr>
        <w:t xml:space="preserve">When compared with the England reference distribution the pattern is consistent with England data which shows no clear deprivation gradient, with outpatient attendance proportions remaining close to 10% across all deciles. </w:t>
      </w:r>
    </w:p>
    <w:p w14:paraId="4C13F516" w14:textId="1164E424" w:rsidR="20BAECC7" w:rsidRDefault="20BAECC7" w:rsidP="76C807FA">
      <w:pPr>
        <w:spacing w:line="276" w:lineRule="auto"/>
      </w:pPr>
      <w:r w:rsidRPr="76C807FA">
        <w:rPr>
          <w:rFonts w:ascii="Aptos" w:eastAsia="Aptos" w:hAnsi="Aptos" w:cs="Aptos"/>
        </w:rPr>
        <w:t>Overall, both the local and national data indicate that outpatient attendance is evenly distributed across deprivation groups, with no strong gradient evident.</w:t>
      </w:r>
    </w:p>
    <w:p w14:paraId="38A4D4FC" w14:textId="1BB291E0" w:rsidR="20BAECC7" w:rsidRDefault="20BAECC7" w:rsidP="76C807FA">
      <w:pPr>
        <w:spacing w:line="276" w:lineRule="auto"/>
      </w:pPr>
      <w:r w:rsidRPr="76C807FA">
        <w:rPr>
          <w:rFonts w:ascii="Aptos" w:eastAsia="Aptos" w:hAnsi="Aptos" w:cs="Aptos"/>
          <w:b/>
          <w:bCs/>
        </w:rPr>
        <w:t>Projected Patient Activity by Age and Deprivation</w:t>
      </w:r>
    </w:p>
    <w:p w14:paraId="347051D8" w14:textId="056ECA8A" w:rsidR="20BAECC7" w:rsidRDefault="20BAECC7" w:rsidP="76C807FA">
      <w:pPr>
        <w:spacing w:line="276" w:lineRule="auto"/>
      </w:pPr>
      <w:r w:rsidRPr="76C807FA">
        <w:rPr>
          <w:rFonts w:ascii="Aptos" w:eastAsia="Aptos" w:hAnsi="Aptos" w:cs="Aptos"/>
        </w:rPr>
        <w:t>When examined across all point of delivery (PODs), projected patient activity increases steadily across the period 2024 – 2047. Growth is evident in almost all POD categories, with the largest absolute increase seen in outpatient and AE activity. By deprivation, the most deprived deciles consistently show higher baseline activity, though the rate of increase over time is broadly similar across deciles. Overall activity is projected to increase by 16.61%, while total bed days are expected to rise by approximately 33.85% over the same period.</w:t>
      </w:r>
    </w:p>
    <w:p w14:paraId="2D4646E2" w14:textId="2EE5E84A" w:rsidR="20BAECC7" w:rsidRDefault="20BAECC7" w:rsidP="76C807FA">
      <w:r>
        <w:rPr>
          <w:noProof/>
        </w:rPr>
        <w:lastRenderedPageBreak/>
        <w:drawing>
          <wp:inline distT="0" distB="0" distL="0" distR="0" wp14:anchorId="667D4936" wp14:editId="45B61DDD">
            <wp:extent cx="6010364" cy="7268066"/>
            <wp:effectExtent l="0" t="0" r="0" b="9525"/>
            <wp:docPr id="11777714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71474" name="Picture 1177771474"/>
                    <pic:cNvPicPr/>
                  </pic:nvPicPr>
                  <pic:blipFill>
                    <a:blip r:embed="rId78">
                      <a:extLst>
                        <a:ext uri="{28A0092B-C50C-407E-A947-70E740481C1C}">
                          <a14:useLocalDpi xmlns:a14="http://schemas.microsoft.com/office/drawing/2010/main"/>
                        </a:ext>
                      </a:extLst>
                    </a:blip>
                    <a:stretch>
                      <a:fillRect/>
                    </a:stretch>
                  </pic:blipFill>
                  <pic:spPr>
                    <a:xfrm>
                      <a:off x="0" y="0"/>
                      <a:ext cx="6013937" cy="7272386"/>
                    </a:xfrm>
                    <a:prstGeom prst="rect">
                      <a:avLst/>
                    </a:prstGeom>
                  </pic:spPr>
                </pic:pic>
              </a:graphicData>
            </a:graphic>
          </wp:inline>
        </w:drawing>
      </w:r>
    </w:p>
    <w:p w14:paraId="78E04DD6" w14:textId="54B7817B" w:rsidR="20BAECC7" w:rsidRDefault="20BAECC7" w:rsidP="76C807FA">
      <w:r>
        <w:rPr>
          <w:noProof/>
        </w:rPr>
        <w:lastRenderedPageBreak/>
        <w:drawing>
          <wp:inline distT="0" distB="0" distL="0" distR="0" wp14:anchorId="45B57DD5" wp14:editId="798984C2">
            <wp:extent cx="5885635" cy="7117237"/>
            <wp:effectExtent l="0" t="0" r="1270" b="7620"/>
            <wp:docPr id="1000459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9752" name="Picture 1000459752"/>
                    <pic:cNvPicPr/>
                  </pic:nvPicPr>
                  <pic:blipFill>
                    <a:blip r:embed="rId79">
                      <a:extLst>
                        <a:ext uri="{28A0092B-C50C-407E-A947-70E740481C1C}">
                          <a14:useLocalDpi xmlns:a14="http://schemas.microsoft.com/office/drawing/2010/main"/>
                        </a:ext>
                      </a:extLst>
                    </a:blip>
                    <a:stretch>
                      <a:fillRect/>
                    </a:stretch>
                  </pic:blipFill>
                  <pic:spPr>
                    <a:xfrm>
                      <a:off x="0" y="0"/>
                      <a:ext cx="5894141" cy="7127523"/>
                    </a:xfrm>
                    <a:prstGeom prst="rect">
                      <a:avLst/>
                    </a:prstGeom>
                  </pic:spPr>
                </pic:pic>
              </a:graphicData>
            </a:graphic>
          </wp:inline>
        </w:drawing>
      </w:r>
    </w:p>
    <w:p w14:paraId="55318388" w14:textId="5B72DA7A" w:rsidR="20BAECC7" w:rsidRDefault="20BAECC7" w:rsidP="76C807FA">
      <w:pPr>
        <w:spacing w:line="276" w:lineRule="auto"/>
      </w:pPr>
      <w:r w:rsidRPr="76C807FA">
        <w:rPr>
          <w:rFonts w:ascii="Aptos" w:eastAsia="Aptos" w:hAnsi="Aptos" w:cs="Aptos"/>
        </w:rPr>
        <w:t>Emergency admissions show a clear concentration in older age groups across all deprivation deciles, with limited change in younger age bands. By 2047, projected emergency admissions rise most sharply in those aged 70 and over. The difference between 2024 and 2047 is smaller in younger age bands, suggesting that growth in emergency demand will be driven primarily by older populations. Overall emergency admissions are projected to rise from 263,906 to 333,664 between 2024 and 2047.</w:t>
      </w:r>
    </w:p>
    <w:p w14:paraId="1D46D3A7" w14:textId="5D119B63" w:rsidR="20BAECC7" w:rsidRDefault="20BAECC7" w:rsidP="76C807FA">
      <w:r>
        <w:rPr>
          <w:noProof/>
        </w:rPr>
        <w:lastRenderedPageBreak/>
        <w:drawing>
          <wp:inline distT="0" distB="0" distL="0" distR="0" wp14:anchorId="4879D70F" wp14:editId="4897E421">
            <wp:extent cx="5737520" cy="6938128"/>
            <wp:effectExtent l="0" t="0" r="0" b="0"/>
            <wp:docPr id="21141551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55193" name="Picture 2114155193"/>
                    <pic:cNvPicPr/>
                  </pic:nvPicPr>
                  <pic:blipFill>
                    <a:blip r:embed="rId80">
                      <a:extLst>
                        <a:ext uri="{28A0092B-C50C-407E-A947-70E740481C1C}">
                          <a14:useLocalDpi xmlns:a14="http://schemas.microsoft.com/office/drawing/2010/main"/>
                        </a:ext>
                      </a:extLst>
                    </a:blip>
                    <a:stretch>
                      <a:fillRect/>
                    </a:stretch>
                  </pic:blipFill>
                  <pic:spPr>
                    <a:xfrm>
                      <a:off x="0" y="0"/>
                      <a:ext cx="5743503" cy="6945363"/>
                    </a:xfrm>
                    <a:prstGeom prst="rect">
                      <a:avLst/>
                    </a:prstGeom>
                  </pic:spPr>
                </pic:pic>
              </a:graphicData>
            </a:graphic>
          </wp:inline>
        </w:drawing>
      </w:r>
    </w:p>
    <w:p w14:paraId="445525AC" w14:textId="78D3CCA4" w:rsidR="20BAECC7" w:rsidRDefault="20BAECC7" w:rsidP="76C807FA">
      <w:pPr>
        <w:spacing w:line="276" w:lineRule="auto"/>
      </w:pPr>
      <w:r w:rsidRPr="2A77D681">
        <w:rPr>
          <w:rFonts w:ascii="Aptos" w:eastAsia="Aptos" w:hAnsi="Aptos" w:cs="Aptos"/>
        </w:rPr>
        <w:t xml:space="preserve">Projected outpatient attendances are expected to increase across all deprivation deciles between 2024 and 2047. In each deprivation decile attendances in 2047 are higher than 2024, reflecting both population growth and ageing. The overall shape of the age distribution remains similar, with the most deprived decile showing higher activity levels throughout. Total projected outpatient attendances increase from 2,761,333 in 2024 to 3,236,531 in 2047, representing an overall rise of approximately 17.21%.  </w:t>
      </w:r>
    </w:p>
    <w:p w14:paraId="758832DD" w14:textId="06CDE743" w:rsidR="2A77D681" w:rsidRDefault="2A77D681" w:rsidP="2A77D681">
      <w:pPr>
        <w:spacing w:line="276" w:lineRule="auto"/>
        <w:rPr>
          <w:rFonts w:ascii="Aptos" w:eastAsia="Aptos" w:hAnsi="Aptos" w:cs="Aptos"/>
          <w:b/>
          <w:bCs/>
        </w:rPr>
      </w:pPr>
    </w:p>
    <w:p w14:paraId="32C56E3C" w14:textId="110F2BFA" w:rsidR="24B39C69" w:rsidRDefault="24B39C69" w:rsidP="76C807FA">
      <w:pPr>
        <w:spacing w:line="276" w:lineRule="auto"/>
        <w:rPr>
          <w:rFonts w:ascii="Aptos" w:eastAsia="Aptos" w:hAnsi="Aptos" w:cs="Aptos"/>
          <w:b/>
          <w:bCs/>
        </w:rPr>
      </w:pPr>
      <w:r w:rsidRPr="76C807FA">
        <w:rPr>
          <w:rFonts w:ascii="Aptos" w:eastAsia="Aptos" w:hAnsi="Aptos" w:cs="Aptos"/>
          <w:b/>
          <w:bCs/>
        </w:rPr>
        <w:lastRenderedPageBreak/>
        <w:t xml:space="preserve">Projected Bed Days by Age and Deprivation </w:t>
      </w:r>
    </w:p>
    <w:p w14:paraId="22D53D3A" w14:textId="48B8F60C" w:rsidR="20BAECC7" w:rsidRDefault="20BAECC7" w:rsidP="76C807FA">
      <w:r>
        <w:rPr>
          <w:noProof/>
        </w:rPr>
        <w:drawing>
          <wp:inline distT="0" distB="0" distL="0" distR="0" wp14:anchorId="5A46C6B1" wp14:editId="6A628F02">
            <wp:extent cx="5891753" cy="7124635"/>
            <wp:effectExtent l="0" t="0" r="0" b="635"/>
            <wp:docPr id="330979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79741" name="Picture 330979741"/>
                    <pic:cNvPicPr/>
                  </pic:nvPicPr>
                  <pic:blipFill>
                    <a:blip r:embed="rId81">
                      <a:extLst>
                        <a:ext uri="{28A0092B-C50C-407E-A947-70E740481C1C}">
                          <a14:useLocalDpi xmlns:a14="http://schemas.microsoft.com/office/drawing/2010/main"/>
                        </a:ext>
                      </a:extLst>
                    </a:blip>
                    <a:stretch>
                      <a:fillRect/>
                    </a:stretch>
                  </pic:blipFill>
                  <pic:spPr>
                    <a:xfrm>
                      <a:off x="0" y="0"/>
                      <a:ext cx="5898720" cy="7133060"/>
                    </a:xfrm>
                    <a:prstGeom prst="rect">
                      <a:avLst/>
                    </a:prstGeom>
                  </pic:spPr>
                </pic:pic>
              </a:graphicData>
            </a:graphic>
          </wp:inline>
        </w:drawing>
      </w:r>
    </w:p>
    <w:p w14:paraId="0ADDDE7D" w14:textId="7F5885A5" w:rsidR="20BAECC7" w:rsidRDefault="20BAECC7" w:rsidP="76C807FA">
      <w:r>
        <w:rPr>
          <w:noProof/>
        </w:rPr>
        <w:lastRenderedPageBreak/>
        <w:drawing>
          <wp:inline distT="0" distB="0" distL="0" distR="0" wp14:anchorId="52EBEAC3" wp14:editId="21D4AAA6">
            <wp:extent cx="5776498" cy="6985262"/>
            <wp:effectExtent l="0" t="0" r="0" b="6350"/>
            <wp:docPr id="542452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52517" name="Picture 542452517"/>
                    <pic:cNvPicPr/>
                  </pic:nvPicPr>
                  <pic:blipFill>
                    <a:blip r:embed="rId82">
                      <a:extLst>
                        <a:ext uri="{28A0092B-C50C-407E-A947-70E740481C1C}">
                          <a14:useLocalDpi xmlns:a14="http://schemas.microsoft.com/office/drawing/2010/main"/>
                        </a:ext>
                      </a:extLst>
                    </a:blip>
                    <a:stretch>
                      <a:fillRect/>
                    </a:stretch>
                  </pic:blipFill>
                  <pic:spPr>
                    <a:xfrm>
                      <a:off x="0" y="0"/>
                      <a:ext cx="5781095" cy="6990821"/>
                    </a:xfrm>
                    <a:prstGeom prst="rect">
                      <a:avLst/>
                    </a:prstGeom>
                  </pic:spPr>
                </pic:pic>
              </a:graphicData>
            </a:graphic>
          </wp:inline>
        </w:drawing>
      </w:r>
    </w:p>
    <w:p w14:paraId="022804D6" w14:textId="57852156" w:rsidR="20BAECC7" w:rsidRDefault="20BAECC7" w:rsidP="76C807FA">
      <w:r>
        <w:rPr>
          <w:noProof/>
        </w:rPr>
        <w:lastRenderedPageBreak/>
        <w:drawing>
          <wp:inline distT="0" distB="0" distL="0" distR="0" wp14:anchorId="01F5D4E3" wp14:editId="40142AB1">
            <wp:extent cx="4733925" cy="5724525"/>
            <wp:effectExtent l="0" t="0" r="0" b="0"/>
            <wp:docPr id="606794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94849" name="Picture 606794849"/>
                    <pic:cNvPicPr/>
                  </pic:nvPicPr>
                  <pic:blipFill>
                    <a:blip r:embed="rId83">
                      <a:extLst>
                        <a:ext uri="{28A0092B-C50C-407E-A947-70E740481C1C}">
                          <a14:useLocalDpi xmlns:a14="http://schemas.microsoft.com/office/drawing/2010/main"/>
                        </a:ext>
                      </a:extLst>
                    </a:blip>
                    <a:stretch>
                      <a:fillRect/>
                    </a:stretch>
                  </pic:blipFill>
                  <pic:spPr>
                    <a:xfrm>
                      <a:off x="0" y="0"/>
                      <a:ext cx="4733925" cy="5724525"/>
                    </a:xfrm>
                    <a:prstGeom prst="rect">
                      <a:avLst/>
                    </a:prstGeom>
                  </pic:spPr>
                </pic:pic>
              </a:graphicData>
            </a:graphic>
          </wp:inline>
        </w:drawing>
      </w:r>
    </w:p>
    <w:p w14:paraId="0713DA57" w14:textId="5240FD94" w:rsidR="20BAECC7" w:rsidRDefault="20BAECC7" w:rsidP="76C807FA">
      <w:pPr>
        <w:spacing w:line="276" w:lineRule="auto"/>
      </w:pPr>
      <w:r w:rsidRPr="76C807FA">
        <w:rPr>
          <w:rFonts w:ascii="Aptos" w:eastAsia="Aptos" w:hAnsi="Aptos" w:cs="Aptos"/>
        </w:rPr>
        <w:t xml:space="preserve">Bed days are projected to rise steadily between 2024 and 2047, with the steepest increase seen among people aged 70 years and older. Younger age groups show little change, while activity rises steadily with age. </w:t>
      </w:r>
    </w:p>
    <w:p w14:paraId="5D4023B7" w14:textId="5FC6C504" w:rsidR="20BAECC7" w:rsidRDefault="20BAECC7" w:rsidP="76C807FA">
      <w:pPr>
        <w:spacing w:line="276" w:lineRule="auto"/>
      </w:pPr>
      <w:r w:rsidRPr="76C807FA">
        <w:rPr>
          <w:rFonts w:ascii="Aptos" w:eastAsia="Aptos" w:hAnsi="Aptos" w:cs="Aptos"/>
        </w:rPr>
        <w:t>In all deprivation deciles, the highest number of bed days occurs among those aged 70 and above, with a marked increase by 2047. The scale of growth in bed days exceeds that of admissions, suggesting longer stays or increasing complexity of care in older age groups.</w:t>
      </w:r>
    </w:p>
    <w:p w14:paraId="2262BAD2" w14:textId="6CBA1EFD" w:rsidR="20BAECC7" w:rsidRDefault="20BAECC7" w:rsidP="76C807FA">
      <w:pPr>
        <w:spacing w:line="276" w:lineRule="auto"/>
      </w:pPr>
      <w:r w:rsidRPr="76C807FA">
        <w:rPr>
          <w:rFonts w:ascii="Aptos" w:eastAsia="Aptos" w:hAnsi="Aptos" w:cs="Aptos"/>
        </w:rPr>
        <w:t>While the absolute level of activity remains higher in more deprived areas, the shape of the age-specific projections is similar across the deprivation gradient. This pattern suggests that demographic change particularly population ageing is the main driver of increased demand.</w:t>
      </w:r>
    </w:p>
    <w:p w14:paraId="0899DB14" w14:textId="5CDB4327" w:rsidR="76C807FA" w:rsidRDefault="76C807FA" w:rsidP="76C807FA"/>
    <w:p w14:paraId="491A8CC9" w14:textId="60A08783" w:rsidR="007D6CC4" w:rsidRPr="00504AB2" w:rsidRDefault="007D6CC4" w:rsidP="007D6CC4">
      <w:pPr>
        <w:pStyle w:val="Style1"/>
      </w:pPr>
      <w:bookmarkStart w:id="86" w:name="_Toc214446985"/>
      <w:bookmarkStart w:id="87" w:name="_Toc214447026"/>
      <w:bookmarkStart w:id="88" w:name="_Toc214460971"/>
      <w:bookmarkStart w:id="89" w:name="_Toc220937629"/>
      <w:r w:rsidRPr="00504AB2">
        <w:rPr>
          <w:noProof/>
        </w:rPr>
        <w:lastRenderedPageBreak/>
        <mc:AlternateContent>
          <mc:Choice Requires="wps">
            <w:drawing>
              <wp:anchor distT="45720" distB="45720" distL="114300" distR="114300" simplePos="0" relativeHeight="251649536" behindDoc="0" locked="0" layoutInCell="1" allowOverlap="1" wp14:anchorId="1A97E353" wp14:editId="118240DD">
                <wp:simplePos x="0" y="0"/>
                <wp:positionH relativeFrom="margin">
                  <wp:align>left</wp:align>
                </wp:positionH>
                <wp:positionV relativeFrom="paragraph">
                  <wp:posOffset>0</wp:posOffset>
                </wp:positionV>
                <wp:extent cx="5689600" cy="8903335"/>
                <wp:effectExtent l="0" t="0" r="25400" b="12065"/>
                <wp:wrapTopAndBottom/>
                <wp:docPr id="2081269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8903368"/>
                        </a:xfrm>
                        <a:prstGeom prst="rect">
                          <a:avLst/>
                        </a:prstGeom>
                        <a:solidFill>
                          <a:schemeClr val="tx2">
                            <a:lumMod val="10000"/>
                            <a:lumOff val="90000"/>
                          </a:schemeClr>
                        </a:solidFill>
                        <a:ln w="9525">
                          <a:solidFill>
                            <a:srgbClr val="000000"/>
                          </a:solidFill>
                          <a:miter lim="800000"/>
                          <a:headEnd/>
                          <a:tailEnd/>
                        </a:ln>
                      </wps:spPr>
                      <wps:txbx>
                        <w:txbxContent>
                          <w:p w14:paraId="15898B07" w14:textId="0AC16D3E" w:rsidR="004E7015" w:rsidRDefault="004E7015" w:rsidP="004E7015">
                            <w:r>
                              <w:t xml:space="preserve">Health and outcomes across Lancashire and South Cumbria are varied </w:t>
                            </w:r>
                            <w:r w:rsidR="00456A41">
                              <w:t>but there are noticeable patterns:</w:t>
                            </w:r>
                          </w:p>
                          <w:p w14:paraId="03F39574" w14:textId="191F78CB" w:rsidR="00005566" w:rsidRPr="00504AB2" w:rsidRDefault="00005566" w:rsidP="00BD0DD8">
                            <w:pPr>
                              <w:pStyle w:val="ListParagraph"/>
                              <w:numPr>
                                <w:ilvl w:val="0"/>
                                <w:numId w:val="23"/>
                              </w:numPr>
                            </w:pPr>
                            <w:r w:rsidRPr="00504AB2">
                              <w:t xml:space="preserve">There is a higher prevalence of almost all major </w:t>
                            </w:r>
                            <w:r w:rsidR="000A2849" w:rsidRPr="00504AB2">
                              <w:t>long-term conditions</w:t>
                            </w:r>
                            <w:r w:rsidRPr="00504AB2">
                              <w:t xml:space="preserve"> compared to the national average. Age standardised rates show higher prevalence among the most deprived population, particularly for depression, cardiovascular disease and learning disability.</w:t>
                            </w:r>
                          </w:p>
                          <w:p w14:paraId="32B92EFA" w14:textId="77777777" w:rsidR="00005566" w:rsidRPr="00504AB2" w:rsidRDefault="00005566" w:rsidP="00BD0DD8">
                            <w:pPr>
                              <w:pStyle w:val="ListParagraph"/>
                              <w:numPr>
                                <w:ilvl w:val="0"/>
                                <w:numId w:val="23"/>
                              </w:numPr>
                            </w:pPr>
                            <w:r w:rsidRPr="00504AB2">
                              <w:t>Age standardised rates show that prevalence of people with 3 or more long term conditions is more than twice as high in the most deprived decile when compared to the least deprived.</w:t>
                            </w:r>
                          </w:p>
                          <w:p w14:paraId="054C0142" w14:textId="77777777" w:rsidR="00005566" w:rsidRPr="00504AB2" w:rsidRDefault="00005566" w:rsidP="00BD0DD8">
                            <w:pPr>
                              <w:pStyle w:val="ListParagraph"/>
                              <w:numPr>
                                <w:ilvl w:val="0"/>
                                <w:numId w:val="23"/>
                              </w:numPr>
                            </w:pPr>
                            <w:r w:rsidRPr="00504AB2">
                              <w:t xml:space="preserve">Suicide rates in both men and women and the prevalence of mental health conditions are higher than the national average. </w:t>
                            </w:r>
                          </w:p>
                          <w:p w14:paraId="4FD90067" w14:textId="12C065F5" w:rsidR="00005566" w:rsidRPr="00D251C2" w:rsidRDefault="001D2587" w:rsidP="00BD0DD8">
                            <w:pPr>
                              <w:pStyle w:val="ListParagraph"/>
                              <w:numPr>
                                <w:ilvl w:val="0"/>
                                <w:numId w:val="23"/>
                              </w:numPr>
                            </w:pPr>
                            <w:r>
                              <w:t xml:space="preserve">There are some large sections of the population that have specific health needs, particularly </w:t>
                            </w:r>
                            <w:r w:rsidR="00F069DD">
                              <w:t>children and young people, women of all ages, and pregnant women. The</w:t>
                            </w:r>
                            <w:r w:rsidR="00941428">
                              <w:t>ir health needs should be considered in addition to the whole population, as they present their own challenges and inequalities.</w:t>
                            </w:r>
                          </w:p>
                          <w:p w14:paraId="1E0B2A46" w14:textId="77777777" w:rsidR="00005566" w:rsidRPr="00504AB2" w:rsidRDefault="00005566" w:rsidP="00BD0DD8">
                            <w:pPr>
                              <w:pStyle w:val="ListParagraph"/>
                              <w:numPr>
                                <w:ilvl w:val="0"/>
                                <w:numId w:val="23"/>
                              </w:numPr>
                            </w:pPr>
                            <w:r w:rsidRPr="00504AB2">
                              <w:t>Rates of risk and lifestyle factors are also higher across the ICB than the average for England. This includes most of the significant attributable risk factors to the ICB’s highest mortality rates.</w:t>
                            </w:r>
                          </w:p>
                          <w:p w14:paraId="2D6187D0" w14:textId="77777777" w:rsidR="00005566" w:rsidRPr="00504AB2" w:rsidRDefault="00005566" w:rsidP="00BD0DD8">
                            <w:pPr>
                              <w:pStyle w:val="ListParagraph"/>
                              <w:numPr>
                                <w:ilvl w:val="0"/>
                                <w:numId w:val="23"/>
                              </w:numPr>
                            </w:pPr>
                            <w:r w:rsidRPr="00504AB2">
                              <w:t xml:space="preserve">Tobacco, obesity and alcohol use were all higher than the England average, as well as being higher in the most deprived. Physical activity levels were </w:t>
                            </w:r>
                            <w:r w:rsidRPr="00504AB2">
                              <w:t>similar to England overall.</w:t>
                            </w:r>
                          </w:p>
                          <w:p w14:paraId="12406221" w14:textId="565DEA53" w:rsidR="000A2849" w:rsidRPr="00504AB2" w:rsidRDefault="006525FD" w:rsidP="000A2849">
                            <w:pPr>
                              <w:rPr>
                                <w:b/>
                                <w:bCs/>
                              </w:rPr>
                            </w:pPr>
                            <w:r w:rsidRPr="00504AB2">
                              <w:rPr>
                                <w:b/>
                                <w:bCs/>
                              </w:rPr>
                              <w:t>Implications</w:t>
                            </w:r>
                          </w:p>
                          <w:p w14:paraId="599E0588" w14:textId="06559450" w:rsidR="006525FD" w:rsidRPr="00504AB2" w:rsidRDefault="00214FBC" w:rsidP="00BD0DD8">
                            <w:pPr>
                              <w:pStyle w:val="ListParagraph"/>
                              <w:numPr>
                                <w:ilvl w:val="0"/>
                                <w:numId w:val="24"/>
                              </w:numPr>
                            </w:pPr>
                            <w:r w:rsidRPr="00504AB2">
                              <w:t xml:space="preserve">The </w:t>
                            </w:r>
                            <w:r w:rsidR="00354D22" w:rsidRPr="00504AB2">
                              <w:t xml:space="preserve">high prevalence of long-term conditions </w:t>
                            </w:r>
                            <w:r w:rsidR="00D42A86" w:rsidRPr="00504AB2">
                              <w:t>may contribute to</w:t>
                            </w:r>
                            <w:r w:rsidR="000C4604" w:rsidRPr="00504AB2">
                              <w:t xml:space="preserve"> the higher-than-average mortality rates from these conditions. While there is likely further work to do for case-finding and early diagnosis of underdiagnosed conditions, this high prevalence shows that management of existing long-term conditions is an important part of reducing mortality rates. Further work in this area could include modelling of expected and observed prevalence to further identify where the ICB can have the biggest impact on different conditions. </w:t>
                            </w:r>
                            <w:r w:rsidR="0050009F" w:rsidRPr="00504AB2">
                              <w:t>Inequalities in prevalence rates should be considered throughout any further work in this area.</w:t>
                            </w:r>
                          </w:p>
                          <w:p w14:paraId="3F479C9E" w14:textId="1E65E24A" w:rsidR="000C4604" w:rsidRPr="00504AB2" w:rsidRDefault="0050009F" w:rsidP="00BD0DD8">
                            <w:pPr>
                              <w:pStyle w:val="ListParagraph"/>
                              <w:numPr>
                                <w:ilvl w:val="0"/>
                                <w:numId w:val="24"/>
                              </w:numPr>
                            </w:pPr>
                            <w:r w:rsidRPr="00504AB2">
                              <w:t>Similarly, above average rates of the most significant risk factors for high impact conditions</w:t>
                            </w:r>
                            <w:r w:rsidR="0082513A" w:rsidRPr="00504AB2">
                              <w:t xml:space="preserve">, particularly among the most deprived, indicate that </w:t>
                            </w:r>
                            <w:r w:rsidR="00FF6430" w:rsidRPr="00504AB2">
                              <w:t>focusing in this area could lead to reduced prevalence of those conditions.</w:t>
                            </w:r>
                          </w:p>
                          <w:p w14:paraId="519547AE" w14:textId="7BDEC344" w:rsidR="000C4604" w:rsidRPr="00504AB2" w:rsidRDefault="006525FD" w:rsidP="000C4604">
                            <w:pPr>
                              <w:pStyle w:val="ListParagraph"/>
                              <w:numPr>
                                <w:ilvl w:val="0"/>
                                <w:numId w:val="24"/>
                              </w:numPr>
                            </w:pPr>
                            <w:r w:rsidRPr="00504AB2">
                              <w:t>Mental health conditions often co-exist with physical health issues, compounding their impact and are disproportionately higher across LSC compared to England average and are even worse in disadvantaged and marginalised populations.</w:t>
                            </w:r>
                          </w:p>
                          <w:p w14:paraId="47FF0DDB" w14:textId="77777777" w:rsidR="007D6CC4" w:rsidRPr="00504AB2" w:rsidRDefault="007D6CC4" w:rsidP="007D6C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7E353" id="_x0000_s1051" type="#_x0000_t202" style="position:absolute;margin-left:0;margin-top:0;width:448pt;height:701.05pt;z-index:251649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" fillcolor="#dceaf7 [351]">
                <v:textbox>
                  <w:txbxContent>
                    <w:p w14:paraId="15898B07" w14:textId="0AC16D3E" w:rsidR="004E7015" w:rsidRDefault="004E7015" w:rsidP="004E7015">
                      <w:r>
                        <w:t xml:space="preserve">Health and outcomes across Lancashire and South Cumbria are varied </w:t>
                      </w:r>
                      <w:r w:rsidR="00456A41">
                        <w:t>but there are noticeable patterns:</w:t>
                      </w:r>
                    </w:p>
                    <w:p w14:paraId="03F39574" w14:textId="191F78CB" w:rsidR="00005566" w:rsidRPr="00504AB2" w:rsidRDefault="00005566" w:rsidP="00BD0DD8">
                      <w:pPr>
                        <w:pStyle w:val="ListParagraph"/>
                        <w:numPr>
                          <w:ilvl w:val="0"/>
                          <w:numId w:val="23"/>
                        </w:numPr>
                      </w:pPr>
                      <w:r w:rsidRPr="00504AB2">
                        <w:t xml:space="preserve">There is a higher prevalence of almost all major </w:t>
                      </w:r>
                      <w:r w:rsidR="000A2849" w:rsidRPr="00504AB2">
                        <w:t>long-term conditions</w:t>
                      </w:r>
                      <w:r w:rsidRPr="00504AB2">
                        <w:t xml:space="preserve"> compared to the national average. Age standardised rates show higher prevalence among the most deprived population, particularly for depression, cardiovascular disease and learning disability.</w:t>
                      </w:r>
                    </w:p>
                    <w:p w14:paraId="32B92EFA" w14:textId="77777777" w:rsidR="00005566" w:rsidRPr="00504AB2" w:rsidRDefault="00005566" w:rsidP="00BD0DD8">
                      <w:pPr>
                        <w:pStyle w:val="ListParagraph"/>
                        <w:numPr>
                          <w:ilvl w:val="0"/>
                          <w:numId w:val="23"/>
                        </w:numPr>
                      </w:pPr>
                      <w:r w:rsidRPr="00504AB2">
                        <w:t>Age standardised rates show that prevalence of people with 3 or more long term conditions is more than twice as high in the most deprived decile when compared to the least deprived.</w:t>
                      </w:r>
                    </w:p>
                    <w:p w14:paraId="054C0142" w14:textId="77777777" w:rsidR="00005566" w:rsidRPr="00504AB2" w:rsidRDefault="00005566" w:rsidP="00BD0DD8">
                      <w:pPr>
                        <w:pStyle w:val="ListParagraph"/>
                        <w:numPr>
                          <w:ilvl w:val="0"/>
                          <w:numId w:val="23"/>
                        </w:numPr>
                      </w:pPr>
                      <w:r w:rsidRPr="00504AB2">
                        <w:t xml:space="preserve">Suicide rates in both men and women and the prevalence of mental health conditions are higher than the national average. </w:t>
                      </w:r>
                    </w:p>
                    <w:p w14:paraId="4FD90067" w14:textId="12C065F5" w:rsidR="00005566" w:rsidRPr="00D251C2" w:rsidRDefault="001D2587" w:rsidP="00BD0DD8">
                      <w:pPr>
                        <w:pStyle w:val="ListParagraph"/>
                        <w:numPr>
                          <w:ilvl w:val="0"/>
                          <w:numId w:val="23"/>
                        </w:numPr>
                      </w:pPr>
                      <w:r>
                        <w:t xml:space="preserve">There are some large sections of the population that have specific health needs, particularly </w:t>
                      </w:r>
                      <w:r w:rsidR="00F069DD">
                        <w:t>children and young people, women of all ages, and pregnant women. The</w:t>
                      </w:r>
                      <w:r w:rsidR="00941428">
                        <w:t>ir health needs should be considered in addition to the whole population, as they present their own challenges and inequalities.</w:t>
                      </w:r>
                    </w:p>
                    <w:p w14:paraId="1E0B2A46" w14:textId="77777777" w:rsidR="00005566" w:rsidRPr="00504AB2" w:rsidRDefault="00005566" w:rsidP="00BD0DD8">
                      <w:pPr>
                        <w:pStyle w:val="ListParagraph"/>
                        <w:numPr>
                          <w:ilvl w:val="0"/>
                          <w:numId w:val="23"/>
                        </w:numPr>
                      </w:pPr>
                      <w:r w:rsidRPr="00504AB2">
                        <w:t>Rates of risk and lifestyle factors are also higher across the ICB than the average for England. This includes most of the significant attributable risk factors to the ICB’s highest mortality rates.</w:t>
                      </w:r>
                    </w:p>
                    <w:p w14:paraId="2D6187D0" w14:textId="77777777" w:rsidR="00005566" w:rsidRPr="00504AB2" w:rsidRDefault="00005566" w:rsidP="00BD0DD8">
                      <w:pPr>
                        <w:pStyle w:val="ListParagraph"/>
                        <w:numPr>
                          <w:ilvl w:val="0"/>
                          <w:numId w:val="23"/>
                        </w:numPr>
                      </w:pPr>
                      <w:r w:rsidRPr="00504AB2">
                        <w:t xml:space="preserve">Tobacco, obesity and alcohol use were all higher than the England average, as well as being higher in the most deprived. Physical activity levels were </w:t>
                      </w:r>
                      <w:r w:rsidRPr="00504AB2">
                        <w:t>similar to England overall.</w:t>
                      </w:r>
                    </w:p>
                    <w:p w14:paraId="12406221" w14:textId="565DEA53" w:rsidR="000A2849" w:rsidRPr="00504AB2" w:rsidRDefault="006525FD" w:rsidP="000A2849">
                      <w:pPr>
                        <w:rPr>
                          <w:b/>
                          <w:bCs/>
                        </w:rPr>
                      </w:pPr>
                      <w:r w:rsidRPr="00504AB2">
                        <w:rPr>
                          <w:b/>
                          <w:bCs/>
                        </w:rPr>
                        <w:t>Implications</w:t>
                      </w:r>
                    </w:p>
                    <w:p w14:paraId="599E0588" w14:textId="06559450" w:rsidR="006525FD" w:rsidRPr="00504AB2" w:rsidRDefault="00214FBC" w:rsidP="00BD0DD8">
                      <w:pPr>
                        <w:pStyle w:val="ListParagraph"/>
                        <w:numPr>
                          <w:ilvl w:val="0"/>
                          <w:numId w:val="24"/>
                        </w:numPr>
                      </w:pPr>
                      <w:r w:rsidRPr="00504AB2">
                        <w:t xml:space="preserve">The </w:t>
                      </w:r>
                      <w:r w:rsidR="00354D22" w:rsidRPr="00504AB2">
                        <w:t xml:space="preserve">high prevalence of long-term conditions </w:t>
                      </w:r>
                      <w:r w:rsidR="00D42A86" w:rsidRPr="00504AB2">
                        <w:t>may contribute to</w:t>
                      </w:r>
                      <w:r w:rsidR="000C4604" w:rsidRPr="00504AB2">
                        <w:t xml:space="preserve"> the higher-than-average mortality rates from these conditions. While there is likely further work to do for case-finding and early diagnosis of underdiagnosed conditions, this high prevalence shows that management of existing long-term conditions is an important part of reducing mortality rates. Further work in this area could include modelling of expected and observed prevalence to further identify where the ICB can have the biggest impact on different conditions. </w:t>
                      </w:r>
                      <w:r w:rsidR="0050009F" w:rsidRPr="00504AB2">
                        <w:t>Inequalities in prevalence rates should be considered throughout any further work in this area.</w:t>
                      </w:r>
                    </w:p>
                    <w:p w14:paraId="3F479C9E" w14:textId="1E65E24A" w:rsidR="000C4604" w:rsidRPr="00504AB2" w:rsidRDefault="0050009F" w:rsidP="00BD0DD8">
                      <w:pPr>
                        <w:pStyle w:val="ListParagraph"/>
                        <w:numPr>
                          <w:ilvl w:val="0"/>
                          <w:numId w:val="24"/>
                        </w:numPr>
                      </w:pPr>
                      <w:r w:rsidRPr="00504AB2">
                        <w:t>Similarly, above average rates of the most significant risk factors for high impact conditions</w:t>
                      </w:r>
                      <w:r w:rsidR="0082513A" w:rsidRPr="00504AB2">
                        <w:t xml:space="preserve">, particularly among the most deprived, indicate that </w:t>
                      </w:r>
                      <w:r w:rsidR="00FF6430" w:rsidRPr="00504AB2">
                        <w:t>focusing in this area could lead to reduced prevalence of those conditions.</w:t>
                      </w:r>
                    </w:p>
                    <w:p w14:paraId="519547AE" w14:textId="7BDEC344" w:rsidR="000C4604" w:rsidRPr="00504AB2" w:rsidRDefault="006525FD" w:rsidP="000C4604">
                      <w:pPr>
                        <w:pStyle w:val="ListParagraph"/>
                        <w:numPr>
                          <w:ilvl w:val="0"/>
                          <w:numId w:val="24"/>
                        </w:numPr>
                      </w:pPr>
                      <w:r w:rsidRPr="00504AB2">
                        <w:t>Mental health conditions often co-exist with physical health issues, compounding their impact and are disproportionately higher across LSC compared to England average and are even worse in disadvantaged and marginalised populations.</w:t>
                      </w:r>
                    </w:p>
                    <w:p w14:paraId="47FF0DDB" w14:textId="77777777" w:rsidR="007D6CC4" w:rsidRPr="00504AB2" w:rsidRDefault="007D6CC4" w:rsidP="007D6CC4"/>
                  </w:txbxContent>
                </v:textbox>
                <w10:wrap type="topAndBottom" anchorx="margin"/>
              </v:shape>
            </w:pict>
          </mc:Fallback>
        </mc:AlternateContent>
      </w:r>
      <w:r w:rsidRPr="00504AB2">
        <w:t>Health status and outcomes - summary and key points</w:t>
      </w:r>
      <w:bookmarkEnd w:id="86"/>
      <w:bookmarkEnd w:id="87"/>
      <w:bookmarkEnd w:id="88"/>
      <w:bookmarkEnd w:id="89"/>
    </w:p>
    <w:p w14:paraId="1CD97291" w14:textId="64CACE4E" w:rsidR="00C87068" w:rsidRPr="00504AB2" w:rsidRDefault="00C87068" w:rsidP="002A07FA">
      <w:pPr>
        <w:pStyle w:val="Heading1"/>
      </w:pPr>
      <w:bookmarkStart w:id="90" w:name="_Toc214446986"/>
      <w:bookmarkStart w:id="91" w:name="_Toc214447027"/>
      <w:bookmarkStart w:id="92" w:name="_Toc214460972"/>
      <w:bookmarkStart w:id="93" w:name="_Toc220937630"/>
      <w:r w:rsidRPr="00504AB2">
        <w:lastRenderedPageBreak/>
        <w:t>Existing patient engagement work</w:t>
      </w:r>
      <w:bookmarkEnd w:id="90"/>
      <w:bookmarkEnd w:id="91"/>
      <w:bookmarkEnd w:id="92"/>
      <w:bookmarkEnd w:id="93"/>
    </w:p>
    <w:p w14:paraId="1E0C84FE" w14:textId="2872229A" w:rsidR="00C87068" w:rsidRPr="00504AB2" w:rsidRDefault="00C87068" w:rsidP="00C93069">
      <w:pPr>
        <w:pStyle w:val="Heading2"/>
        <w:rPr>
          <w:u w:val="single"/>
        </w:rPr>
      </w:pPr>
      <w:bookmarkStart w:id="94" w:name="_Toc214447028"/>
      <w:bookmarkStart w:id="95" w:name="_Toc214460973"/>
      <w:bookmarkStart w:id="96" w:name="_Toc220937631"/>
      <w:r w:rsidRPr="00504AB2">
        <w:t>Summary of ICB wide engagement work</w:t>
      </w:r>
      <w:bookmarkEnd w:id="94"/>
      <w:bookmarkEnd w:id="95"/>
      <w:bookmarkEnd w:id="96"/>
    </w:p>
    <w:p w14:paraId="76762141" w14:textId="2E10D118" w:rsidR="00BC6563" w:rsidRPr="00504AB2" w:rsidRDefault="00BC6563" w:rsidP="00247954">
      <w:pPr>
        <w:pStyle w:val="HNAHeader1"/>
        <w:ind w:left="360"/>
      </w:pPr>
      <w:r w:rsidRPr="00504AB2">
        <w:rPr>
          <w:noProof/>
        </w:rPr>
        <w:drawing>
          <wp:inline distT="0" distB="0" distL="0" distR="0" wp14:anchorId="4B7B419B" wp14:editId="661CA9BB">
            <wp:extent cx="5520266" cy="2135635"/>
            <wp:effectExtent l="0" t="0" r="4445" b="0"/>
            <wp:docPr id="1535177792" name="Picture 1">
              <a:extLst xmlns:a="http://schemas.openxmlformats.org/drawingml/2006/main">
                <a:ext uri="{FF2B5EF4-FFF2-40B4-BE49-F238E27FC236}">
                  <a16:creationId xmlns:a16="http://schemas.microsoft.com/office/drawing/2014/main" id="{CC7D7375-BAEB-4D94-8E2D-B49DC2CAD9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6687" cy="2138119"/>
                    </a:xfrm>
                    <a:prstGeom prst="rect">
                      <a:avLst/>
                    </a:prstGeom>
                    <a:noFill/>
                  </pic:spPr>
                </pic:pic>
              </a:graphicData>
            </a:graphic>
          </wp:inline>
        </w:drawing>
      </w:r>
    </w:p>
    <w:p w14:paraId="4AB138C1" w14:textId="2CE6BAD1" w:rsidR="00247954" w:rsidRPr="00247954" w:rsidRDefault="00247954" w:rsidP="002A07FA">
      <w:pPr>
        <w:pStyle w:val="HNAHeader1"/>
      </w:pPr>
      <w:r w:rsidRPr="00504AB2">
        <w:t>In 2024-25, Lancashire and South Cumbria ICB communications and engagement team gathered a significant amount of insight in relation to people's experiences of services provided in acute, primary care and community settings. When analysing these insights, there were some consistent themes raised throughout.</w:t>
      </w:r>
    </w:p>
    <w:p w14:paraId="0BDB25AC" w14:textId="0CE23476" w:rsidR="00247954" w:rsidRPr="00504AB2" w:rsidRDefault="00247954" w:rsidP="002A07FA">
      <w:pPr>
        <w:pStyle w:val="Heading3"/>
      </w:pPr>
      <w:r w:rsidRPr="00504AB2">
        <w:rPr>
          <w:rFonts w:ascii="Arial" w:hAnsi="Arial" w:cs="Arial"/>
        </w:rPr>
        <w:t>​</w:t>
      </w:r>
      <w:r w:rsidRPr="00504AB2">
        <w:t>Accessibility</w:t>
      </w:r>
    </w:p>
    <w:p w14:paraId="7140FDFD" w14:textId="77777777" w:rsidR="00247954" w:rsidRPr="00247954" w:rsidRDefault="00247954" w:rsidP="002A07FA">
      <w:pPr>
        <w:pStyle w:val="HNAHeader1"/>
      </w:pPr>
      <w:r w:rsidRPr="00504AB2">
        <w:t xml:space="preserve">Accessibility of services was a theme throughout engagement work. Inadequate provision of urgent care and walk-in centres, particularly in areas of deprivation, was an element of this theme. Also mentioned </w:t>
      </w:r>
      <w:proofErr w:type="gramStart"/>
      <w:r w:rsidRPr="00504AB2">
        <w:t>was</w:t>
      </w:r>
      <w:proofErr w:type="gramEnd"/>
      <w:r w:rsidRPr="00504AB2">
        <w:t xml:space="preserve"> issues with poor public transport options to access healthcare, particularly but not exclusively for people in rural or remote areas. </w:t>
      </w:r>
    </w:p>
    <w:p w14:paraId="655CD030" w14:textId="5D034BE3" w:rsidR="00247954" w:rsidRPr="00504AB2" w:rsidRDefault="00247954" w:rsidP="002A07FA">
      <w:pPr>
        <w:pStyle w:val="Heading3"/>
      </w:pPr>
      <w:r w:rsidRPr="00504AB2">
        <w:t>Navigating services</w:t>
      </w:r>
    </w:p>
    <w:p w14:paraId="34ABB640" w14:textId="77777777" w:rsidR="00247954" w:rsidRPr="00247954" w:rsidRDefault="00247954" w:rsidP="002A07FA">
      <w:pPr>
        <w:pStyle w:val="HNAHeader1"/>
      </w:pPr>
      <w:r w:rsidRPr="00504AB2">
        <w:t xml:space="preserve">Being able to navigate the healthcare system effectively was a common barrier for respondents. It was felt that there are too many layers of complexity within services, compounded by unclear and sometimes contradictory communication. </w:t>
      </w:r>
    </w:p>
    <w:p w14:paraId="3A7B95E8" w14:textId="62832612" w:rsidR="00247954" w:rsidRPr="00504AB2" w:rsidRDefault="00247954" w:rsidP="002A07FA">
      <w:pPr>
        <w:pStyle w:val="Heading3"/>
      </w:pPr>
      <w:r w:rsidRPr="00504AB2">
        <w:t>Joined up, integrated care</w:t>
      </w:r>
    </w:p>
    <w:p w14:paraId="3232CB43" w14:textId="77777777" w:rsidR="00247954" w:rsidRPr="00247954" w:rsidRDefault="00247954" w:rsidP="002A07FA">
      <w:pPr>
        <w:pStyle w:val="HNAHeader1"/>
      </w:pPr>
      <w:r w:rsidRPr="00504AB2">
        <w:t>Respondents highly valued consistency in their providers and services. When patients get to see the same GP for each appointment, this tends to reflect better on satisfaction scores. There is also a strong desire for care to be joined up and coordinated, including improved coordination with medical records to avoid patients repeating medical histories, smoother transitions between services, and better coordination of appointments.</w:t>
      </w:r>
    </w:p>
    <w:p w14:paraId="61AC84FB" w14:textId="5C585BE0" w:rsidR="00247954" w:rsidRPr="00504AB2" w:rsidRDefault="00247954" w:rsidP="002A07FA">
      <w:pPr>
        <w:pStyle w:val="Heading3"/>
      </w:pPr>
      <w:r w:rsidRPr="00504AB2">
        <w:t>Technology and digital</w:t>
      </w:r>
    </w:p>
    <w:p w14:paraId="32768181" w14:textId="77777777" w:rsidR="00247954" w:rsidRPr="00247954" w:rsidRDefault="00247954" w:rsidP="002A07FA">
      <w:pPr>
        <w:pStyle w:val="HNAHeader1"/>
      </w:pPr>
      <w:r w:rsidRPr="00504AB2">
        <w:t xml:space="preserve">There were mixed opinions on the increasing use of digital tools in healthcare. Some had a positive attitude towards it, with many respondents already using digital tools in their care and finding them to be useful. Others felt it could be a barrier rather than an </w:t>
      </w:r>
      <w:r w:rsidRPr="00504AB2">
        <w:lastRenderedPageBreak/>
        <w:t>enables for those less confident with technology, and the incompatibility of IT systems across different providers was raised as a concern.</w:t>
      </w:r>
    </w:p>
    <w:p w14:paraId="0752F00F" w14:textId="44C98A53" w:rsidR="00247954" w:rsidRPr="00504AB2" w:rsidRDefault="00247954" w:rsidP="002A07FA">
      <w:pPr>
        <w:pStyle w:val="Heading3"/>
      </w:pPr>
      <w:r w:rsidRPr="00504AB2">
        <w:t>Quality of services</w:t>
      </w:r>
    </w:p>
    <w:p w14:paraId="11BCE374" w14:textId="4E814713" w:rsidR="00247954" w:rsidRPr="00247954" w:rsidRDefault="00247954" w:rsidP="002A07FA">
      <w:pPr>
        <w:pStyle w:val="HNAHeader1"/>
      </w:pPr>
      <w:r w:rsidRPr="00504AB2">
        <w:t>Concerns raised around waiting times, lack of capacity and being able to get GP appointments easily were all priority areas for respondents. They felt these issues would lead to more people going to A&amp;E and lead to a further increase in waiting times. There were also concerns raised about staffing and resource allocation, particularly in A&amp;E and care home settings.</w:t>
      </w:r>
    </w:p>
    <w:p w14:paraId="0F3F23C4" w14:textId="3E6B4587" w:rsidR="00B57E1F" w:rsidRDefault="00B57E1F" w:rsidP="00C93069">
      <w:pPr>
        <w:pStyle w:val="Heading2"/>
      </w:pPr>
      <w:bookmarkStart w:id="97" w:name="_Toc214447029"/>
      <w:bookmarkStart w:id="98" w:name="_Toc214460974"/>
      <w:bookmarkStart w:id="99" w:name="_Toc220937632"/>
      <w:r>
        <w:t>GP Patient Survey 2025</w:t>
      </w:r>
      <w:bookmarkEnd w:id="97"/>
      <w:bookmarkEnd w:id="98"/>
      <w:bookmarkEnd w:id="99"/>
    </w:p>
    <w:p w14:paraId="16CBC54F" w14:textId="665C2354" w:rsidR="00B57E1F" w:rsidRDefault="00B57E1F" w:rsidP="00B57E1F">
      <w:r>
        <w:t xml:space="preserve">The results of the GP Patient Survey 2025 were published in July 2025 and reflect on people’s experience of healthcare services provided by GP surgeries, including access to GPs, making appointments, the quality of care received from GPs and practice nurses, satisfaction with opening hours and out-of-hours NHS services. The results also capture current attitudes to pharmacy and dental services. </w:t>
      </w:r>
    </w:p>
    <w:p w14:paraId="225D3494" w14:textId="77777777" w:rsidR="00B57E1F" w:rsidRDefault="00B57E1F" w:rsidP="00B57E1F">
      <w:r>
        <w:t xml:space="preserve">In Lancashire and South Cumbria, the survey was completed by 22,201 people – a 27 per cent response rate of the 83,553 surveys that were sent out. Nationally the survey results have not been compared to last year due to changes in the questions </w:t>
      </w:r>
      <w:proofErr w:type="gramStart"/>
      <w:r>
        <w:t>and also</w:t>
      </w:r>
      <w:proofErr w:type="gramEnd"/>
      <w:r>
        <w:t xml:space="preserve"> a change in methodology to an ‘online first’ approach. However, for the purposes of this document, where the same questions have been asked as last year, comparative data has been included. </w:t>
      </w:r>
    </w:p>
    <w:p w14:paraId="42302130" w14:textId="77777777" w:rsidR="00B57E1F" w:rsidRDefault="00B57E1F" w:rsidP="00B57E1F">
      <w:r>
        <w:t xml:space="preserve">In line with the trend in 2023 and 2024, results have been relatively stable and only show minor fluctuation in places, mostly with a slight improvement. In </w:t>
      </w:r>
      <w:proofErr w:type="gramStart"/>
      <w:r>
        <w:t>the majority of</w:t>
      </w:r>
      <w:proofErr w:type="gramEnd"/>
      <w:r>
        <w:t xml:space="preserve"> questions, the Lancashire and South Cumbria score is above the national average. </w:t>
      </w:r>
    </w:p>
    <w:p w14:paraId="2C4CA453" w14:textId="77777777" w:rsidR="00B57E1F" w:rsidRDefault="00B57E1F" w:rsidP="00B57E1F">
      <w:r>
        <w:t xml:space="preserve">More than three quarters of the respondents are positive about their GP care – with 78% rating their overall experience of their GP surgery as good or very good (compared to 75% nationally). This is the same as last year but is still lower than the 84 per cent recorded in 2020 and 2021. </w:t>
      </w:r>
    </w:p>
    <w:p w14:paraId="5B8DCF63" w14:textId="77777777" w:rsidR="00B57E1F" w:rsidRDefault="00B57E1F" w:rsidP="00B57E1F">
      <w:r>
        <w:t xml:space="preserve">The use of online services has increase once more. The number of people saying they booked an appointment online has risen to 41% - which is three per cent more than last year. </w:t>
      </w:r>
      <w:proofErr w:type="gramStart"/>
      <w:r>
        <w:t>However</w:t>
      </w:r>
      <w:proofErr w:type="gramEnd"/>
      <w:r>
        <w:t xml:space="preserve"> this is below the national average of 45%. Ordering prescriptions online is up two per cent 47% and more people are accessing their patient records online (25%, up from 18% last year). </w:t>
      </w:r>
      <w:proofErr w:type="gramStart"/>
      <w:r>
        <w:t>Twenty eight</w:t>
      </w:r>
      <w:proofErr w:type="gramEnd"/>
      <w:r>
        <w:t xml:space="preserve"> per cent have not used online services for anything, which is a five per cent reduction from last year. </w:t>
      </w:r>
    </w:p>
    <w:p w14:paraId="6A59E5B9" w14:textId="77777777" w:rsidR="00B57E1F" w:rsidRDefault="00B57E1F" w:rsidP="00B57E1F"/>
    <w:p w14:paraId="15CEE578" w14:textId="77777777" w:rsidR="00B57E1F" w:rsidRDefault="00B57E1F" w:rsidP="00B57E1F">
      <w:r>
        <w:t xml:space="preserve"> </w:t>
      </w:r>
    </w:p>
    <w:p w14:paraId="3D45D85A" w14:textId="77777777" w:rsidR="00B57E1F" w:rsidRDefault="00B57E1F" w:rsidP="00B57E1F"/>
    <w:p w14:paraId="3B89D188" w14:textId="77777777" w:rsidR="00B57E1F" w:rsidRDefault="00B57E1F" w:rsidP="00B57E1F">
      <w:r>
        <w:lastRenderedPageBreak/>
        <w:t xml:space="preserve">In terms of experiences of contacting their GP practice, 57% of respondents in Lancashire and South Cumbria said it was very or </w:t>
      </w:r>
      <w:proofErr w:type="gramStart"/>
      <w:r>
        <w:t>fairly easy</w:t>
      </w:r>
      <w:proofErr w:type="gramEnd"/>
      <w:r>
        <w:t xml:space="preserve"> to get through to someone at their GP surgery on the phone (up two per cent from last year). This is four per cent higher than the national average. Overall experiences of contacting the GP practice were rated as good by 73% of respondents. This is three per cent better and last year and three per cent above the national average. </w:t>
      </w:r>
    </w:p>
    <w:p w14:paraId="24B0B24F" w14:textId="77777777" w:rsidR="00B57E1F" w:rsidRDefault="00B57E1F" w:rsidP="00B57E1F">
      <w:r>
        <w:t xml:space="preserve">Additionally, when asked about the last time they tried to contact their surgery, 71% reported they did so over the phone, which is five per cent down on last year but three per cent  higher than the national average.  </w:t>
      </w:r>
    </w:p>
    <w:p w14:paraId="591E287F" w14:textId="77777777" w:rsidR="00B57E1F" w:rsidRDefault="00B57E1F" w:rsidP="00B57E1F">
      <w:r>
        <w:t xml:space="preserve">Perceptions of care were almost identical to last year. There was no change in the number of respondents who felt health professionals were good at listening to them (88%), those who had confidence and trust in their health professional (93%) and felt their needs were med (91%). The number of people who said they were treated with care and concern dipped by one per cent to 86%. Seven in 10 said they had enough support from local services to manage their conditions, which was also the same as last year but one per cent above the national average. </w:t>
      </w:r>
    </w:p>
    <w:p w14:paraId="264094E5" w14:textId="77777777" w:rsidR="00B57E1F" w:rsidRDefault="00B57E1F" w:rsidP="00B57E1F">
      <w:r>
        <w:t xml:space="preserve">Experience of services when GP practices were closed was rated as very or </w:t>
      </w:r>
      <w:proofErr w:type="gramStart"/>
      <w:r>
        <w:t>fairly good</w:t>
      </w:r>
      <w:proofErr w:type="gramEnd"/>
      <w:r>
        <w:t xml:space="preserve"> by 63% of people, which is a five per cent increase from last year and represents a 15% jump over the past two years. </w:t>
      </w:r>
    </w:p>
    <w:p w14:paraId="0CF3D9C2" w14:textId="4C57FFD3" w:rsidR="00B57E1F" w:rsidRPr="00B57E1F" w:rsidRDefault="00B57E1F" w:rsidP="00B57E1F">
      <w:r>
        <w:t xml:space="preserve">Regarding other primary care services, 90% rated their experience of pharmacy as very or </w:t>
      </w:r>
      <w:proofErr w:type="gramStart"/>
      <w:r>
        <w:t>fairly good</w:t>
      </w:r>
      <w:proofErr w:type="gramEnd"/>
      <w:r>
        <w:t xml:space="preserve"> (two per cent better than last year and one per cent above national average) and 72% rated their dentist as very or </w:t>
      </w:r>
      <w:proofErr w:type="gramStart"/>
      <w:r>
        <w:t>fairly good</w:t>
      </w:r>
      <w:proofErr w:type="gramEnd"/>
      <w:r>
        <w:t>, which was three per cent better than last year and one per cent above the national average.</w:t>
      </w:r>
    </w:p>
    <w:p w14:paraId="2A3D33D2" w14:textId="05702187" w:rsidR="00C87068" w:rsidRPr="00504AB2" w:rsidRDefault="00C87068" w:rsidP="00C93069">
      <w:pPr>
        <w:pStyle w:val="Heading2"/>
        <w:rPr>
          <w:u w:val="single"/>
        </w:rPr>
      </w:pPr>
      <w:bookmarkStart w:id="100" w:name="_Toc214447030"/>
      <w:bookmarkStart w:id="101" w:name="_Toc214460975"/>
      <w:bookmarkStart w:id="102" w:name="_Toc220937633"/>
      <w:r w:rsidRPr="00504AB2">
        <w:t>Core20 UEC usage</w:t>
      </w:r>
      <w:bookmarkEnd w:id="100"/>
      <w:bookmarkEnd w:id="101"/>
      <w:bookmarkEnd w:id="102"/>
    </w:p>
    <w:p w14:paraId="34BDE351" w14:textId="77777777" w:rsidR="004C5A42" w:rsidRPr="00504AB2" w:rsidRDefault="004C5A42" w:rsidP="002A07FA">
      <w:pPr>
        <w:pStyle w:val="HNAHeader1"/>
      </w:pPr>
      <w:r w:rsidRPr="00504AB2">
        <w:t>Analysis by NHS Right Care and Prof. Chris Bentley in 2018 showed a direct correlation between the index of multiple deprivation (IMD) score of an electoral ward and the rate of unplanned hospital admissions.  The more deprived the ward, the greater the rate of admission. Further, the analysis showed a level of variation, suggesting that this pattern could be influenced and the rate potentially reduced.  Wards with a high level of deprivation but relatively low levels of unplanned hospital admission were termed “exemplar wards”, those conversely with very high rates of admission were termed “priority wards”. </w:t>
      </w:r>
    </w:p>
    <w:p w14:paraId="49F26584" w14:textId="2F953870" w:rsidR="004C5A42" w:rsidRPr="004C5A42" w:rsidRDefault="004C5A42" w:rsidP="004C5A42">
      <w:pPr>
        <w:pStyle w:val="HNAHeader1"/>
        <w:ind w:left="360"/>
      </w:pPr>
      <w:r w:rsidRPr="004C5A42">
        <w:rPr>
          <w:noProof/>
        </w:rPr>
        <w:lastRenderedPageBreak/>
        <w:drawing>
          <wp:inline distT="0" distB="0" distL="0" distR="0" wp14:anchorId="0AA2F583" wp14:editId="2922ABA5">
            <wp:extent cx="5731510" cy="3531235"/>
            <wp:effectExtent l="0" t="0" r="2540" b="0"/>
            <wp:docPr id="1026" name="Picture 2" descr="Chart 1, Chart element">
              <a:extLst xmlns:a="http://schemas.openxmlformats.org/drawingml/2006/main">
                <a:ext uri="{FF2B5EF4-FFF2-40B4-BE49-F238E27FC236}">
                  <a16:creationId xmlns:a16="http://schemas.microsoft.com/office/drawing/2014/main" id="{6A6290F7-B965-4698-A283-972D0C191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hart 1, Chart element">
                      <a:extLst>
                        <a:ext uri="{FF2B5EF4-FFF2-40B4-BE49-F238E27FC236}">
                          <a16:creationId xmlns:a16="http://schemas.microsoft.com/office/drawing/2014/main" id="{6304ED03-FB31-8568-FBA9-5DDECC7BF1D0}"/>
                        </a:ext>
                      </a:extLs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3531235"/>
                    </a:xfrm>
                    <a:prstGeom prst="rect">
                      <a:avLst/>
                    </a:prstGeom>
                    <a:noFill/>
                  </pic:spPr>
                </pic:pic>
              </a:graphicData>
            </a:graphic>
          </wp:inline>
        </w:drawing>
      </w:r>
    </w:p>
    <w:p w14:paraId="73C67ADB" w14:textId="77777777" w:rsidR="004C5A42" w:rsidRPr="004C5A42" w:rsidRDefault="004C5A42" w:rsidP="002A07FA">
      <w:pPr>
        <w:pStyle w:val="HNAHeader1"/>
      </w:pPr>
      <w:r w:rsidRPr="00504AB2">
        <w:t>The analysis for Lancashire and South Cumbria showed that there were 33 electoral wards with high levels of unplanned admissions that were also among the 20% most deprived wards. The ICB carried out analysis and engagement work to understand these wards in more detail. Within each ward, the ICB worked closely with partners to analyse the data we held and reviewed existing evidence and research. The ICB then worked with trusted VCFSE partners to engage with and listen to the residents of these wards. Findings from this analysis and engagement work were wide ranging and complex, but there are some key themes identified. </w:t>
      </w:r>
    </w:p>
    <w:p w14:paraId="20641AFF" w14:textId="77777777" w:rsidR="004C5A42" w:rsidRPr="004C5A42" w:rsidRDefault="004C5A42" w:rsidP="002A07FA">
      <w:pPr>
        <w:pStyle w:val="HNAHeader1"/>
      </w:pPr>
      <w:r w:rsidRPr="00504AB2">
        <w:t>Demographic factors and disease prevalence were relevant in all wards. Priority wards had high concentrations of health inclusion groups, particularly people from black and minority ethnic background. It was also found that the highest prevalence of multiple long-term conditions was in these wards - notably CVD, respiratory, diabetes, cancer and depression.</w:t>
      </w:r>
    </w:p>
    <w:p w14:paraId="3B6C70CB" w14:textId="77777777" w:rsidR="004C5A42" w:rsidRPr="004C5A42" w:rsidRDefault="004C5A42" w:rsidP="002A07FA">
      <w:pPr>
        <w:pStyle w:val="HNAHeader1"/>
      </w:pPr>
      <w:r w:rsidRPr="00504AB2">
        <w:t>A recurring finding through the engagement work was how significantly physical and mental health is shaped by the wider determinants of health. Housing, education, employment, crime, physical and cultural environment shape health, influence attitude, behaviour, and approach to service use. It was found that cost of living increases in recent years have exacerbated these issues.  It undermined capacity to stay healthy and well (e.g., diet, heating, damp), directly affected mental health and personal wellbeing. It also impacted on how patients accessed services - particularly through phone or digital access due to costs. </w:t>
      </w:r>
    </w:p>
    <w:p w14:paraId="4A2FF283" w14:textId="77777777" w:rsidR="004C5A42" w:rsidRPr="004C5A42" w:rsidRDefault="004C5A42" w:rsidP="002A07FA">
      <w:pPr>
        <w:pStyle w:val="HNAHeader1"/>
      </w:pPr>
      <w:r w:rsidRPr="00504AB2">
        <w:lastRenderedPageBreak/>
        <w:t>There was a consistent lack of awareness of the full NHS &amp; social care offer and how to access it, often coupled with low levels of health and digital literacy. Residents did not understand the different professional staff roles that exist, and low health literacy also meant that residents lacked confidence in managing symptoms independently without seeking assurance.</w:t>
      </w:r>
    </w:p>
    <w:p w14:paraId="2C777278" w14:textId="77777777" w:rsidR="004C5A42" w:rsidRPr="004C5A42" w:rsidRDefault="004C5A42" w:rsidP="002A07FA">
      <w:pPr>
        <w:pStyle w:val="HNAHeader1"/>
      </w:pPr>
      <w:r w:rsidRPr="00504AB2">
        <w:t xml:space="preserve">Service provision and design was the final main theme. In some places, there were significant gaps in the service offer to these communities, like lack of dental capacity, poor primary care access, and lack of access to specialist pathways like weight management support. Geographic factors and the centralisation of services was another concern, as problems with travel like limited finance and poor access to cars were more common in these communities. Fragmented service provision with unclear hand off between service leads meant that service users did not understand how to navigate services effectively. People in these communities were less likely to have the time and necessary knowledge that </w:t>
      </w:r>
      <w:proofErr w:type="gramStart"/>
      <w:r w:rsidRPr="00504AB2">
        <w:t>less</w:t>
      </w:r>
      <w:proofErr w:type="gramEnd"/>
      <w:r w:rsidRPr="00504AB2">
        <w:t xml:space="preserve"> disadvantaged people might have when navigating the health system. Related to this, when physical and mental health problems within these wards didn’t meet the threshold for accessing NHS services, it was difficult for these communities to meet their needs elsewhere. Although the VCFSE sector does support these needs, funding is often limited and short term, leading to fragmented and inequitable support. </w:t>
      </w:r>
    </w:p>
    <w:p w14:paraId="31B3937B" w14:textId="28E32037" w:rsidR="004C5A42" w:rsidRDefault="004C5A42" w:rsidP="00A85C47">
      <w:pPr>
        <w:pStyle w:val="HNAHeader1"/>
      </w:pPr>
      <w:r w:rsidRPr="00504AB2">
        <w:t>Overall, there is a misalignment between the services we offer and the needs of the community.  In terms of their scope, approach, and method of access.  Service offers needed to be multiagency and holistic, relational and not paternalistic, and designed for community specific needs, accessible in a way that works for the population.  </w:t>
      </w:r>
    </w:p>
    <w:p w14:paraId="2F258FED" w14:textId="4091D90E" w:rsidR="00125AF4" w:rsidRDefault="00125AF4" w:rsidP="00125AF4">
      <w:pPr>
        <w:pStyle w:val="Heading2"/>
      </w:pPr>
      <w:bookmarkStart w:id="103" w:name="_Toc214447031"/>
      <w:bookmarkStart w:id="104" w:name="_Toc214460976"/>
      <w:bookmarkStart w:id="105" w:name="_Toc220937634"/>
      <w:r>
        <w:t>Other engagement work</w:t>
      </w:r>
      <w:r w:rsidR="00FF0E69">
        <w:t>, reports and health needs assessments</w:t>
      </w:r>
      <w:bookmarkEnd w:id="103"/>
      <w:bookmarkEnd w:id="104"/>
      <w:bookmarkEnd w:id="105"/>
    </w:p>
    <w:p w14:paraId="5EE4340D" w14:textId="63D2BCFA" w:rsidR="00125AF4" w:rsidRDefault="00125AF4" w:rsidP="00125AF4">
      <w:r>
        <w:t xml:space="preserve">There is a wealth of </w:t>
      </w:r>
      <w:r w:rsidR="00BC3EDB">
        <w:t xml:space="preserve">more focused engagement </w:t>
      </w:r>
      <w:r>
        <w:t>work done by both the ICB</w:t>
      </w:r>
      <w:r w:rsidR="00BC3EDB">
        <w:t xml:space="preserve">, </w:t>
      </w:r>
      <w:r>
        <w:t>local Healthwatch organisations</w:t>
      </w:r>
      <w:r w:rsidR="00BC3EDB">
        <w:t xml:space="preserve"> and other groups</w:t>
      </w:r>
      <w:r>
        <w:t xml:space="preserve"> across Lancashire and South Cumbria</w:t>
      </w:r>
      <w:r w:rsidR="00BC3EDB">
        <w:t>, and they cannot all be summarised here. For reference, some of these reports include:</w:t>
      </w:r>
    </w:p>
    <w:p w14:paraId="5A03CCD1" w14:textId="2EE04CEA" w:rsidR="00005D81" w:rsidRDefault="00005D81" w:rsidP="00BD0DD8">
      <w:pPr>
        <w:pStyle w:val="ListParagraph"/>
        <w:numPr>
          <w:ilvl w:val="0"/>
          <w:numId w:val="28"/>
        </w:numPr>
      </w:pPr>
      <w:r>
        <w:t xml:space="preserve">Women’s health </w:t>
      </w:r>
      <w:r w:rsidR="000719D7">
        <w:t>– multiple smaller, focused pieces of engagement work with specific populations across L&amp;SC.</w:t>
      </w:r>
    </w:p>
    <w:p w14:paraId="543F936F" w14:textId="399C9AA3" w:rsidR="000719D7" w:rsidRDefault="000719D7" w:rsidP="00BD0DD8">
      <w:pPr>
        <w:pStyle w:val="ListParagraph"/>
        <w:numPr>
          <w:ilvl w:val="0"/>
          <w:numId w:val="28"/>
        </w:numPr>
      </w:pPr>
      <w:r>
        <w:t>Annual adult and children JSNA from LCC</w:t>
      </w:r>
      <w:r w:rsidR="00A753DB">
        <w:t>.</w:t>
      </w:r>
    </w:p>
    <w:p w14:paraId="4DC8E3AF" w14:textId="599EBBEF" w:rsidR="000719D7" w:rsidRDefault="000719D7" w:rsidP="00BD0DD8">
      <w:pPr>
        <w:pStyle w:val="ListParagraph"/>
        <w:numPr>
          <w:ilvl w:val="0"/>
          <w:numId w:val="28"/>
        </w:numPr>
      </w:pPr>
      <w:r>
        <w:t>Regularly updated JSNA updates from other local authorities</w:t>
      </w:r>
      <w:r w:rsidR="00A753DB">
        <w:t>.</w:t>
      </w:r>
    </w:p>
    <w:p w14:paraId="72B97E5F" w14:textId="12E0EADC" w:rsidR="000719D7" w:rsidRDefault="000719D7" w:rsidP="00BD0DD8">
      <w:pPr>
        <w:pStyle w:val="ListParagraph"/>
        <w:numPr>
          <w:ilvl w:val="0"/>
          <w:numId w:val="28"/>
        </w:numPr>
      </w:pPr>
      <w:r>
        <w:t xml:space="preserve">Reports from Healthwatch Lancashire, Blackpool, Blackburn with Darwen </w:t>
      </w:r>
      <w:r w:rsidR="00A753DB">
        <w:t>and Westmoreland and Furness.</w:t>
      </w:r>
    </w:p>
    <w:p w14:paraId="2FCFF056" w14:textId="4602E64C" w:rsidR="00FF0E69" w:rsidRDefault="00FF0E69" w:rsidP="00BD0DD8">
      <w:pPr>
        <w:pStyle w:val="ListParagraph"/>
        <w:numPr>
          <w:ilvl w:val="0"/>
          <w:numId w:val="28"/>
        </w:numPr>
      </w:pPr>
      <w:r>
        <w:t>Get Lancashire Working</w:t>
      </w:r>
      <w:r w:rsidR="00A753DB">
        <w:t xml:space="preserve"> report</w:t>
      </w:r>
    </w:p>
    <w:p w14:paraId="11D7546A" w14:textId="3AAA3500" w:rsidR="00A85C47" w:rsidRPr="00504AB2" w:rsidRDefault="00A85C47" w:rsidP="00A85C47">
      <w:pPr>
        <w:pStyle w:val="Style1"/>
      </w:pPr>
      <w:bookmarkStart w:id="106" w:name="_Toc214446987"/>
      <w:bookmarkStart w:id="107" w:name="_Toc214447032"/>
      <w:bookmarkStart w:id="108" w:name="_Toc214460977"/>
      <w:bookmarkStart w:id="109" w:name="_Toc220937635"/>
      <w:r w:rsidRPr="00504AB2">
        <w:rPr>
          <w:noProof/>
        </w:rPr>
        <w:lastRenderedPageBreak/>
        <mc:AlternateContent>
          <mc:Choice Requires="wps">
            <w:drawing>
              <wp:anchor distT="45720" distB="45720" distL="114300" distR="114300" simplePos="0" relativeHeight="251652608" behindDoc="0" locked="0" layoutInCell="1" allowOverlap="1" wp14:anchorId="0CCE2C92" wp14:editId="03DCADB3">
                <wp:simplePos x="0" y="0"/>
                <wp:positionH relativeFrom="margin">
                  <wp:align>left</wp:align>
                </wp:positionH>
                <wp:positionV relativeFrom="paragraph">
                  <wp:posOffset>400685</wp:posOffset>
                </wp:positionV>
                <wp:extent cx="5689600" cy="5962015"/>
                <wp:effectExtent l="0" t="0" r="25400" b="19685"/>
                <wp:wrapTopAndBottom/>
                <wp:docPr id="301112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962389"/>
                        </a:xfrm>
                        <a:prstGeom prst="rect">
                          <a:avLst/>
                        </a:prstGeom>
                        <a:solidFill>
                          <a:schemeClr val="tx2">
                            <a:lumMod val="10000"/>
                            <a:lumOff val="90000"/>
                          </a:schemeClr>
                        </a:solidFill>
                        <a:ln w="9525">
                          <a:solidFill>
                            <a:srgbClr val="000000"/>
                          </a:solidFill>
                          <a:miter lim="800000"/>
                          <a:headEnd/>
                          <a:tailEnd/>
                        </a:ln>
                      </wps:spPr>
                      <wps:txbx>
                        <w:txbxContent>
                          <w:p w14:paraId="6F947508" w14:textId="7F60837D" w:rsidR="00E176F6" w:rsidRPr="00504AB2" w:rsidRDefault="00E176F6" w:rsidP="00E176F6">
                            <w:pPr>
                              <w:ind w:left="360" w:hanging="360"/>
                            </w:pPr>
                            <w:r w:rsidRPr="00504AB2">
                              <w:t>Engagement work conducted across the ICB found:</w:t>
                            </w:r>
                          </w:p>
                          <w:p w14:paraId="0136D3B9" w14:textId="7973C5F9" w:rsidR="00864DBF" w:rsidRPr="00504AB2" w:rsidRDefault="00864DBF" w:rsidP="00BD0DD8">
                            <w:pPr>
                              <w:pStyle w:val="ListParagraph"/>
                              <w:numPr>
                                <w:ilvl w:val="0"/>
                                <w:numId w:val="25"/>
                              </w:numPr>
                            </w:pPr>
                            <w:r w:rsidRPr="00504AB2">
                              <w:t xml:space="preserve">Access to health services is not consistently good across Lancashire and South Cumbria due to significant challenges, including </w:t>
                            </w:r>
                            <w:r w:rsidR="0058774D" w:rsidRPr="00504AB2">
                              <w:t xml:space="preserve">poverty and </w:t>
                            </w:r>
                            <w:r w:rsidRPr="00504AB2">
                              <w:t>high deprivation, staffing shortages, funding pressures, and wide variations in health outcomes and access across different communities. These issues are exacerbated by an aging population and the lingering effects of the COVID-19 pandemic.</w:t>
                            </w:r>
                          </w:p>
                          <w:p w14:paraId="388D2FCD" w14:textId="77777777" w:rsidR="00FF1869" w:rsidRPr="00504AB2" w:rsidRDefault="00FD7B43" w:rsidP="00BD0DD8">
                            <w:pPr>
                              <w:pStyle w:val="ListParagraph"/>
                              <w:numPr>
                                <w:ilvl w:val="0"/>
                                <w:numId w:val="25"/>
                              </w:numPr>
                            </w:pPr>
                            <w:r w:rsidRPr="00504AB2">
                              <w:t>Primary care access</w:t>
                            </w:r>
                            <w:r w:rsidR="00530A9E" w:rsidRPr="00504AB2">
                              <w:t xml:space="preserve"> – particularly </w:t>
                            </w:r>
                            <w:r w:rsidR="005E0575" w:rsidRPr="00504AB2">
                              <w:t xml:space="preserve">GP settings and dental – is </w:t>
                            </w:r>
                            <w:r w:rsidRPr="00504AB2">
                              <w:t>a challenge in disadvantaged communities in Lancashire and South Cumbria. Initiatives are underway to improve this, including the</w:t>
                            </w:r>
                            <w:r w:rsidR="00FF1869" w:rsidRPr="00504AB2">
                              <w:t xml:space="preserve"> following:</w:t>
                            </w:r>
                          </w:p>
                          <w:p w14:paraId="723C640E" w14:textId="30E814FD" w:rsidR="00A85C47" w:rsidRPr="00504AB2" w:rsidRDefault="00FF1869" w:rsidP="00BD0DD8">
                            <w:pPr>
                              <w:pStyle w:val="ListParagraph"/>
                              <w:numPr>
                                <w:ilvl w:val="1"/>
                                <w:numId w:val="25"/>
                              </w:numPr>
                            </w:pPr>
                            <w:r w:rsidRPr="00504AB2">
                              <w:t>N</w:t>
                            </w:r>
                            <w:r w:rsidR="00FD7B43" w:rsidRPr="00504AB2">
                              <w:t>ational Neighbourhood Health Implementation Programme, which aims to bring more services closer to home in areas such as Blackburn with Darwen and Morecambe Bay.</w:t>
                            </w:r>
                          </w:p>
                          <w:p w14:paraId="2B662681" w14:textId="39B9DE8B" w:rsidR="00FF1869" w:rsidRPr="00504AB2" w:rsidRDefault="00940789" w:rsidP="00BD0DD8">
                            <w:pPr>
                              <w:pStyle w:val="ListParagraph"/>
                              <w:numPr>
                                <w:ilvl w:val="1"/>
                                <w:numId w:val="25"/>
                              </w:numPr>
                            </w:pPr>
                            <w:r w:rsidRPr="00504AB2">
                              <w:t xml:space="preserve">Modern General Practice </w:t>
                            </w:r>
                          </w:p>
                          <w:p w14:paraId="19E86541" w14:textId="2E9790F5" w:rsidR="007601CA" w:rsidRPr="00504AB2" w:rsidRDefault="007601CA" w:rsidP="00BD0DD8">
                            <w:pPr>
                              <w:pStyle w:val="ListParagraph"/>
                              <w:numPr>
                                <w:ilvl w:val="1"/>
                                <w:numId w:val="25"/>
                              </w:numPr>
                            </w:pPr>
                            <w:r w:rsidRPr="00504AB2">
                              <w:t>Oral Health improvement programme</w:t>
                            </w:r>
                          </w:p>
                          <w:p w14:paraId="063E9078" w14:textId="4DC8288F" w:rsidR="00EB4973" w:rsidRPr="00504AB2" w:rsidRDefault="00EB4973" w:rsidP="00BD0DD8">
                            <w:pPr>
                              <w:pStyle w:val="ListParagraph"/>
                              <w:numPr>
                                <w:ilvl w:val="1"/>
                                <w:numId w:val="25"/>
                              </w:numPr>
                            </w:pPr>
                            <w:r w:rsidRPr="00504AB2">
                              <w:t>Pharmacy First programme</w:t>
                            </w:r>
                          </w:p>
                          <w:p w14:paraId="692F14B6" w14:textId="2111EF1B" w:rsidR="00577D69" w:rsidRPr="00504AB2" w:rsidRDefault="0039339C" w:rsidP="00BD0DD8">
                            <w:pPr>
                              <w:pStyle w:val="ListParagraph"/>
                              <w:numPr>
                                <w:ilvl w:val="0"/>
                                <w:numId w:val="25"/>
                              </w:numPr>
                            </w:pPr>
                            <w:r w:rsidRPr="00504AB2">
                              <w:t>S</w:t>
                            </w:r>
                            <w:r w:rsidRPr="00504AB2">
                              <w:rPr>
                                <w:rFonts w:eastAsiaTheme="minorEastAsia"/>
                              </w:rPr>
                              <w:t>ome individuals struggle to access services due to barriers such as digital literacy, lack of broadband, or transportation issues, and may not be aware of the services available to them.</w:t>
                            </w:r>
                          </w:p>
                          <w:p w14:paraId="296FDF71" w14:textId="65D1C195" w:rsidR="00E176F6" w:rsidRPr="00504AB2" w:rsidRDefault="00E176F6" w:rsidP="00E176F6">
                            <w:pPr>
                              <w:rPr>
                                <w:b/>
                                <w:bCs/>
                              </w:rPr>
                            </w:pPr>
                            <w:r w:rsidRPr="00504AB2">
                              <w:rPr>
                                <w:b/>
                                <w:bCs/>
                              </w:rPr>
                              <w:t>Considerations:</w:t>
                            </w:r>
                          </w:p>
                          <w:p w14:paraId="6E8564DF" w14:textId="67B47A3D" w:rsidR="00E176F6" w:rsidRPr="00504AB2" w:rsidRDefault="00E176F6" w:rsidP="00BD0DD8">
                            <w:pPr>
                              <w:pStyle w:val="ListParagraph"/>
                              <w:numPr>
                                <w:ilvl w:val="0"/>
                                <w:numId w:val="26"/>
                              </w:numPr>
                            </w:pPr>
                            <w:r w:rsidRPr="00504AB2">
                              <w:t xml:space="preserve">Community engagement work is vital for any proposed changes to services. Understanding the needs of a specific population group means that barriers to access can be planned for and reduced, and experience and outcome can be improved. </w:t>
                            </w:r>
                          </w:p>
                          <w:p w14:paraId="10BF1E22" w14:textId="5583F47B" w:rsidR="00853526" w:rsidRPr="00504AB2" w:rsidRDefault="00E622D7" w:rsidP="00BD0DD8">
                            <w:pPr>
                              <w:pStyle w:val="ListParagraph"/>
                              <w:numPr>
                                <w:ilvl w:val="0"/>
                                <w:numId w:val="26"/>
                              </w:numPr>
                            </w:pPr>
                            <w:r w:rsidRPr="00504AB2">
                              <w:t>Understand t</w:t>
                            </w:r>
                            <w:r w:rsidR="00853526" w:rsidRPr="00504AB2">
                              <w:t xml:space="preserve">he community and the wider supporting VCSFE have the solutions to the problems, and </w:t>
                            </w:r>
                            <w:r w:rsidR="00DD5137" w:rsidRPr="00504AB2">
                              <w:t>the ICB must work closely alongside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E2C92" id="_x0000_s1052" type="#_x0000_t202" style="position:absolute;margin-left:0;margin-top:31.55pt;width:448pt;height:469.45pt;z-index:251652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" fillcolor="#dceaf7 [351]">
                <v:textbox>
                  <w:txbxContent>
                    <w:p w14:paraId="6F947508" w14:textId="7F60837D" w:rsidR="00E176F6" w:rsidRPr="00504AB2" w:rsidRDefault="00E176F6" w:rsidP="00E176F6">
                      <w:pPr>
                        <w:ind w:left="360" w:hanging="360"/>
                      </w:pPr>
                      <w:r w:rsidRPr="00504AB2">
                        <w:t>Engagement work conducted across the ICB found:</w:t>
                      </w:r>
                    </w:p>
                    <w:p w14:paraId="0136D3B9" w14:textId="7973C5F9" w:rsidR="00864DBF" w:rsidRPr="00504AB2" w:rsidRDefault="00864DBF" w:rsidP="00BD0DD8">
                      <w:pPr>
                        <w:pStyle w:val="ListParagraph"/>
                        <w:numPr>
                          <w:ilvl w:val="0"/>
                          <w:numId w:val="25"/>
                        </w:numPr>
                      </w:pPr>
                      <w:r w:rsidRPr="00504AB2">
                        <w:t xml:space="preserve">Access to health services is not consistently good across Lancashire and South Cumbria due to significant challenges, including </w:t>
                      </w:r>
                      <w:r w:rsidR="0058774D" w:rsidRPr="00504AB2">
                        <w:t xml:space="preserve">poverty and </w:t>
                      </w:r>
                      <w:r w:rsidRPr="00504AB2">
                        <w:t>high deprivation, staffing shortages, funding pressures, and wide variations in health outcomes and access across different communities. These issues are exacerbated by an aging population and the lingering effects of the COVID-19 pandemic.</w:t>
                      </w:r>
                    </w:p>
                    <w:p w14:paraId="388D2FCD" w14:textId="77777777" w:rsidR="00FF1869" w:rsidRPr="00504AB2" w:rsidRDefault="00FD7B43" w:rsidP="00BD0DD8">
                      <w:pPr>
                        <w:pStyle w:val="ListParagraph"/>
                        <w:numPr>
                          <w:ilvl w:val="0"/>
                          <w:numId w:val="25"/>
                        </w:numPr>
                      </w:pPr>
                      <w:r w:rsidRPr="00504AB2">
                        <w:t>Primary care access</w:t>
                      </w:r>
                      <w:r w:rsidR="00530A9E" w:rsidRPr="00504AB2">
                        <w:t xml:space="preserve"> – particularly </w:t>
                      </w:r>
                      <w:r w:rsidR="005E0575" w:rsidRPr="00504AB2">
                        <w:t xml:space="preserve">GP settings and dental – is </w:t>
                      </w:r>
                      <w:r w:rsidRPr="00504AB2">
                        <w:t>a challenge in disadvantaged communities in Lancashire and South Cumbria. Initiatives are underway to improve this, including the</w:t>
                      </w:r>
                      <w:r w:rsidR="00FF1869" w:rsidRPr="00504AB2">
                        <w:t xml:space="preserve"> following:</w:t>
                      </w:r>
                    </w:p>
                    <w:p w14:paraId="723C640E" w14:textId="30E814FD" w:rsidR="00A85C47" w:rsidRPr="00504AB2" w:rsidRDefault="00FF1869" w:rsidP="00BD0DD8">
                      <w:pPr>
                        <w:pStyle w:val="ListParagraph"/>
                        <w:numPr>
                          <w:ilvl w:val="1"/>
                          <w:numId w:val="25"/>
                        </w:numPr>
                      </w:pPr>
                      <w:r w:rsidRPr="00504AB2">
                        <w:t>N</w:t>
                      </w:r>
                      <w:r w:rsidR="00FD7B43" w:rsidRPr="00504AB2">
                        <w:t>ational Neighbourhood Health Implementation Programme, which aims to bring more services closer to home in areas such as Blackburn with Darwen and Morecambe Bay.</w:t>
                      </w:r>
                    </w:p>
                    <w:p w14:paraId="2B662681" w14:textId="39B9DE8B" w:rsidR="00FF1869" w:rsidRPr="00504AB2" w:rsidRDefault="00940789" w:rsidP="00BD0DD8">
                      <w:pPr>
                        <w:pStyle w:val="ListParagraph"/>
                        <w:numPr>
                          <w:ilvl w:val="1"/>
                          <w:numId w:val="25"/>
                        </w:numPr>
                      </w:pPr>
                      <w:r w:rsidRPr="00504AB2">
                        <w:t xml:space="preserve">Modern General Practice </w:t>
                      </w:r>
                    </w:p>
                    <w:p w14:paraId="19E86541" w14:textId="2E9790F5" w:rsidR="007601CA" w:rsidRPr="00504AB2" w:rsidRDefault="007601CA" w:rsidP="00BD0DD8">
                      <w:pPr>
                        <w:pStyle w:val="ListParagraph"/>
                        <w:numPr>
                          <w:ilvl w:val="1"/>
                          <w:numId w:val="25"/>
                        </w:numPr>
                      </w:pPr>
                      <w:r w:rsidRPr="00504AB2">
                        <w:t>Oral Health improvement programme</w:t>
                      </w:r>
                    </w:p>
                    <w:p w14:paraId="063E9078" w14:textId="4DC8288F" w:rsidR="00EB4973" w:rsidRPr="00504AB2" w:rsidRDefault="00EB4973" w:rsidP="00BD0DD8">
                      <w:pPr>
                        <w:pStyle w:val="ListParagraph"/>
                        <w:numPr>
                          <w:ilvl w:val="1"/>
                          <w:numId w:val="25"/>
                        </w:numPr>
                      </w:pPr>
                      <w:r w:rsidRPr="00504AB2">
                        <w:t>Pharmacy First programme</w:t>
                      </w:r>
                    </w:p>
                    <w:p w14:paraId="692F14B6" w14:textId="2111EF1B" w:rsidR="00577D69" w:rsidRPr="00504AB2" w:rsidRDefault="0039339C" w:rsidP="00BD0DD8">
                      <w:pPr>
                        <w:pStyle w:val="ListParagraph"/>
                        <w:numPr>
                          <w:ilvl w:val="0"/>
                          <w:numId w:val="25"/>
                        </w:numPr>
                      </w:pPr>
                      <w:r w:rsidRPr="00504AB2">
                        <w:t>S</w:t>
                      </w:r>
                      <w:r w:rsidRPr="00504AB2">
                        <w:rPr>
                          <w:rFonts w:eastAsiaTheme="minorEastAsia"/>
                        </w:rPr>
                        <w:t>ome individuals struggle to access services due to barriers such as digital literacy, lack of broadband, or transportation issues, and may not be aware of the services available to them.</w:t>
                      </w:r>
                    </w:p>
                    <w:p w14:paraId="296FDF71" w14:textId="65D1C195" w:rsidR="00E176F6" w:rsidRPr="00504AB2" w:rsidRDefault="00E176F6" w:rsidP="00E176F6">
                      <w:pPr>
                        <w:rPr>
                          <w:b/>
                          <w:bCs/>
                        </w:rPr>
                      </w:pPr>
                      <w:r w:rsidRPr="00504AB2">
                        <w:rPr>
                          <w:b/>
                          <w:bCs/>
                        </w:rPr>
                        <w:t>Considerations:</w:t>
                      </w:r>
                    </w:p>
                    <w:p w14:paraId="6E8564DF" w14:textId="67B47A3D" w:rsidR="00E176F6" w:rsidRPr="00504AB2" w:rsidRDefault="00E176F6" w:rsidP="00BD0DD8">
                      <w:pPr>
                        <w:pStyle w:val="ListParagraph"/>
                        <w:numPr>
                          <w:ilvl w:val="0"/>
                          <w:numId w:val="26"/>
                        </w:numPr>
                      </w:pPr>
                      <w:r w:rsidRPr="00504AB2">
                        <w:t xml:space="preserve">Community engagement work is vital for any proposed changes to services. Understanding the needs of a specific population group means that barriers to access can be planned for and reduced, and experience and outcome can be improved. </w:t>
                      </w:r>
                    </w:p>
                    <w:p w14:paraId="10BF1E22" w14:textId="5583F47B" w:rsidR="00853526" w:rsidRPr="00504AB2" w:rsidRDefault="00E622D7" w:rsidP="00BD0DD8">
                      <w:pPr>
                        <w:pStyle w:val="ListParagraph"/>
                        <w:numPr>
                          <w:ilvl w:val="0"/>
                          <w:numId w:val="26"/>
                        </w:numPr>
                      </w:pPr>
                      <w:r w:rsidRPr="00504AB2">
                        <w:t>Understand t</w:t>
                      </w:r>
                      <w:r w:rsidR="00853526" w:rsidRPr="00504AB2">
                        <w:t xml:space="preserve">he community and the wider supporting VCSFE have the solutions to the problems, and </w:t>
                      </w:r>
                      <w:r w:rsidR="00DD5137" w:rsidRPr="00504AB2">
                        <w:t>the ICB must work closely alongside them.</w:t>
                      </w:r>
                    </w:p>
                  </w:txbxContent>
                </v:textbox>
                <w10:wrap type="topAndBottom" anchorx="margin"/>
              </v:shape>
            </w:pict>
          </mc:Fallback>
        </mc:AlternateContent>
      </w:r>
      <w:r w:rsidRPr="00504AB2">
        <w:t xml:space="preserve">Engagement work - summary and </w:t>
      </w:r>
      <w:r w:rsidR="009C0E2C" w:rsidRPr="00504AB2">
        <w:t>considerations</w:t>
      </w:r>
      <w:bookmarkEnd w:id="106"/>
      <w:bookmarkEnd w:id="107"/>
      <w:bookmarkEnd w:id="108"/>
      <w:bookmarkEnd w:id="109"/>
    </w:p>
    <w:p w14:paraId="50907CE5" w14:textId="77777777" w:rsidR="00A85C47" w:rsidRPr="00504AB2" w:rsidRDefault="00A85C47" w:rsidP="0506F239">
      <w:pPr>
        <w:pStyle w:val="HNAHeader1"/>
        <w:rPr>
          <w:b/>
          <w:bCs/>
          <w:u w:val="single"/>
        </w:rPr>
      </w:pPr>
    </w:p>
    <w:p w14:paraId="6BB58968" w14:textId="77777777" w:rsidR="00A85C47" w:rsidRDefault="00A85C47" w:rsidP="0506F239">
      <w:pPr>
        <w:pStyle w:val="HNAHeader1"/>
        <w:rPr>
          <w:b/>
          <w:bCs/>
          <w:u w:val="single"/>
        </w:rPr>
      </w:pPr>
    </w:p>
    <w:p w14:paraId="18277351" w14:textId="77777777" w:rsidR="00362BD7" w:rsidRDefault="00362BD7" w:rsidP="0506F239">
      <w:pPr>
        <w:pStyle w:val="HNAHeader1"/>
        <w:rPr>
          <w:b/>
          <w:bCs/>
          <w:u w:val="single"/>
        </w:rPr>
      </w:pPr>
    </w:p>
    <w:p w14:paraId="0746C20C" w14:textId="77777777" w:rsidR="00362BD7" w:rsidRDefault="00362BD7" w:rsidP="0506F239">
      <w:pPr>
        <w:pStyle w:val="HNAHeader1"/>
        <w:rPr>
          <w:b/>
          <w:bCs/>
          <w:u w:val="single"/>
        </w:rPr>
      </w:pPr>
    </w:p>
    <w:p w14:paraId="0DFD9AF4" w14:textId="77777777" w:rsidR="00335D21" w:rsidRPr="00504AB2" w:rsidRDefault="00335D21" w:rsidP="0506F239">
      <w:pPr>
        <w:pStyle w:val="HNAHeader1"/>
        <w:rPr>
          <w:b/>
          <w:bCs/>
          <w:u w:val="single"/>
        </w:rPr>
      </w:pPr>
    </w:p>
    <w:p w14:paraId="72276C65" w14:textId="690FC270" w:rsidR="495D3098" w:rsidRDefault="495D3098" w:rsidP="495D3098">
      <w:pPr>
        <w:pStyle w:val="HNAHeader1"/>
        <w:rPr>
          <w:b/>
          <w:bCs/>
          <w:u w:val="single"/>
        </w:rPr>
      </w:pPr>
    </w:p>
    <w:p w14:paraId="2F721BB4" w14:textId="592551A0" w:rsidR="495D3098" w:rsidRPr="00DD7CEA" w:rsidRDefault="495D3098" w:rsidP="495D3098">
      <w:pPr>
        <w:pStyle w:val="HNAHeader1"/>
        <w:rPr>
          <w:b/>
          <w:bCs/>
          <w:u w:val="single"/>
        </w:rPr>
      </w:pPr>
    </w:p>
    <w:p w14:paraId="6FD28996" w14:textId="3402CBFC" w:rsidR="4F1F382B" w:rsidRDefault="4F1F382B" w:rsidP="4F1F382B">
      <w:pPr>
        <w:pStyle w:val="HNAHeader1"/>
        <w:rPr>
          <w:b/>
          <w:bCs/>
          <w:u w:val="single"/>
        </w:rPr>
      </w:pPr>
    </w:p>
    <w:p w14:paraId="3C7F813E" w14:textId="21F86286" w:rsidR="120A028C" w:rsidRPr="00E45462" w:rsidRDefault="120A028C" w:rsidP="00E45462">
      <w:pPr>
        <w:pStyle w:val="Heading1"/>
      </w:pPr>
      <w:bookmarkStart w:id="110" w:name="_Toc214446988"/>
      <w:bookmarkStart w:id="111" w:name="_Toc214447033"/>
      <w:bookmarkStart w:id="112" w:name="_Toc214460978"/>
      <w:bookmarkStart w:id="113" w:name="_Toc220937636"/>
      <w:r w:rsidRPr="00E45462">
        <w:lastRenderedPageBreak/>
        <w:t>Summar</w:t>
      </w:r>
      <w:r w:rsidR="60EEC275" w:rsidRPr="00E45462">
        <w:t>y</w:t>
      </w:r>
      <w:r w:rsidR="07AFB020" w:rsidRPr="00E45462">
        <w:t xml:space="preserve"> &amp; Recommendations</w:t>
      </w:r>
      <w:bookmarkEnd w:id="110"/>
      <w:bookmarkEnd w:id="111"/>
      <w:bookmarkEnd w:id="112"/>
      <w:bookmarkEnd w:id="113"/>
    </w:p>
    <w:p w14:paraId="11C54F1C" w14:textId="28CD7625" w:rsidR="60EEC275" w:rsidRDefault="60EEC275" w:rsidP="00E45462">
      <w:pPr>
        <w:pStyle w:val="Heading2"/>
      </w:pPr>
      <w:bookmarkStart w:id="114" w:name="_Toc220937637"/>
      <w:r w:rsidRPr="009893F4">
        <w:t>Conclusions</w:t>
      </w:r>
      <w:bookmarkEnd w:id="114"/>
    </w:p>
    <w:p w14:paraId="0CB63ECC" w14:textId="406446BC" w:rsidR="06414A80" w:rsidRPr="00B50DE0" w:rsidRDefault="06414A80" w:rsidP="00281F21">
      <w:pPr>
        <w:shd w:val="clear" w:color="auto" w:fill="FFFFFF" w:themeFill="background1"/>
        <w:spacing w:after="150" w:line="276" w:lineRule="auto"/>
        <w:rPr>
          <w:rFonts w:eastAsiaTheme="minorEastAsia"/>
        </w:rPr>
      </w:pPr>
      <w:r w:rsidRPr="00B50DE0">
        <w:rPr>
          <w:rFonts w:eastAsiaTheme="minorEastAsia"/>
        </w:rPr>
        <w:t xml:space="preserve">This </w:t>
      </w:r>
      <w:r w:rsidR="00281F21">
        <w:rPr>
          <w:rFonts w:eastAsiaTheme="minorEastAsia"/>
        </w:rPr>
        <w:t>Health N</w:t>
      </w:r>
      <w:r w:rsidRPr="00B50DE0">
        <w:rPr>
          <w:rFonts w:eastAsiaTheme="minorEastAsia"/>
        </w:rPr>
        <w:t xml:space="preserve">eeds </w:t>
      </w:r>
      <w:r w:rsidR="00281F21">
        <w:rPr>
          <w:rFonts w:eastAsiaTheme="minorEastAsia"/>
        </w:rPr>
        <w:t>A</w:t>
      </w:r>
      <w:r w:rsidRPr="00B50DE0">
        <w:rPr>
          <w:rFonts w:eastAsiaTheme="minorEastAsia"/>
        </w:rPr>
        <w:t>ssessment has highlighted some of the challenges and disparities faced by people and services across Lancashire and South Cumbria in a combination of the following areas:</w:t>
      </w:r>
    </w:p>
    <w:p w14:paraId="7417BA3D" w14:textId="5B37110D" w:rsidR="06414A80" w:rsidRPr="00B50DE0" w:rsidRDefault="004812DC" w:rsidP="00BD0DD8">
      <w:pPr>
        <w:pStyle w:val="ListParagraph"/>
        <w:numPr>
          <w:ilvl w:val="0"/>
          <w:numId w:val="27"/>
        </w:numPr>
        <w:shd w:val="clear" w:color="auto" w:fill="FFFFFF" w:themeFill="background1"/>
        <w:spacing w:after="0" w:line="276" w:lineRule="auto"/>
        <w:rPr>
          <w:rFonts w:eastAsiaTheme="minorEastAsia"/>
        </w:rPr>
      </w:pPr>
      <w:r>
        <w:rPr>
          <w:rFonts w:eastAsiaTheme="minorEastAsia"/>
        </w:rPr>
        <w:t>An increasingly</w:t>
      </w:r>
      <w:r w:rsidR="06414A80" w:rsidRPr="00B50DE0">
        <w:rPr>
          <w:rFonts w:eastAsiaTheme="minorEastAsia"/>
        </w:rPr>
        <w:t xml:space="preserve"> aging population</w:t>
      </w:r>
      <w:r w:rsidR="06414A80" w:rsidRPr="00B50DE0">
        <w:rPr>
          <w:rFonts w:eastAsiaTheme="minorEastAsia"/>
          <w:b/>
          <w:bCs/>
        </w:rPr>
        <w:t xml:space="preserve"> </w:t>
      </w:r>
      <w:r w:rsidR="06414A80" w:rsidRPr="00B50DE0">
        <w:rPr>
          <w:rFonts w:eastAsiaTheme="minorEastAsia"/>
        </w:rPr>
        <w:t xml:space="preserve">which will </w:t>
      </w:r>
      <w:r w:rsidR="00425067">
        <w:rPr>
          <w:rFonts w:eastAsiaTheme="minorEastAsia"/>
        </w:rPr>
        <w:t>heighten</w:t>
      </w:r>
      <w:r w:rsidR="06414A80" w:rsidRPr="00B50DE0">
        <w:rPr>
          <w:rFonts w:eastAsiaTheme="minorEastAsia"/>
        </w:rPr>
        <w:t xml:space="preserve"> demand and pressure on all health and social care services</w:t>
      </w:r>
      <w:r w:rsidR="00425067">
        <w:rPr>
          <w:rFonts w:eastAsiaTheme="minorEastAsia"/>
        </w:rPr>
        <w:t xml:space="preserve">. </w:t>
      </w:r>
    </w:p>
    <w:p w14:paraId="0CBE4B69" w14:textId="77722E42" w:rsidR="06414A80" w:rsidRDefault="00116F57" w:rsidP="00BD0DD8">
      <w:pPr>
        <w:pStyle w:val="ListParagraph"/>
        <w:numPr>
          <w:ilvl w:val="0"/>
          <w:numId w:val="27"/>
        </w:numPr>
        <w:shd w:val="clear" w:color="auto" w:fill="FFFFFF" w:themeFill="background1"/>
        <w:spacing w:after="0" w:line="276" w:lineRule="auto"/>
        <w:rPr>
          <w:rFonts w:eastAsiaTheme="minorEastAsia"/>
        </w:rPr>
      </w:pPr>
      <w:r w:rsidRPr="00B50DE0">
        <w:rPr>
          <w:rFonts w:eastAsiaTheme="minorEastAsia"/>
        </w:rPr>
        <w:t>S</w:t>
      </w:r>
      <w:r w:rsidR="06414A80" w:rsidRPr="00B50DE0">
        <w:rPr>
          <w:rFonts w:eastAsiaTheme="minorEastAsia"/>
        </w:rPr>
        <w:t>ome of the worst health inequalities in the country</w:t>
      </w:r>
      <w:r w:rsidRPr="00B50DE0">
        <w:rPr>
          <w:rFonts w:eastAsiaTheme="minorEastAsia"/>
        </w:rPr>
        <w:t xml:space="preserve">. </w:t>
      </w:r>
      <w:r w:rsidR="06414A80" w:rsidRPr="00B50DE0">
        <w:rPr>
          <w:rFonts w:eastAsiaTheme="minorEastAsia"/>
        </w:rPr>
        <w:t xml:space="preserve">There are significant disparities in life expectancy between our poorer communities and more affluent </w:t>
      </w:r>
      <w:r w:rsidRPr="00B50DE0">
        <w:rPr>
          <w:rFonts w:eastAsiaTheme="minorEastAsia"/>
        </w:rPr>
        <w:t>ones,</w:t>
      </w:r>
      <w:r w:rsidR="06414A80" w:rsidRPr="00B50DE0">
        <w:rPr>
          <w:rFonts w:eastAsiaTheme="minorEastAsia"/>
        </w:rPr>
        <w:t xml:space="preserve"> particularly for cardiovascular</w:t>
      </w:r>
      <w:r w:rsidRPr="00B50DE0">
        <w:rPr>
          <w:rFonts w:eastAsiaTheme="minorEastAsia"/>
        </w:rPr>
        <w:t xml:space="preserve"> disease</w:t>
      </w:r>
      <w:r w:rsidR="06414A80" w:rsidRPr="00B50DE0">
        <w:rPr>
          <w:rFonts w:eastAsiaTheme="minorEastAsia"/>
        </w:rPr>
        <w:t>, respiratory illnesses</w:t>
      </w:r>
      <w:r w:rsidR="51B42C32" w:rsidRPr="3D8996A2">
        <w:rPr>
          <w:rFonts w:eastAsiaTheme="minorEastAsia"/>
        </w:rPr>
        <w:t>, cancer</w:t>
      </w:r>
      <w:r w:rsidR="06414A80" w:rsidRPr="00B50DE0">
        <w:rPr>
          <w:rFonts w:eastAsiaTheme="minorEastAsia"/>
        </w:rPr>
        <w:t xml:space="preserve"> and mental health conditions. </w:t>
      </w:r>
    </w:p>
    <w:p w14:paraId="5A06A434" w14:textId="1FFE9399" w:rsidR="00DF10F0" w:rsidRPr="00DF10F0" w:rsidRDefault="524209F4" w:rsidP="00BD0DD8">
      <w:pPr>
        <w:pStyle w:val="ListParagraph"/>
        <w:numPr>
          <w:ilvl w:val="0"/>
          <w:numId w:val="27"/>
        </w:numPr>
        <w:shd w:val="clear" w:color="auto" w:fill="FFFFFF" w:themeFill="background1"/>
        <w:spacing w:after="0" w:line="276" w:lineRule="auto"/>
        <w:rPr>
          <w:rFonts w:eastAsiaTheme="minorEastAsia"/>
        </w:rPr>
      </w:pPr>
      <w:r w:rsidRPr="517600A3">
        <w:rPr>
          <w:rFonts w:eastAsiaTheme="minorEastAsia"/>
        </w:rPr>
        <w:t xml:space="preserve">Factors such as child poverty, psychological trauma, employment, education, housing quality and cultural barriers are </w:t>
      </w:r>
      <w:r w:rsidR="5B808434" w:rsidRPr="517600A3">
        <w:rPr>
          <w:rFonts w:eastAsiaTheme="minorEastAsia"/>
        </w:rPr>
        <w:t xml:space="preserve">stark and fundamental </w:t>
      </w:r>
      <w:r w:rsidRPr="517600A3">
        <w:rPr>
          <w:rFonts w:eastAsiaTheme="minorEastAsia"/>
        </w:rPr>
        <w:t>key drivers of inequalities.</w:t>
      </w:r>
    </w:p>
    <w:p w14:paraId="7C3C94BF" w14:textId="552073C8" w:rsidR="4848DD95" w:rsidRDefault="4848DD95" w:rsidP="517600A3">
      <w:pPr>
        <w:pStyle w:val="ListParagraph"/>
        <w:numPr>
          <w:ilvl w:val="0"/>
          <w:numId w:val="27"/>
        </w:numPr>
        <w:shd w:val="clear" w:color="auto" w:fill="FFFFFF" w:themeFill="background1"/>
        <w:spacing w:after="0" w:line="276" w:lineRule="auto"/>
      </w:pPr>
      <w:r w:rsidRPr="517600A3">
        <w:rPr>
          <w:rFonts w:eastAsiaTheme="minorEastAsia"/>
        </w:rPr>
        <w:t>A higher-than-average prevalence of</w:t>
      </w:r>
      <w:r w:rsidR="17D94088" w:rsidRPr="517600A3">
        <w:rPr>
          <w:rFonts w:eastAsiaTheme="minorEastAsia"/>
        </w:rPr>
        <w:t xml:space="preserve"> adverse</w:t>
      </w:r>
      <w:r w:rsidRPr="517600A3">
        <w:rPr>
          <w:rFonts w:eastAsiaTheme="minorEastAsia"/>
        </w:rPr>
        <w:t xml:space="preserve"> </w:t>
      </w:r>
      <w:r w:rsidR="2A8B1527" w:rsidRPr="517600A3">
        <w:rPr>
          <w:rFonts w:eastAsiaTheme="minorEastAsia"/>
        </w:rPr>
        <w:t>lifestyle</w:t>
      </w:r>
      <w:r w:rsidR="2A8B1527">
        <w:t xml:space="preserve"> risk factors that are particularly impactful in terms of mortality and years lived with disability. This is </w:t>
      </w:r>
      <w:r w:rsidR="7BCF60D5">
        <w:t>particularly worse in poorer communities.</w:t>
      </w:r>
    </w:p>
    <w:p w14:paraId="06CA9665" w14:textId="09383150" w:rsidR="06414A80" w:rsidRPr="00B50DE0" w:rsidRDefault="00937EAA" w:rsidP="00BD0DD8">
      <w:pPr>
        <w:pStyle w:val="ListParagraph"/>
        <w:numPr>
          <w:ilvl w:val="0"/>
          <w:numId w:val="27"/>
        </w:numPr>
        <w:shd w:val="clear" w:color="auto" w:fill="FFFFFF" w:themeFill="background1"/>
        <w:spacing w:after="0" w:line="276" w:lineRule="auto"/>
        <w:rPr>
          <w:rFonts w:eastAsiaTheme="minorEastAsia"/>
        </w:rPr>
      </w:pPr>
      <w:r w:rsidRPr="009893F4">
        <w:rPr>
          <w:rFonts w:eastAsiaTheme="minorEastAsia"/>
        </w:rPr>
        <w:t>A</w:t>
      </w:r>
      <w:r w:rsidR="06414A80" w:rsidRPr="009893F4">
        <w:rPr>
          <w:rFonts w:eastAsiaTheme="minorEastAsia"/>
        </w:rPr>
        <w:t xml:space="preserve"> higher-than-average prevalence of chronic conditions and </w:t>
      </w:r>
      <w:r w:rsidR="039BB770" w:rsidRPr="009893F4">
        <w:rPr>
          <w:rFonts w:eastAsiaTheme="minorEastAsia"/>
        </w:rPr>
        <w:t>multimorbidity, such</w:t>
      </w:r>
      <w:r w:rsidR="06414A80" w:rsidRPr="009893F4">
        <w:rPr>
          <w:rFonts w:eastAsiaTheme="minorEastAsia"/>
        </w:rPr>
        <w:t xml:space="preserve"> as cardiovascular disease,</w:t>
      </w:r>
      <w:r w:rsidR="00951B2E" w:rsidRPr="009893F4">
        <w:rPr>
          <w:rFonts w:eastAsiaTheme="minorEastAsia"/>
        </w:rPr>
        <w:t xml:space="preserve"> chronic</w:t>
      </w:r>
      <w:r w:rsidR="06414A80" w:rsidRPr="009893F4">
        <w:rPr>
          <w:rFonts w:eastAsiaTheme="minorEastAsia"/>
        </w:rPr>
        <w:t xml:space="preserve"> respiratory diseases, dementia, liver disease, psychological trauma</w:t>
      </w:r>
      <w:r w:rsidR="552FDE00" w:rsidRPr="009893F4">
        <w:rPr>
          <w:rFonts w:eastAsiaTheme="minorEastAsia"/>
        </w:rPr>
        <w:t>, cancer</w:t>
      </w:r>
      <w:r w:rsidR="06414A80" w:rsidRPr="009893F4">
        <w:rPr>
          <w:rFonts w:eastAsiaTheme="minorEastAsia"/>
        </w:rPr>
        <w:t xml:space="preserve"> and mental health problems. </w:t>
      </w:r>
      <w:r w:rsidR="00F4142C" w:rsidRPr="009893F4">
        <w:rPr>
          <w:rFonts w:eastAsiaTheme="minorEastAsia"/>
        </w:rPr>
        <w:t>T</w:t>
      </w:r>
      <w:r w:rsidR="006D55BE" w:rsidRPr="009893F4">
        <w:rPr>
          <w:rFonts w:eastAsiaTheme="minorEastAsia"/>
        </w:rPr>
        <w:t xml:space="preserve">his contributes to a </w:t>
      </w:r>
      <w:r w:rsidRPr="009893F4">
        <w:rPr>
          <w:rFonts w:eastAsiaTheme="minorEastAsia"/>
        </w:rPr>
        <w:t>higher-than-average</w:t>
      </w:r>
      <w:r w:rsidR="006D55BE" w:rsidRPr="009893F4">
        <w:rPr>
          <w:rFonts w:eastAsiaTheme="minorEastAsia"/>
        </w:rPr>
        <w:t xml:space="preserve"> </w:t>
      </w:r>
      <w:r w:rsidR="00100C08" w:rsidRPr="009893F4">
        <w:rPr>
          <w:rFonts w:eastAsiaTheme="minorEastAsia"/>
        </w:rPr>
        <w:t xml:space="preserve">mortality rate both </w:t>
      </w:r>
      <w:r w:rsidRPr="009893F4">
        <w:rPr>
          <w:rFonts w:eastAsiaTheme="minorEastAsia"/>
        </w:rPr>
        <w:t>overall and per condition</w:t>
      </w:r>
      <w:r w:rsidR="00100C08" w:rsidRPr="009893F4">
        <w:rPr>
          <w:rFonts w:eastAsiaTheme="minorEastAsia"/>
        </w:rPr>
        <w:t>.</w:t>
      </w:r>
    </w:p>
    <w:p w14:paraId="4D3A56CC" w14:textId="06033B17" w:rsidR="001064F0" w:rsidRPr="001064F0" w:rsidRDefault="00301F05" w:rsidP="00BD0DD8">
      <w:pPr>
        <w:pStyle w:val="ListParagraph"/>
        <w:numPr>
          <w:ilvl w:val="0"/>
          <w:numId w:val="27"/>
        </w:numPr>
        <w:shd w:val="clear" w:color="auto" w:fill="FFFFFF" w:themeFill="background1"/>
        <w:spacing w:after="0" w:line="276" w:lineRule="auto"/>
        <w:rPr>
          <w:rFonts w:eastAsiaTheme="minorEastAsia"/>
        </w:rPr>
      </w:pPr>
      <w:r w:rsidRPr="009893F4">
        <w:rPr>
          <w:rFonts w:eastAsiaTheme="minorEastAsia"/>
        </w:rPr>
        <w:t>Inconsistent and inequitable a</w:t>
      </w:r>
      <w:r w:rsidR="06414A80" w:rsidRPr="009893F4">
        <w:rPr>
          <w:rFonts w:eastAsiaTheme="minorEastAsia"/>
        </w:rPr>
        <w:t xml:space="preserve">ccess to </w:t>
      </w:r>
      <w:r w:rsidR="6C508438" w:rsidRPr="009893F4">
        <w:rPr>
          <w:rFonts w:eastAsiaTheme="minorEastAsia"/>
        </w:rPr>
        <w:t>some primary care services (such as G.P &amp; dental)</w:t>
      </w:r>
      <w:r w:rsidR="06414A80" w:rsidRPr="009893F4">
        <w:rPr>
          <w:rFonts w:ascii="Aptos Display" w:eastAsia="Aptos Display" w:hAnsi="Aptos Display" w:cs="Aptos Display"/>
          <w:sz w:val="22"/>
          <w:szCs w:val="22"/>
        </w:rPr>
        <w:t xml:space="preserve"> </w:t>
      </w:r>
      <w:r w:rsidR="06414A80" w:rsidRPr="009893F4">
        <w:rPr>
          <w:rFonts w:eastAsiaTheme="minorEastAsia"/>
        </w:rPr>
        <w:t>due to significant challenges</w:t>
      </w:r>
      <w:r w:rsidR="0048575A" w:rsidRPr="009893F4">
        <w:rPr>
          <w:rFonts w:eastAsiaTheme="minorEastAsia"/>
        </w:rPr>
        <w:t xml:space="preserve">, </w:t>
      </w:r>
      <w:r w:rsidR="06414A80" w:rsidRPr="009893F4">
        <w:rPr>
          <w:rFonts w:eastAsiaTheme="minorEastAsia"/>
        </w:rPr>
        <w:t xml:space="preserve">including high deprivation, staffing shortages, funding pressures, </w:t>
      </w:r>
      <w:r w:rsidR="001064F0" w:rsidRPr="009893F4">
        <w:rPr>
          <w:rFonts w:eastAsiaTheme="minorEastAsia"/>
        </w:rPr>
        <w:t xml:space="preserve">and </w:t>
      </w:r>
      <w:r w:rsidR="06414A80" w:rsidRPr="009893F4">
        <w:rPr>
          <w:rFonts w:eastAsiaTheme="minorEastAsia"/>
        </w:rPr>
        <w:t xml:space="preserve">wide variations in health </w:t>
      </w:r>
      <w:r w:rsidR="001064F0" w:rsidRPr="009893F4">
        <w:rPr>
          <w:rFonts w:eastAsiaTheme="minorEastAsia"/>
        </w:rPr>
        <w:t>outcomes.</w:t>
      </w:r>
    </w:p>
    <w:p w14:paraId="2479530D" w14:textId="05DEB0D1" w:rsidR="06414A80" w:rsidRPr="001064F0" w:rsidRDefault="001064F0" w:rsidP="00BD0DD8">
      <w:pPr>
        <w:pStyle w:val="ListParagraph"/>
        <w:numPr>
          <w:ilvl w:val="0"/>
          <w:numId w:val="27"/>
        </w:numPr>
        <w:shd w:val="clear" w:color="auto" w:fill="FFFFFF" w:themeFill="background1"/>
        <w:spacing w:after="0" w:line="276" w:lineRule="auto"/>
        <w:rPr>
          <w:rFonts w:eastAsiaTheme="minorEastAsia"/>
        </w:rPr>
      </w:pPr>
      <w:r>
        <w:rPr>
          <w:rFonts w:eastAsiaTheme="minorEastAsia"/>
        </w:rPr>
        <w:t xml:space="preserve">Capacity </w:t>
      </w:r>
      <w:r w:rsidR="06414A80" w:rsidRPr="001064F0">
        <w:rPr>
          <w:rFonts w:eastAsiaTheme="minorEastAsia"/>
        </w:rPr>
        <w:t>issues</w:t>
      </w:r>
      <w:r>
        <w:rPr>
          <w:rFonts w:eastAsiaTheme="minorEastAsia"/>
        </w:rPr>
        <w:t xml:space="preserve"> across </w:t>
      </w:r>
      <w:r w:rsidRPr="001064F0">
        <w:rPr>
          <w:rFonts w:eastAsiaTheme="minorEastAsia"/>
        </w:rPr>
        <w:t>Lancashire and South Cumbria Hospitals</w:t>
      </w:r>
      <w:r w:rsidR="06414A80" w:rsidRPr="001064F0">
        <w:rPr>
          <w:rFonts w:eastAsiaTheme="minorEastAsia"/>
        </w:rPr>
        <w:t xml:space="preserve">, with emergency departments seeing far more patients than they were designed for, leading to delays and overcrowded waiting areas. </w:t>
      </w:r>
    </w:p>
    <w:p w14:paraId="19D0D87F" w14:textId="4E278A4F" w:rsidR="6F564B7E" w:rsidRDefault="00B50DE0" w:rsidP="00BD0DD8">
      <w:pPr>
        <w:pStyle w:val="ListParagraph"/>
        <w:numPr>
          <w:ilvl w:val="0"/>
          <w:numId w:val="27"/>
        </w:numPr>
        <w:shd w:val="clear" w:color="auto" w:fill="FFFFFF" w:themeFill="background1"/>
        <w:spacing w:after="0" w:line="276" w:lineRule="auto"/>
        <w:rPr>
          <w:rFonts w:eastAsiaTheme="minorEastAsia"/>
        </w:rPr>
      </w:pPr>
      <w:r w:rsidRPr="009893F4">
        <w:rPr>
          <w:rFonts w:eastAsiaTheme="minorEastAsia"/>
        </w:rPr>
        <w:t>Worse</w:t>
      </w:r>
      <w:r w:rsidR="06414A80" w:rsidRPr="009893F4">
        <w:rPr>
          <w:rFonts w:eastAsiaTheme="minorEastAsia"/>
        </w:rPr>
        <w:t xml:space="preserve"> health outcomes,</w:t>
      </w:r>
      <w:r w:rsidRPr="009893F4">
        <w:rPr>
          <w:rFonts w:eastAsiaTheme="minorEastAsia"/>
        </w:rPr>
        <w:t xml:space="preserve"> higher</w:t>
      </w:r>
      <w:r w:rsidR="06414A80" w:rsidRPr="009893F4">
        <w:rPr>
          <w:rFonts w:eastAsiaTheme="minorEastAsia"/>
        </w:rPr>
        <w:t xml:space="preserve"> health inequalities and </w:t>
      </w:r>
      <w:r w:rsidRPr="009893F4">
        <w:rPr>
          <w:rFonts w:eastAsiaTheme="minorEastAsia"/>
        </w:rPr>
        <w:t xml:space="preserve">increased </w:t>
      </w:r>
      <w:r w:rsidR="06414A80" w:rsidRPr="009893F4">
        <w:rPr>
          <w:rFonts w:eastAsiaTheme="minorEastAsia"/>
        </w:rPr>
        <w:t xml:space="preserve">challenges faced by many people across LSC are </w:t>
      </w:r>
      <w:r w:rsidR="0025561E" w:rsidRPr="009893F4">
        <w:rPr>
          <w:rFonts w:eastAsiaTheme="minorEastAsia"/>
        </w:rPr>
        <w:t>more evident</w:t>
      </w:r>
      <w:r w:rsidRPr="009893F4">
        <w:rPr>
          <w:rFonts w:eastAsiaTheme="minorEastAsia"/>
        </w:rPr>
        <w:t xml:space="preserve"> in some population groups.</w:t>
      </w:r>
      <w:r w:rsidR="06414A80" w:rsidRPr="009893F4">
        <w:rPr>
          <w:rFonts w:eastAsiaTheme="minorEastAsia"/>
        </w:rPr>
        <w:t xml:space="preserve"> Poorer</w:t>
      </w:r>
      <w:r w:rsidRPr="009893F4">
        <w:rPr>
          <w:rFonts w:eastAsiaTheme="minorEastAsia"/>
        </w:rPr>
        <w:t xml:space="preserve"> or</w:t>
      </w:r>
      <w:r w:rsidR="06414A80" w:rsidRPr="009893F4">
        <w:rPr>
          <w:rFonts w:eastAsiaTheme="minorEastAsia"/>
        </w:rPr>
        <w:t xml:space="preserve"> disadvantaged communities</w:t>
      </w:r>
      <w:r w:rsidR="1B5EBF4A" w:rsidRPr="009893F4">
        <w:rPr>
          <w:rFonts w:eastAsiaTheme="minorEastAsia"/>
        </w:rPr>
        <w:t xml:space="preserve"> -</w:t>
      </w:r>
      <w:r w:rsidR="1816C572" w:rsidRPr="009893F4">
        <w:rPr>
          <w:rFonts w:eastAsiaTheme="minorEastAsia"/>
        </w:rPr>
        <w:t xml:space="preserve"> in particular the </w:t>
      </w:r>
      <w:r w:rsidR="7C134586" w:rsidRPr="009893F4">
        <w:rPr>
          <w:rFonts w:eastAsiaTheme="minorEastAsia"/>
        </w:rPr>
        <w:t xml:space="preserve">wider </w:t>
      </w:r>
      <w:r w:rsidR="1816C572" w:rsidRPr="009893F4">
        <w:rPr>
          <w:rFonts w:eastAsiaTheme="minorEastAsia"/>
        </w:rPr>
        <w:t>geographical areas of Blackpool, Barrow, Blackburn with Darwen</w:t>
      </w:r>
      <w:r w:rsidR="458F4FE6" w:rsidRPr="009893F4">
        <w:rPr>
          <w:rFonts w:eastAsiaTheme="minorEastAsia"/>
        </w:rPr>
        <w:t xml:space="preserve"> and </w:t>
      </w:r>
      <w:r w:rsidR="1816C572" w:rsidRPr="009893F4">
        <w:rPr>
          <w:rFonts w:eastAsiaTheme="minorEastAsia"/>
        </w:rPr>
        <w:t>Burnley a</w:t>
      </w:r>
      <w:r w:rsidR="1A542643" w:rsidRPr="009893F4">
        <w:rPr>
          <w:rFonts w:eastAsiaTheme="minorEastAsia"/>
        </w:rPr>
        <w:t>long with</w:t>
      </w:r>
      <w:r w:rsidR="1816C572" w:rsidRPr="009893F4">
        <w:rPr>
          <w:rFonts w:eastAsiaTheme="minorEastAsia"/>
        </w:rPr>
        <w:t xml:space="preserve"> smaller</w:t>
      </w:r>
      <w:r w:rsidR="0BDD64DD" w:rsidRPr="009893F4">
        <w:rPr>
          <w:rFonts w:eastAsiaTheme="minorEastAsia"/>
        </w:rPr>
        <w:t xml:space="preserve"> </w:t>
      </w:r>
      <w:r w:rsidR="70C77B04" w:rsidRPr="009893F4">
        <w:rPr>
          <w:rFonts w:eastAsiaTheme="minorEastAsia"/>
        </w:rPr>
        <w:t xml:space="preserve">groupings of populations at ward level in other areas. </w:t>
      </w:r>
      <w:r w:rsidR="7127C966" w:rsidRPr="009893F4">
        <w:rPr>
          <w:rFonts w:eastAsiaTheme="minorEastAsia"/>
        </w:rPr>
        <w:t xml:space="preserve">This is also true in </w:t>
      </w:r>
      <w:r w:rsidR="06414A80" w:rsidRPr="009893F4">
        <w:rPr>
          <w:rFonts w:eastAsiaTheme="minorEastAsia"/>
        </w:rPr>
        <w:t>certain population groups such as people with learning disabilities, ethnic</w:t>
      </w:r>
      <w:r w:rsidRPr="009893F4">
        <w:rPr>
          <w:rFonts w:eastAsiaTheme="minorEastAsia"/>
        </w:rPr>
        <w:t xml:space="preserve"> minority</w:t>
      </w:r>
      <w:r w:rsidR="06414A80" w:rsidRPr="009893F4">
        <w:rPr>
          <w:rFonts w:eastAsiaTheme="minorEastAsia"/>
        </w:rPr>
        <w:t xml:space="preserve"> groups and people </w:t>
      </w:r>
      <w:r w:rsidRPr="009893F4">
        <w:rPr>
          <w:rFonts w:eastAsiaTheme="minorEastAsia"/>
        </w:rPr>
        <w:t>with complex disadvantage</w:t>
      </w:r>
      <w:r w:rsidR="3359B67A" w:rsidRPr="009893F4">
        <w:rPr>
          <w:rFonts w:eastAsiaTheme="minorEastAsia"/>
        </w:rPr>
        <w:t xml:space="preserve">; </w:t>
      </w:r>
      <w:r w:rsidR="1C957780" w:rsidRPr="009893F4">
        <w:rPr>
          <w:rFonts w:eastAsiaTheme="minorEastAsia"/>
        </w:rPr>
        <w:t xml:space="preserve">these are further compounded </w:t>
      </w:r>
      <w:r w:rsidR="6E1A6F22" w:rsidRPr="009893F4">
        <w:rPr>
          <w:rFonts w:eastAsiaTheme="minorEastAsia"/>
        </w:rPr>
        <w:t xml:space="preserve">in many cases </w:t>
      </w:r>
      <w:r w:rsidR="1C957780" w:rsidRPr="009893F4">
        <w:rPr>
          <w:rFonts w:eastAsiaTheme="minorEastAsia"/>
        </w:rPr>
        <w:t xml:space="preserve">by </w:t>
      </w:r>
      <w:r w:rsidR="209A8968" w:rsidRPr="009893F4">
        <w:rPr>
          <w:rFonts w:eastAsiaTheme="minorEastAsia"/>
        </w:rPr>
        <w:t xml:space="preserve">experiencing poverty alongside. </w:t>
      </w:r>
      <w:r w:rsidR="1C957780" w:rsidRPr="009893F4">
        <w:rPr>
          <w:rFonts w:eastAsiaTheme="minorEastAsia"/>
        </w:rPr>
        <w:t xml:space="preserve"> </w:t>
      </w:r>
      <w:r w:rsidR="06414A80" w:rsidRPr="009893F4">
        <w:rPr>
          <w:rFonts w:eastAsiaTheme="minorEastAsia"/>
        </w:rPr>
        <w:t xml:space="preserve"> </w:t>
      </w:r>
    </w:p>
    <w:p w14:paraId="3803BD52" w14:textId="55239E2B" w:rsidR="5AD5543D" w:rsidRDefault="64F579D1" w:rsidP="00BD0DD8">
      <w:pPr>
        <w:pStyle w:val="ListParagraph"/>
        <w:numPr>
          <w:ilvl w:val="0"/>
          <w:numId w:val="27"/>
        </w:numPr>
        <w:shd w:val="clear" w:color="auto" w:fill="FFFFFF" w:themeFill="background1"/>
        <w:spacing w:after="0" w:line="276" w:lineRule="auto"/>
        <w:rPr>
          <w:rFonts w:eastAsiaTheme="minorEastAsia"/>
        </w:rPr>
      </w:pPr>
      <w:r w:rsidRPr="6B7C84EE">
        <w:rPr>
          <w:rFonts w:eastAsiaTheme="minorEastAsia"/>
        </w:rPr>
        <w:t xml:space="preserve">Evidence that where collaborative, community-insight informed approaches are used, we see reductions in inequalities and improved performance, </w:t>
      </w:r>
      <w:proofErr w:type="spellStart"/>
      <w:r w:rsidRPr="6B7C84EE">
        <w:rPr>
          <w:rFonts w:eastAsiaTheme="minorEastAsia"/>
        </w:rPr>
        <w:t>e.g</w:t>
      </w:r>
      <w:proofErr w:type="spellEnd"/>
      <w:r w:rsidRPr="6B7C84EE">
        <w:rPr>
          <w:rFonts w:eastAsiaTheme="minorEastAsia"/>
        </w:rPr>
        <w:t xml:space="preserve"> children’s admissions and cancer early diagnosis</w:t>
      </w:r>
    </w:p>
    <w:p w14:paraId="11D5E098" w14:textId="7FC371A0" w:rsidR="6EC7FF72" w:rsidRDefault="6EC7FF72" w:rsidP="00BD0DD8">
      <w:pPr>
        <w:pStyle w:val="ListParagraph"/>
        <w:numPr>
          <w:ilvl w:val="0"/>
          <w:numId w:val="27"/>
        </w:numPr>
        <w:shd w:val="clear" w:color="auto" w:fill="FFFFFF" w:themeFill="background1"/>
        <w:spacing w:after="0" w:line="276" w:lineRule="auto"/>
        <w:rPr>
          <w:rFonts w:eastAsiaTheme="minorEastAsia"/>
        </w:rPr>
      </w:pPr>
      <w:r w:rsidRPr="6B7C84EE">
        <w:rPr>
          <w:rFonts w:eastAsiaTheme="minorEastAsia"/>
        </w:rPr>
        <w:lastRenderedPageBreak/>
        <w:t>VCFSE and communities are key enablers, particularly in accessing our most marginalised communities who experience barriers in accessing NHS services</w:t>
      </w:r>
    </w:p>
    <w:p w14:paraId="51801DC0" w14:textId="02D6D003" w:rsidR="6EC7FF72" w:rsidRDefault="6EC7FF72" w:rsidP="00BD0DD8">
      <w:pPr>
        <w:pStyle w:val="ListParagraph"/>
        <w:numPr>
          <w:ilvl w:val="0"/>
          <w:numId w:val="27"/>
        </w:numPr>
        <w:shd w:val="clear" w:color="auto" w:fill="FFFFFF" w:themeFill="background1"/>
        <w:spacing w:after="0" w:line="276" w:lineRule="auto"/>
        <w:rPr>
          <w:rFonts w:eastAsiaTheme="minorEastAsia"/>
        </w:rPr>
      </w:pPr>
      <w:r w:rsidRPr="6B7C84EE">
        <w:rPr>
          <w:rFonts w:eastAsiaTheme="minorEastAsia"/>
        </w:rPr>
        <w:t>A mixed picture for CYP with CORE20PLUS5 clinical conditions*. There are both encouraging &amp; adverse trends &amp; variation in patterns relating to prevalence, admissions &amp; correlation to socio-economic group (*asthma, diabetes, epilepsy, mental health and oral health</w:t>
      </w:r>
    </w:p>
    <w:p w14:paraId="712CF924" w14:textId="206AB89F" w:rsidR="6EC7FF72" w:rsidRDefault="1A1BBC38" w:rsidP="517600A3">
      <w:pPr>
        <w:pStyle w:val="ListParagraph"/>
        <w:numPr>
          <w:ilvl w:val="0"/>
          <w:numId w:val="27"/>
        </w:numPr>
        <w:shd w:val="clear" w:color="auto" w:fill="FFFFFF" w:themeFill="background1"/>
        <w:spacing w:after="0" w:line="276" w:lineRule="auto"/>
        <w:rPr>
          <w:rFonts w:eastAsiaTheme="minorEastAsia"/>
        </w:rPr>
      </w:pPr>
      <w:r w:rsidRPr="517600A3">
        <w:rPr>
          <w:rFonts w:eastAsiaTheme="minorEastAsia"/>
        </w:rPr>
        <w:t>There are inequalities between population groups for infant mortality</w:t>
      </w:r>
      <w:r w:rsidR="2FE97C23" w:rsidRPr="517600A3">
        <w:rPr>
          <w:rFonts w:eastAsiaTheme="minorEastAsia"/>
        </w:rPr>
        <w:t xml:space="preserve"> (increasing with higher deprivation)</w:t>
      </w:r>
      <w:r w:rsidRPr="517600A3">
        <w:rPr>
          <w:rFonts w:eastAsiaTheme="minorEastAsia"/>
        </w:rPr>
        <w:t>, babies born with low birth weight and babies born to mothers who smoke</w:t>
      </w:r>
      <w:r w:rsidR="594EEAA7" w:rsidRPr="517600A3">
        <w:rPr>
          <w:rFonts w:eastAsiaTheme="minorEastAsia"/>
        </w:rPr>
        <w:t xml:space="preserve">. </w:t>
      </w:r>
      <w:r w:rsidR="75E841BF" w:rsidRPr="517600A3">
        <w:rPr>
          <w:rFonts w:eastAsiaTheme="minorEastAsia"/>
        </w:rPr>
        <w:t>Infant mortality is particularly worse in Blackburn with Darwen.</w:t>
      </w:r>
    </w:p>
    <w:p w14:paraId="6E6301EE" w14:textId="60922F0C" w:rsidR="2A20D7F4" w:rsidRDefault="6EC7FF72" w:rsidP="00BD0DD8">
      <w:pPr>
        <w:pStyle w:val="ListParagraph"/>
        <w:numPr>
          <w:ilvl w:val="0"/>
          <w:numId w:val="27"/>
        </w:numPr>
        <w:shd w:val="clear" w:color="auto" w:fill="FFFFFF" w:themeFill="background1"/>
        <w:spacing w:after="0" w:line="276" w:lineRule="auto"/>
        <w:rPr>
          <w:rFonts w:eastAsiaTheme="minorEastAsia"/>
        </w:rPr>
      </w:pPr>
      <w:r w:rsidRPr="6B7C84EE">
        <w:rPr>
          <w:rFonts w:eastAsiaTheme="minorEastAsia"/>
        </w:rPr>
        <w:t>Women in LSC spend on average more of their lives in debilitating health or disability than men</w:t>
      </w:r>
    </w:p>
    <w:p w14:paraId="6250FB1E" w14:textId="77777777" w:rsidR="000B4322" w:rsidRPr="000B4322" w:rsidRDefault="000B4322" w:rsidP="000B4322">
      <w:pPr>
        <w:pStyle w:val="ListParagraph"/>
        <w:shd w:val="clear" w:color="auto" w:fill="FFFFFF" w:themeFill="background1"/>
        <w:spacing w:after="0" w:line="276" w:lineRule="auto"/>
        <w:rPr>
          <w:rFonts w:eastAsiaTheme="minorEastAsia"/>
        </w:rPr>
      </w:pPr>
    </w:p>
    <w:p w14:paraId="6BA12863" w14:textId="5F89E694" w:rsidR="00F01F0C" w:rsidRDefault="00281F21" w:rsidP="009893F4">
      <w:pPr>
        <w:spacing w:line="276" w:lineRule="auto"/>
        <w:rPr>
          <w:rFonts w:eastAsiaTheme="minorEastAsia"/>
        </w:rPr>
      </w:pPr>
      <w:r w:rsidRPr="009893F4">
        <w:rPr>
          <w:rFonts w:eastAsiaTheme="minorEastAsia"/>
        </w:rPr>
        <w:t>We must collectively shift the ICB’s focus to the prevention of ill health and health inequalities and focus action on making faster improvements for those groups who currently have poorer health outcomes</w:t>
      </w:r>
      <w:r w:rsidR="4C40DA64" w:rsidRPr="009893F4">
        <w:rPr>
          <w:rFonts w:eastAsiaTheme="minorEastAsia"/>
        </w:rPr>
        <w:t xml:space="preserve"> especially in those areas with the greatest need</w:t>
      </w:r>
      <w:r w:rsidRPr="009893F4">
        <w:rPr>
          <w:rFonts w:eastAsiaTheme="minorEastAsia"/>
        </w:rPr>
        <w:t xml:space="preserve">. With that in mind, focusing solely on the most disadvantaged will not reduce health inequalities sufficiently. To reduce the steepness of the social gradient in health, actions must be universal, but with a scale and intensity that is proportionate to the level of disadvantage, we must adopt a proportionate universalism approach. </w:t>
      </w:r>
    </w:p>
    <w:p w14:paraId="6FF66BE5" w14:textId="3609673D" w:rsidR="06414A80" w:rsidRDefault="06414A80" w:rsidP="00281F21">
      <w:pPr>
        <w:shd w:val="clear" w:color="auto" w:fill="FFFFFF" w:themeFill="background1"/>
        <w:spacing w:after="0" w:line="276" w:lineRule="auto"/>
        <w:rPr>
          <w:rFonts w:eastAsiaTheme="minorEastAsia"/>
        </w:rPr>
      </w:pPr>
      <w:r w:rsidRPr="00B50DE0">
        <w:rPr>
          <w:rFonts w:eastAsiaTheme="minorEastAsia"/>
        </w:rPr>
        <w:t xml:space="preserve">The overarching goal is to ultimately develop strategies to drive improvements in population health across </w:t>
      </w:r>
      <w:r w:rsidR="00281F21">
        <w:rPr>
          <w:rFonts w:eastAsiaTheme="minorEastAsia"/>
        </w:rPr>
        <w:t>the</w:t>
      </w:r>
      <w:r w:rsidRPr="00B50DE0">
        <w:rPr>
          <w:rFonts w:eastAsiaTheme="minorEastAsia"/>
        </w:rPr>
        <w:t xml:space="preserve"> system, with a specific focus on reducing identified health inequalities. Achieving </w:t>
      </w:r>
      <w:r w:rsidR="00281F21">
        <w:rPr>
          <w:rFonts w:eastAsiaTheme="minorEastAsia"/>
        </w:rPr>
        <w:t>this</w:t>
      </w:r>
      <w:r w:rsidRPr="00B50DE0">
        <w:rPr>
          <w:rFonts w:eastAsiaTheme="minorEastAsia"/>
        </w:rPr>
        <w:t xml:space="preserve"> goal </w:t>
      </w:r>
      <w:r w:rsidR="00281F21">
        <w:rPr>
          <w:rFonts w:eastAsiaTheme="minorEastAsia"/>
        </w:rPr>
        <w:t>will require</w:t>
      </w:r>
      <w:r w:rsidRPr="00B50DE0">
        <w:rPr>
          <w:rFonts w:eastAsiaTheme="minorEastAsia"/>
        </w:rPr>
        <w:t xml:space="preserve"> a united effort</w:t>
      </w:r>
      <w:r w:rsidR="00281F21">
        <w:rPr>
          <w:rFonts w:eastAsiaTheme="minorEastAsia"/>
        </w:rPr>
        <w:t>. O</w:t>
      </w:r>
      <w:r w:rsidRPr="00B50DE0">
        <w:rPr>
          <w:rFonts w:eastAsiaTheme="minorEastAsia"/>
        </w:rPr>
        <w:t>nly through collective action across the ICB</w:t>
      </w:r>
      <w:r w:rsidR="00117823">
        <w:rPr>
          <w:rFonts w:eastAsiaTheme="minorEastAsia"/>
        </w:rPr>
        <w:t xml:space="preserve"> and</w:t>
      </w:r>
      <w:r w:rsidRPr="00B50DE0">
        <w:rPr>
          <w:rFonts w:eastAsiaTheme="minorEastAsia"/>
        </w:rPr>
        <w:t xml:space="preserve"> local government, and with communities and the voluntary, community, and faith sector can we tackle the</w:t>
      </w:r>
      <w:r w:rsidR="00117823">
        <w:rPr>
          <w:rFonts w:eastAsiaTheme="minorEastAsia"/>
        </w:rPr>
        <w:t>se</w:t>
      </w:r>
      <w:r w:rsidRPr="00B50DE0">
        <w:rPr>
          <w:rFonts w:eastAsiaTheme="minorEastAsia"/>
        </w:rPr>
        <w:t xml:space="preserve"> issues.</w:t>
      </w:r>
    </w:p>
    <w:p w14:paraId="5D4808AC" w14:textId="745C7A02" w:rsidR="6B30B46E" w:rsidRPr="00B50DE0" w:rsidRDefault="6B30B46E" w:rsidP="00281F21">
      <w:pPr>
        <w:shd w:val="clear" w:color="auto" w:fill="FFFFFF" w:themeFill="background1"/>
        <w:spacing w:after="0" w:line="276" w:lineRule="auto"/>
        <w:rPr>
          <w:rFonts w:eastAsiaTheme="minorEastAsia"/>
        </w:rPr>
      </w:pPr>
    </w:p>
    <w:p w14:paraId="404C2CCC" w14:textId="468FDAEE" w:rsidR="1402D5A9" w:rsidRDefault="1402D5A9" w:rsidP="4631A905">
      <w:pPr>
        <w:shd w:val="clear" w:color="auto" w:fill="FFFFFF" w:themeFill="background1"/>
        <w:spacing w:after="0" w:line="276" w:lineRule="auto"/>
        <w:rPr>
          <w:rFonts w:eastAsiaTheme="minorEastAsia"/>
        </w:rPr>
      </w:pPr>
      <w:r w:rsidRPr="009893F4">
        <w:rPr>
          <w:rFonts w:eastAsiaTheme="minorEastAsia"/>
        </w:rPr>
        <w:t>Moving forward we will commit to taking key steps to improve the lives of our most disadvantaged people who experience the greatest health inequalities.</w:t>
      </w:r>
    </w:p>
    <w:p w14:paraId="1A4CD2EE" w14:textId="0D8E4092" w:rsidR="009893F4" w:rsidRDefault="009893F4" w:rsidP="009893F4">
      <w:pPr>
        <w:shd w:val="clear" w:color="auto" w:fill="FFFFFF" w:themeFill="background1"/>
        <w:spacing w:after="0" w:line="276" w:lineRule="auto"/>
        <w:rPr>
          <w:rFonts w:eastAsiaTheme="minorEastAsia"/>
        </w:rPr>
      </w:pPr>
    </w:p>
    <w:p w14:paraId="244792A2" w14:textId="7736A8CF" w:rsidR="74D0C48F" w:rsidRDefault="74D0C48F" w:rsidP="00E45462">
      <w:pPr>
        <w:pStyle w:val="Heading2"/>
      </w:pPr>
      <w:bookmarkStart w:id="115" w:name="_Toc214446989"/>
      <w:bookmarkStart w:id="116" w:name="_Toc214447034"/>
      <w:bookmarkStart w:id="117" w:name="_Toc214460979"/>
      <w:bookmarkStart w:id="118" w:name="_Toc220937638"/>
      <w:r w:rsidRPr="009893F4">
        <w:t>Recommendations</w:t>
      </w:r>
      <w:bookmarkEnd w:id="115"/>
      <w:bookmarkEnd w:id="116"/>
      <w:bookmarkEnd w:id="117"/>
      <w:bookmarkEnd w:id="118"/>
    </w:p>
    <w:p w14:paraId="79658AC1" w14:textId="67618734" w:rsidR="74D0C48F" w:rsidRDefault="74D0C48F" w:rsidP="009893F4">
      <w:pPr>
        <w:pStyle w:val="Heading3"/>
        <w:spacing w:line="276" w:lineRule="auto"/>
        <w:rPr>
          <w:rFonts w:ascii="Aptos" w:eastAsia="Aptos" w:hAnsi="Aptos" w:cs="Aptos"/>
          <w:b w:val="0"/>
          <w:iCs/>
          <w:szCs w:val="24"/>
        </w:rPr>
      </w:pPr>
      <w:r w:rsidRPr="009893F4">
        <w:rPr>
          <w:rFonts w:ascii="Aptos" w:eastAsia="Aptos" w:hAnsi="Aptos" w:cs="Aptos"/>
          <w:b w:val="0"/>
          <w:iCs/>
          <w:szCs w:val="24"/>
        </w:rPr>
        <w:t>Embed Population Health approach across workstreams</w:t>
      </w:r>
    </w:p>
    <w:p w14:paraId="0076F8DD" w14:textId="110F115A" w:rsidR="74D0C48F" w:rsidRDefault="74D0C48F" w:rsidP="00BD0DD8">
      <w:pPr>
        <w:pStyle w:val="ListParagraph"/>
        <w:numPr>
          <w:ilvl w:val="0"/>
          <w:numId w:val="7"/>
        </w:numPr>
        <w:spacing w:after="0" w:line="276" w:lineRule="auto"/>
        <w:ind w:left="360"/>
        <w:rPr>
          <w:rFonts w:ascii="Aptos" w:eastAsia="Aptos" w:hAnsi="Aptos" w:cs="Aptos"/>
        </w:rPr>
      </w:pPr>
      <w:r w:rsidRPr="009893F4">
        <w:rPr>
          <w:rFonts w:ascii="Aptos" w:eastAsia="Aptos" w:hAnsi="Aptos" w:cs="Aptos"/>
        </w:rPr>
        <w:t>Enhance access to planned procedures, urgent and emergency care, mental health, general practice, and urgent dental services, with a focus on disadvantaged and marginalised groups. Address barriers such as transport, language, cost, digital exclusion, and health literacy.</w:t>
      </w:r>
    </w:p>
    <w:p w14:paraId="00C49021" w14:textId="157F4DEA" w:rsidR="74D0C48F" w:rsidRDefault="74D0C48F" w:rsidP="00BD0DD8">
      <w:pPr>
        <w:pStyle w:val="ListParagraph"/>
        <w:numPr>
          <w:ilvl w:val="0"/>
          <w:numId w:val="7"/>
        </w:numPr>
        <w:spacing w:after="0" w:line="276" w:lineRule="auto"/>
        <w:ind w:left="360"/>
        <w:rPr>
          <w:rFonts w:ascii="Aptos" w:eastAsia="Aptos" w:hAnsi="Aptos" w:cs="Aptos"/>
        </w:rPr>
      </w:pPr>
      <w:r w:rsidRPr="009893F4">
        <w:rPr>
          <w:rFonts w:ascii="Aptos" w:eastAsia="Aptos" w:hAnsi="Aptos" w:cs="Aptos"/>
        </w:rPr>
        <w:t>Tackle health inequalities by embedding approaches like Core20PLUS5 as a foundation, not an add-on. Ensure care is culturally competent and responsive to local needs.</w:t>
      </w:r>
    </w:p>
    <w:p w14:paraId="632E059E" w14:textId="3DB9F38F" w:rsidR="74D0C48F" w:rsidRDefault="74D0C48F" w:rsidP="00BD0DD8">
      <w:pPr>
        <w:pStyle w:val="ListParagraph"/>
        <w:numPr>
          <w:ilvl w:val="0"/>
          <w:numId w:val="7"/>
        </w:numPr>
        <w:spacing w:after="0" w:line="276" w:lineRule="auto"/>
        <w:ind w:left="360"/>
        <w:rPr>
          <w:rFonts w:ascii="Aptos" w:eastAsia="Aptos" w:hAnsi="Aptos" w:cs="Aptos"/>
        </w:rPr>
      </w:pPr>
      <w:r w:rsidRPr="009893F4">
        <w:rPr>
          <w:rFonts w:ascii="Aptos" w:eastAsia="Aptos" w:hAnsi="Aptos" w:cs="Aptos"/>
        </w:rPr>
        <w:lastRenderedPageBreak/>
        <w:t>To reduce the steepness of the social gradient in health, actions must be universal, but with a scale and intensity that is proportionate to the level of disadvantage, the ICB must adopt a proportionate universalism approach.</w:t>
      </w:r>
    </w:p>
    <w:p w14:paraId="22B761D3" w14:textId="285EB41E" w:rsidR="74D0C48F" w:rsidRDefault="74D0C48F" w:rsidP="00BD0DD8">
      <w:pPr>
        <w:pStyle w:val="ListParagraph"/>
        <w:numPr>
          <w:ilvl w:val="0"/>
          <w:numId w:val="7"/>
        </w:numPr>
        <w:spacing w:after="0" w:line="276" w:lineRule="auto"/>
        <w:ind w:left="360"/>
        <w:rPr>
          <w:rFonts w:ascii="Aptos" w:eastAsia="Aptos" w:hAnsi="Aptos" w:cs="Aptos"/>
        </w:rPr>
      </w:pPr>
      <w:r w:rsidRPr="009893F4">
        <w:rPr>
          <w:rFonts w:ascii="Aptos" w:eastAsia="Aptos" w:hAnsi="Aptos" w:cs="Aptos"/>
        </w:rPr>
        <w:t xml:space="preserve">Build a resilient, adaptable workforce by equipping staff with skills in cultural competence, trauma-informed care, and emerging health challenges. Address shortages in rural and deprived areas through ongoing learning and professional growth. </w:t>
      </w:r>
    </w:p>
    <w:p w14:paraId="7AED0B35" w14:textId="2BD1A8E7" w:rsidR="74D0C48F" w:rsidRDefault="74D0C48F" w:rsidP="009893F4">
      <w:pPr>
        <w:spacing w:after="0" w:line="276" w:lineRule="auto"/>
        <w:jc w:val="center"/>
      </w:pPr>
      <w:r>
        <w:rPr>
          <w:noProof/>
        </w:rPr>
        <w:drawing>
          <wp:inline distT="0" distB="0" distL="0" distR="0" wp14:anchorId="3AC9B419" wp14:editId="0B5EC6B4">
            <wp:extent cx="5353050" cy="2667000"/>
            <wp:effectExtent l="0" t="0" r="0" b="0"/>
            <wp:docPr id="601975044" name="drawing" title="A graph of a graph with arrow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75044" name="Picture 601975044"/>
                    <pic:cNvPicPr/>
                  </pic:nvPicPr>
                  <pic:blipFill>
                    <a:blip r:embed="rId86">
                      <a:extLst>
                        <a:ext uri="{28A0092B-C50C-407E-A947-70E740481C1C}">
                          <a14:useLocalDpi xmlns:a14="http://schemas.microsoft.com/office/drawing/2010/main"/>
                        </a:ext>
                      </a:extLst>
                    </a:blip>
                    <a:stretch>
                      <a:fillRect/>
                    </a:stretch>
                  </pic:blipFill>
                  <pic:spPr>
                    <a:xfrm>
                      <a:off x="0" y="0"/>
                      <a:ext cx="5353050" cy="2667000"/>
                    </a:xfrm>
                    <a:prstGeom prst="rect">
                      <a:avLst/>
                    </a:prstGeom>
                  </pic:spPr>
                </pic:pic>
              </a:graphicData>
            </a:graphic>
          </wp:inline>
        </w:drawing>
      </w:r>
    </w:p>
    <w:p w14:paraId="0F1212D6" w14:textId="33F01BA6" w:rsidR="009893F4" w:rsidRDefault="009893F4" w:rsidP="009893F4">
      <w:pPr>
        <w:spacing w:after="0" w:line="276" w:lineRule="auto"/>
        <w:jc w:val="center"/>
      </w:pPr>
    </w:p>
    <w:p w14:paraId="7026F8BA" w14:textId="19C88B6E" w:rsidR="30638839" w:rsidRDefault="30638839" w:rsidP="009893F4">
      <w:pPr>
        <w:pStyle w:val="Heading3"/>
        <w:spacing w:line="276" w:lineRule="auto"/>
        <w:rPr>
          <w:rFonts w:ascii="Aptos" w:eastAsia="Aptos" w:hAnsi="Aptos" w:cs="Aptos"/>
          <w:b w:val="0"/>
          <w:iCs/>
          <w:szCs w:val="24"/>
        </w:rPr>
      </w:pPr>
      <w:r w:rsidRPr="009893F4">
        <w:rPr>
          <w:rFonts w:ascii="Aptos" w:eastAsia="Aptos" w:hAnsi="Aptos" w:cs="Aptos"/>
          <w:b w:val="0"/>
          <w:iCs/>
          <w:szCs w:val="24"/>
        </w:rPr>
        <w:t>Strengthening Prevention and Public Health Initiatives</w:t>
      </w:r>
    </w:p>
    <w:p w14:paraId="59EACD10" w14:textId="6987FFA3" w:rsidR="74D0C48F" w:rsidRDefault="74D0C48F" w:rsidP="009893F4">
      <w:pPr>
        <w:spacing w:after="0" w:line="276" w:lineRule="auto"/>
      </w:pPr>
      <w:r w:rsidRPr="009893F4">
        <w:rPr>
          <w:rFonts w:ascii="Aptos" w:eastAsia="Aptos" w:hAnsi="Aptos" w:cs="Aptos"/>
        </w:rPr>
        <w:t>Working closely with Public Health and considering the impact of interventions over time (diagram above), work together across the 3 domains of health improvement, health protection and health service improvement:</w:t>
      </w:r>
    </w:p>
    <w:p w14:paraId="73680A0E" w14:textId="49080B93" w:rsidR="74D0C48F" w:rsidRDefault="74D0C48F" w:rsidP="00BD0DD8">
      <w:pPr>
        <w:pStyle w:val="ListParagraph"/>
        <w:numPr>
          <w:ilvl w:val="0"/>
          <w:numId w:val="6"/>
        </w:numPr>
        <w:spacing w:after="0" w:line="276" w:lineRule="auto"/>
        <w:ind w:left="360"/>
        <w:rPr>
          <w:rFonts w:ascii="Aptos" w:eastAsia="Aptos" w:hAnsi="Aptos" w:cs="Aptos"/>
        </w:rPr>
      </w:pPr>
      <w:r w:rsidRPr="009893F4">
        <w:rPr>
          <w:rFonts w:ascii="Aptos" w:eastAsia="Aptos" w:hAnsi="Aptos" w:cs="Aptos"/>
        </w:rPr>
        <w:t xml:space="preserve">Identify priority areas across the 3 domains for joint targeted action, with a focus on prevention. Examples </w:t>
      </w:r>
      <w:proofErr w:type="gramStart"/>
      <w:r w:rsidRPr="009893F4">
        <w:rPr>
          <w:rFonts w:ascii="Aptos" w:eastAsia="Aptos" w:hAnsi="Aptos" w:cs="Aptos"/>
        </w:rPr>
        <w:t>are:</w:t>
      </w:r>
      <w:proofErr w:type="gramEnd"/>
      <w:r w:rsidRPr="009893F4">
        <w:rPr>
          <w:rFonts w:ascii="Aptos" w:eastAsia="Aptos" w:hAnsi="Aptos" w:cs="Aptos"/>
        </w:rPr>
        <w:t xml:space="preserve"> immunisations, cancer screening, hypertension, smoking cessation, and early intervention.</w:t>
      </w:r>
    </w:p>
    <w:p w14:paraId="1D3CFBC9" w14:textId="085D6AE3" w:rsidR="74D0C48F" w:rsidRDefault="74D0C48F" w:rsidP="00BD0DD8">
      <w:pPr>
        <w:pStyle w:val="ListParagraph"/>
        <w:numPr>
          <w:ilvl w:val="0"/>
          <w:numId w:val="6"/>
        </w:numPr>
        <w:spacing w:after="0" w:line="276" w:lineRule="auto"/>
        <w:ind w:left="360"/>
        <w:rPr>
          <w:rFonts w:ascii="Aptos" w:eastAsia="Aptos" w:hAnsi="Aptos" w:cs="Aptos"/>
        </w:rPr>
      </w:pPr>
      <w:r w:rsidRPr="009893F4">
        <w:rPr>
          <w:rFonts w:ascii="Aptos" w:eastAsia="Aptos" w:hAnsi="Aptos" w:cs="Aptos"/>
        </w:rPr>
        <w:t>Promote healthy behaviours through community campaigns and joined-up action on wider determinants of health, such as unpaid care.</w:t>
      </w:r>
    </w:p>
    <w:p w14:paraId="6EC087CF" w14:textId="24B42E22" w:rsidR="74D0C48F" w:rsidRDefault="74D0C48F" w:rsidP="00BD0DD8">
      <w:pPr>
        <w:pStyle w:val="ListParagraph"/>
        <w:numPr>
          <w:ilvl w:val="0"/>
          <w:numId w:val="6"/>
        </w:numPr>
        <w:spacing w:after="0" w:line="276" w:lineRule="auto"/>
        <w:ind w:left="360"/>
        <w:rPr>
          <w:rFonts w:ascii="Aptos" w:eastAsia="Aptos" w:hAnsi="Aptos" w:cs="Aptos"/>
        </w:rPr>
      </w:pPr>
      <w:r w:rsidRPr="009893F4">
        <w:rPr>
          <w:rFonts w:ascii="Aptos" w:eastAsia="Aptos" w:hAnsi="Aptos" w:cs="Aptos"/>
        </w:rPr>
        <w:t>Take joined-up action with partners on the social determinants of health such as unpaid care.</w:t>
      </w:r>
    </w:p>
    <w:p w14:paraId="3F2D3F2B" w14:textId="294B33D1" w:rsidR="009893F4" w:rsidRPr="003256DA" w:rsidRDefault="74D0C48F" w:rsidP="009893F4">
      <w:pPr>
        <w:spacing w:after="0" w:line="276" w:lineRule="auto"/>
      </w:pPr>
      <w:r w:rsidRPr="009893F4">
        <w:rPr>
          <w:rFonts w:ascii="Aptos" w:eastAsia="Aptos" w:hAnsi="Aptos" w:cs="Aptos"/>
        </w:rPr>
        <w:t xml:space="preserve"> </w:t>
      </w:r>
    </w:p>
    <w:p w14:paraId="01A98861" w14:textId="3D99BCC0" w:rsidR="74D0C48F" w:rsidRDefault="74D0C48F" w:rsidP="009893F4">
      <w:pPr>
        <w:pStyle w:val="Heading3"/>
        <w:spacing w:line="276" w:lineRule="auto"/>
        <w:rPr>
          <w:rFonts w:ascii="Aptos" w:eastAsia="Aptos" w:hAnsi="Aptos" w:cs="Aptos"/>
          <w:b w:val="0"/>
          <w:iCs/>
          <w:szCs w:val="24"/>
        </w:rPr>
      </w:pPr>
      <w:r w:rsidRPr="009893F4">
        <w:rPr>
          <w:rFonts w:ascii="Aptos" w:eastAsia="Aptos" w:hAnsi="Aptos" w:cs="Aptos"/>
          <w:b w:val="0"/>
          <w:iCs/>
          <w:szCs w:val="24"/>
        </w:rPr>
        <w:t>Data Use and Population Health Management</w:t>
      </w:r>
    </w:p>
    <w:p w14:paraId="0AD7DB88" w14:textId="211F8FCC" w:rsidR="74D0C48F" w:rsidRDefault="74D0C48F" w:rsidP="00BD0DD8">
      <w:pPr>
        <w:pStyle w:val="ListParagraph"/>
        <w:numPr>
          <w:ilvl w:val="0"/>
          <w:numId w:val="5"/>
        </w:numPr>
        <w:spacing w:after="0" w:line="276" w:lineRule="auto"/>
        <w:ind w:left="360"/>
        <w:rPr>
          <w:rFonts w:ascii="Aptos" w:eastAsia="Aptos" w:hAnsi="Aptos" w:cs="Aptos"/>
        </w:rPr>
      </w:pPr>
      <w:r w:rsidRPr="009893F4">
        <w:rPr>
          <w:rFonts w:ascii="Aptos" w:eastAsia="Aptos" w:hAnsi="Aptos" w:cs="Aptos"/>
        </w:rPr>
        <w:t>Promote digital maturity and improve data collection and monitoring to empower people to manage their health and wellbeing, including support to access digital tools and applications.</w:t>
      </w:r>
    </w:p>
    <w:p w14:paraId="035C00DB" w14:textId="5E84B1AE" w:rsidR="74D0C48F" w:rsidRDefault="74D0C48F" w:rsidP="00BD0DD8">
      <w:pPr>
        <w:pStyle w:val="ListParagraph"/>
        <w:numPr>
          <w:ilvl w:val="0"/>
          <w:numId w:val="5"/>
        </w:numPr>
        <w:spacing w:after="0" w:line="276" w:lineRule="auto"/>
        <w:ind w:left="360"/>
        <w:rPr>
          <w:rFonts w:ascii="Aptos" w:eastAsia="Aptos" w:hAnsi="Aptos" w:cs="Aptos"/>
        </w:rPr>
      </w:pPr>
      <w:r w:rsidRPr="009893F4">
        <w:rPr>
          <w:rFonts w:ascii="Aptos" w:eastAsia="Aptos" w:hAnsi="Aptos" w:cs="Aptos"/>
        </w:rPr>
        <w:t>Embed PHM by linking and analysing health, social care, and wider determinants data to inform proactive, targeted interventions and care planning, especially in identifying populations in greatest need.</w:t>
      </w:r>
    </w:p>
    <w:p w14:paraId="4DADB07E" w14:textId="5277313C" w:rsidR="74D0C48F" w:rsidRDefault="74D0C48F" w:rsidP="00BD0DD8">
      <w:pPr>
        <w:pStyle w:val="ListParagraph"/>
        <w:numPr>
          <w:ilvl w:val="0"/>
          <w:numId w:val="5"/>
        </w:numPr>
        <w:spacing w:after="0" w:line="276" w:lineRule="auto"/>
        <w:ind w:left="360"/>
        <w:rPr>
          <w:rFonts w:ascii="Aptos" w:eastAsia="Aptos" w:hAnsi="Aptos" w:cs="Aptos"/>
        </w:rPr>
      </w:pPr>
      <w:r w:rsidRPr="009893F4">
        <w:rPr>
          <w:rFonts w:ascii="Aptos" w:eastAsia="Aptos" w:hAnsi="Aptos" w:cs="Aptos"/>
        </w:rPr>
        <w:lastRenderedPageBreak/>
        <w:t>Use risk stratification and standardised care pathways to proactively manage disease in groups with the highest burden, ensuring holistic care for people with multiple long-term conditions.</w:t>
      </w:r>
    </w:p>
    <w:p w14:paraId="59A4AEF4" w14:textId="6D4D0AE9" w:rsidR="74D0C48F" w:rsidRDefault="74D0C48F" w:rsidP="009893F4">
      <w:pPr>
        <w:spacing w:after="0" w:line="276" w:lineRule="auto"/>
        <w:ind w:left="360"/>
      </w:pPr>
      <w:r w:rsidRPr="009893F4">
        <w:rPr>
          <w:rFonts w:ascii="Aptos" w:eastAsia="Aptos" w:hAnsi="Aptos" w:cs="Aptos"/>
        </w:rPr>
        <w:t xml:space="preserve"> </w:t>
      </w:r>
    </w:p>
    <w:p w14:paraId="7A4E1542" w14:textId="4DEAD7A8" w:rsidR="74D0C48F" w:rsidRDefault="74D0C48F" w:rsidP="009893F4">
      <w:pPr>
        <w:pStyle w:val="Heading3"/>
        <w:spacing w:line="276" w:lineRule="auto"/>
        <w:rPr>
          <w:rFonts w:ascii="Aptos" w:eastAsia="Aptos" w:hAnsi="Aptos" w:cs="Aptos"/>
          <w:b w:val="0"/>
          <w:iCs/>
          <w:szCs w:val="24"/>
        </w:rPr>
      </w:pPr>
      <w:r w:rsidRPr="009893F4">
        <w:rPr>
          <w:rFonts w:ascii="Aptos" w:eastAsia="Aptos" w:hAnsi="Aptos" w:cs="Aptos"/>
          <w:b w:val="0"/>
          <w:iCs/>
          <w:szCs w:val="24"/>
        </w:rPr>
        <w:t>Preventing, identifying and managing long-term conditions effectively</w:t>
      </w:r>
    </w:p>
    <w:p w14:paraId="4A0FD9DD" w14:textId="6FA5419D" w:rsidR="74D0C48F" w:rsidRDefault="74D0C48F" w:rsidP="00BD0DD8">
      <w:pPr>
        <w:pStyle w:val="ListParagraph"/>
        <w:numPr>
          <w:ilvl w:val="0"/>
          <w:numId w:val="4"/>
        </w:numPr>
        <w:spacing w:after="0" w:line="276" w:lineRule="auto"/>
        <w:ind w:left="357" w:hanging="357"/>
        <w:rPr>
          <w:rFonts w:ascii="Aptos" w:eastAsia="Aptos" w:hAnsi="Aptos" w:cs="Aptos"/>
          <w:color w:val="000000" w:themeColor="text1"/>
        </w:rPr>
      </w:pPr>
      <w:r w:rsidRPr="009893F4">
        <w:rPr>
          <w:rFonts w:ascii="Aptos" w:eastAsia="Aptos" w:hAnsi="Aptos" w:cs="Aptos"/>
          <w:color w:val="000000" w:themeColor="text1"/>
        </w:rPr>
        <w:t xml:space="preserve">Prioritise early identification and targeted prevention of long-term conditions, focusing on high-prevalence and underserved groups where inequalities are most pronounced. </w:t>
      </w:r>
    </w:p>
    <w:p w14:paraId="6BC3D1EE" w14:textId="29D84942" w:rsidR="74D0C48F" w:rsidRDefault="74D0C48F" w:rsidP="00BD0DD8">
      <w:pPr>
        <w:pStyle w:val="ListParagraph"/>
        <w:numPr>
          <w:ilvl w:val="0"/>
          <w:numId w:val="4"/>
        </w:numPr>
        <w:spacing w:after="0" w:line="276" w:lineRule="auto"/>
        <w:ind w:left="357" w:hanging="357"/>
        <w:rPr>
          <w:rFonts w:ascii="Aptos" w:eastAsia="Aptos" w:hAnsi="Aptos" w:cs="Aptos"/>
          <w:color w:val="000000" w:themeColor="text1"/>
        </w:rPr>
      </w:pPr>
      <w:r w:rsidRPr="009893F4">
        <w:rPr>
          <w:rFonts w:ascii="Aptos" w:eastAsia="Aptos" w:hAnsi="Aptos" w:cs="Aptos"/>
          <w:color w:val="000000" w:themeColor="text1"/>
        </w:rPr>
        <w:t xml:space="preserve">Deliver personalised care and support self-management, ensuring people with both clinical and non-clinical complexity benefit from a joined-up, multidisciplinary approach. </w:t>
      </w:r>
    </w:p>
    <w:p w14:paraId="31730C7A" w14:textId="09F4483E" w:rsidR="74D0C48F" w:rsidRDefault="74D0C48F" w:rsidP="00BD0DD8">
      <w:pPr>
        <w:pStyle w:val="ListParagraph"/>
        <w:numPr>
          <w:ilvl w:val="0"/>
          <w:numId w:val="4"/>
        </w:numPr>
        <w:spacing w:after="0" w:line="276" w:lineRule="auto"/>
        <w:ind w:left="357" w:hanging="357"/>
        <w:rPr>
          <w:rFonts w:ascii="Aptos" w:eastAsia="Aptos" w:hAnsi="Aptos" w:cs="Aptos"/>
          <w:color w:val="000000" w:themeColor="text1"/>
        </w:rPr>
      </w:pPr>
      <w:r w:rsidRPr="009893F4">
        <w:rPr>
          <w:rFonts w:ascii="Aptos" w:eastAsia="Aptos" w:hAnsi="Aptos" w:cs="Aptos"/>
          <w:color w:val="000000" w:themeColor="text1"/>
        </w:rPr>
        <w:t>Address multimorbidity by treating the whole person, not just individual conditions, recognising the impact of deprivation and wider determinants on health outcomes</w:t>
      </w:r>
    </w:p>
    <w:p w14:paraId="57B3C169" w14:textId="77777777" w:rsidR="007008CA" w:rsidRDefault="007008CA" w:rsidP="009893F4">
      <w:pPr>
        <w:rPr>
          <w:i/>
          <w:iCs/>
        </w:rPr>
      </w:pPr>
    </w:p>
    <w:p w14:paraId="3619B9A0" w14:textId="456033EE" w:rsidR="3A09F9CF" w:rsidRDefault="3A09F9CF" w:rsidP="009893F4">
      <w:pPr>
        <w:rPr>
          <w:i/>
          <w:iCs/>
        </w:rPr>
      </w:pPr>
      <w:r w:rsidRPr="009893F4">
        <w:rPr>
          <w:i/>
          <w:iCs/>
        </w:rPr>
        <w:t>Neighbourhood Working</w:t>
      </w:r>
    </w:p>
    <w:p w14:paraId="6B3F10DD" w14:textId="2F7945D8" w:rsidR="74D0C48F" w:rsidRDefault="74D0C48F" w:rsidP="00BD0DD8">
      <w:pPr>
        <w:pStyle w:val="ListParagraph"/>
        <w:numPr>
          <w:ilvl w:val="0"/>
          <w:numId w:val="3"/>
        </w:numPr>
        <w:spacing w:after="0" w:line="276" w:lineRule="auto"/>
        <w:ind w:left="360"/>
        <w:rPr>
          <w:rFonts w:ascii="Aptos" w:eastAsia="Aptos" w:hAnsi="Aptos" w:cs="Aptos"/>
          <w:color w:val="000000" w:themeColor="text1"/>
        </w:rPr>
      </w:pPr>
      <w:r w:rsidRPr="009893F4">
        <w:rPr>
          <w:rFonts w:ascii="Aptos" w:eastAsia="Aptos" w:hAnsi="Aptos" w:cs="Aptos"/>
          <w:color w:val="000000" w:themeColor="text1"/>
        </w:rPr>
        <w:t>Expand and strengthen primary care services at neighbourhood level, especially in areas of greatest need, learning from local ‘tests of change’.</w:t>
      </w:r>
    </w:p>
    <w:p w14:paraId="32C08E00" w14:textId="0015FB14" w:rsidR="74D0C48F" w:rsidRDefault="74D0C48F" w:rsidP="00BD0DD8">
      <w:pPr>
        <w:pStyle w:val="ListParagraph"/>
        <w:numPr>
          <w:ilvl w:val="0"/>
          <w:numId w:val="3"/>
        </w:numPr>
        <w:spacing w:after="0" w:line="276" w:lineRule="auto"/>
        <w:ind w:left="360"/>
        <w:rPr>
          <w:rFonts w:ascii="Aptos" w:eastAsia="Aptos" w:hAnsi="Aptos" w:cs="Aptos"/>
          <w:color w:val="000000" w:themeColor="text1"/>
        </w:rPr>
      </w:pPr>
      <w:r w:rsidRPr="009893F4">
        <w:rPr>
          <w:rFonts w:ascii="Aptos" w:eastAsia="Aptos" w:hAnsi="Aptos" w:cs="Aptos"/>
          <w:color w:val="000000" w:themeColor="text1"/>
        </w:rPr>
        <w:t>Embed neighbourhood working within a broader strategy to tackle socio-economic deprivation and its impact on health, making care more proactive, coordinated, and centred around the community.</w:t>
      </w:r>
    </w:p>
    <w:p w14:paraId="18545E9D" w14:textId="7D741F3F" w:rsidR="74D0C48F" w:rsidRDefault="74D0C48F" w:rsidP="00BD0DD8">
      <w:pPr>
        <w:pStyle w:val="ListParagraph"/>
        <w:numPr>
          <w:ilvl w:val="0"/>
          <w:numId w:val="3"/>
        </w:numPr>
        <w:spacing w:after="0" w:line="276" w:lineRule="auto"/>
        <w:ind w:left="360"/>
        <w:rPr>
          <w:rFonts w:ascii="Aptos" w:eastAsia="Aptos" w:hAnsi="Aptos" w:cs="Aptos"/>
          <w:color w:val="000000" w:themeColor="text1"/>
        </w:rPr>
      </w:pPr>
      <w:r w:rsidRPr="009893F4">
        <w:rPr>
          <w:rFonts w:ascii="Aptos" w:eastAsia="Aptos" w:hAnsi="Aptos" w:cs="Aptos"/>
          <w:color w:val="000000" w:themeColor="text1"/>
        </w:rPr>
        <w:t>Integrate models of care across primary, community, secondary, social care, and voluntary sectors to improve health equity across the population.</w:t>
      </w:r>
    </w:p>
    <w:p w14:paraId="53D59550" w14:textId="52FC7F47" w:rsidR="74D0C48F" w:rsidRDefault="74D0C48F" w:rsidP="009893F4">
      <w:pPr>
        <w:spacing w:after="0" w:line="276" w:lineRule="auto"/>
        <w:ind w:left="360"/>
      </w:pPr>
      <w:r w:rsidRPr="009893F4">
        <w:rPr>
          <w:rFonts w:ascii="Aptos" w:eastAsia="Aptos" w:hAnsi="Aptos" w:cs="Aptos"/>
          <w:color w:val="000000" w:themeColor="text1"/>
        </w:rPr>
        <w:t xml:space="preserve"> </w:t>
      </w:r>
    </w:p>
    <w:p w14:paraId="1F918A64" w14:textId="16B4FA85" w:rsidR="110211D6" w:rsidRDefault="110211D6" w:rsidP="009893F4">
      <w:pPr>
        <w:rPr>
          <w:i/>
          <w:iCs/>
        </w:rPr>
      </w:pPr>
      <w:r w:rsidRPr="009893F4">
        <w:rPr>
          <w:i/>
          <w:iCs/>
        </w:rPr>
        <w:t>Align policy, funding and strategy with health priorities</w:t>
      </w:r>
    </w:p>
    <w:p w14:paraId="4BAC7FC2" w14:textId="4F88E3C2" w:rsidR="74D0C48F" w:rsidRDefault="74D0C48F" w:rsidP="00BD0DD8">
      <w:pPr>
        <w:pStyle w:val="ListParagraph"/>
        <w:numPr>
          <w:ilvl w:val="0"/>
          <w:numId w:val="2"/>
        </w:numPr>
        <w:spacing w:after="0" w:line="276" w:lineRule="auto"/>
        <w:ind w:left="360"/>
        <w:rPr>
          <w:rFonts w:ascii="Aptos" w:eastAsia="Aptos" w:hAnsi="Aptos" w:cs="Aptos"/>
        </w:rPr>
      </w:pPr>
      <w:r w:rsidRPr="009893F4">
        <w:rPr>
          <w:rFonts w:ascii="Aptos" w:eastAsia="Aptos" w:hAnsi="Aptos" w:cs="Aptos"/>
        </w:rPr>
        <w:t>Determine proportionate resource allocation formulas based on robust data, needs of the population and evidence of impact.</w:t>
      </w:r>
    </w:p>
    <w:p w14:paraId="75D560DD" w14:textId="3D7AEE62" w:rsidR="74D0C48F" w:rsidRDefault="74D0C48F" w:rsidP="00BD0DD8">
      <w:pPr>
        <w:pStyle w:val="ListParagraph"/>
        <w:numPr>
          <w:ilvl w:val="0"/>
          <w:numId w:val="5"/>
        </w:numPr>
        <w:spacing w:after="0" w:line="276" w:lineRule="auto"/>
        <w:ind w:left="360"/>
        <w:rPr>
          <w:rFonts w:ascii="Aptos" w:eastAsia="Aptos" w:hAnsi="Aptos" w:cs="Aptos"/>
        </w:rPr>
      </w:pPr>
      <w:r w:rsidRPr="009893F4">
        <w:rPr>
          <w:rFonts w:ascii="Aptos" w:eastAsia="Aptos" w:hAnsi="Aptos" w:cs="Aptos"/>
        </w:rPr>
        <w:t>Advocate for sustainable, long-term investment and strategic planning, rather than short-term fixes.</w:t>
      </w:r>
    </w:p>
    <w:p w14:paraId="23752D02" w14:textId="43842DB1" w:rsidR="74D0C48F" w:rsidRDefault="74D0C48F" w:rsidP="00BD0DD8">
      <w:pPr>
        <w:pStyle w:val="ListParagraph"/>
        <w:numPr>
          <w:ilvl w:val="0"/>
          <w:numId w:val="5"/>
        </w:numPr>
        <w:spacing w:after="0" w:line="276" w:lineRule="auto"/>
        <w:ind w:left="360"/>
        <w:rPr>
          <w:rFonts w:ascii="Aptos" w:eastAsia="Aptos" w:hAnsi="Aptos" w:cs="Aptos"/>
        </w:rPr>
      </w:pPr>
      <w:r w:rsidRPr="009893F4">
        <w:rPr>
          <w:rFonts w:ascii="Aptos" w:eastAsia="Aptos" w:hAnsi="Aptos" w:cs="Aptos"/>
        </w:rPr>
        <w:t>Ensure local and regional policies are joined up and strategically support identified health priorities.</w:t>
      </w:r>
    </w:p>
    <w:p w14:paraId="7667CE67" w14:textId="6EFCABD2" w:rsidR="74D0C48F" w:rsidRDefault="74D0C48F" w:rsidP="009893F4">
      <w:pPr>
        <w:spacing w:after="0" w:line="276" w:lineRule="auto"/>
        <w:ind w:left="360"/>
      </w:pPr>
      <w:r w:rsidRPr="009893F4">
        <w:rPr>
          <w:rFonts w:ascii="Aptos" w:eastAsia="Aptos" w:hAnsi="Aptos" w:cs="Aptos"/>
        </w:rPr>
        <w:t xml:space="preserve"> </w:t>
      </w:r>
    </w:p>
    <w:p w14:paraId="3F85CC75" w14:textId="37FB779D" w:rsidR="6879A882" w:rsidRDefault="6879A882" w:rsidP="009893F4">
      <w:pPr>
        <w:pStyle w:val="ListParagraph"/>
        <w:spacing w:after="0" w:line="276" w:lineRule="auto"/>
        <w:ind w:left="0"/>
        <w:rPr>
          <w:rFonts w:ascii="Aptos" w:eastAsia="Aptos" w:hAnsi="Aptos" w:cs="Aptos"/>
          <w:i/>
          <w:iCs/>
        </w:rPr>
      </w:pPr>
      <w:r w:rsidRPr="009893F4">
        <w:rPr>
          <w:rFonts w:ascii="Aptos" w:eastAsia="Aptos" w:hAnsi="Aptos" w:cs="Aptos"/>
          <w:i/>
          <w:iCs/>
        </w:rPr>
        <w:t>Integrate Services and empower communities</w:t>
      </w:r>
    </w:p>
    <w:p w14:paraId="71EDFF17" w14:textId="6A167641" w:rsidR="74D0C48F" w:rsidRDefault="74D0C48F" w:rsidP="00BD0DD8">
      <w:pPr>
        <w:pStyle w:val="ListParagraph"/>
        <w:numPr>
          <w:ilvl w:val="0"/>
          <w:numId w:val="4"/>
        </w:numPr>
        <w:spacing w:after="0" w:line="276" w:lineRule="auto"/>
        <w:ind w:left="360"/>
        <w:rPr>
          <w:rFonts w:ascii="Aptos" w:eastAsia="Aptos" w:hAnsi="Aptos" w:cs="Aptos"/>
        </w:rPr>
      </w:pPr>
      <w:r w:rsidRPr="009893F4">
        <w:rPr>
          <w:rFonts w:ascii="Aptos" w:eastAsia="Aptos" w:hAnsi="Aptos" w:cs="Aptos"/>
        </w:rPr>
        <w:t>Foster better coordination between health, social care, and community services to support the needs of our ageing population and those with long-term conditions.</w:t>
      </w:r>
    </w:p>
    <w:p w14:paraId="28ED9397" w14:textId="51E3AB1A" w:rsidR="74D0C48F" w:rsidRDefault="74D0C48F" w:rsidP="00BD0DD8">
      <w:pPr>
        <w:pStyle w:val="ListParagraph"/>
        <w:numPr>
          <w:ilvl w:val="0"/>
          <w:numId w:val="4"/>
        </w:numPr>
        <w:spacing w:after="0" w:line="276" w:lineRule="auto"/>
        <w:ind w:left="360"/>
        <w:rPr>
          <w:rFonts w:ascii="Aptos" w:eastAsia="Aptos" w:hAnsi="Aptos" w:cs="Aptos"/>
        </w:rPr>
      </w:pPr>
      <w:r w:rsidRPr="009893F4">
        <w:rPr>
          <w:rFonts w:ascii="Aptos" w:eastAsia="Aptos" w:hAnsi="Aptos" w:cs="Aptos"/>
        </w:rPr>
        <w:t>Develop multidisciplinary teams and shared care plans for joined-up, person-centred care.</w:t>
      </w:r>
    </w:p>
    <w:p w14:paraId="2F4F094A" w14:textId="1B1178D1" w:rsidR="74D0C48F" w:rsidRDefault="74D0C48F" w:rsidP="00BD0DD8">
      <w:pPr>
        <w:pStyle w:val="ListParagraph"/>
        <w:numPr>
          <w:ilvl w:val="0"/>
          <w:numId w:val="4"/>
        </w:numPr>
        <w:spacing w:after="0" w:line="276" w:lineRule="auto"/>
        <w:ind w:left="360"/>
        <w:rPr>
          <w:rFonts w:ascii="Aptos" w:eastAsia="Aptos" w:hAnsi="Aptos" w:cs="Aptos"/>
        </w:rPr>
      </w:pPr>
      <w:r w:rsidRPr="009893F4">
        <w:rPr>
          <w:rFonts w:ascii="Aptos" w:eastAsia="Aptos" w:hAnsi="Aptos" w:cs="Aptos"/>
        </w:rPr>
        <w:lastRenderedPageBreak/>
        <w:t>Use community development approaches to empower people to manage their own health and wellbeing and involve them in identifying needs and co-designing solutions.</w:t>
      </w:r>
    </w:p>
    <w:p w14:paraId="7005EBA7" w14:textId="1B93081D" w:rsidR="74D0C48F" w:rsidRDefault="74D0C48F" w:rsidP="00BD0DD8">
      <w:pPr>
        <w:pStyle w:val="ListParagraph"/>
        <w:numPr>
          <w:ilvl w:val="0"/>
          <w:numId w:val="4"/>
        </w:numPr>
        <w:spacing w:after="0" w:line="276" w:lineRule="auto"/>
        <w:ind w:left="360"/>
        <w:rPr>
          <w:rFonts w:ascii="Aptos" w:eastAsia="Aptos" w:hAnsi="Aptos" w:cs="Aptos"/>
        </w:rPr>
      </w:pPr>
      <w:r w:rsidRPr="009893F4">
        <w:rPr>
          <w:rFonts w:ascii="Aptos" w:eastAsia="Aptos" w:hAnsi="Aptos" w:cs="Aptos"/>
        </w:rPr>
        <w:t>Build partnerships with local organisations, VCFSE, schools, and faith groups to maximise reach and impact.</w:t>
      </w:r>
    </w:p>
    <w:p w14:paraId="787107DF" w14:textId="287C94E6" w:rsidR="517600A3" w:rsidRDefault="517600A3" w:rsidP="517600A3">
      <w:pPr>
        <w:shd w:val="clear" w:color="auto" w:fill="FFFFFF" w:themeFill="background1"/>
        <w:spacing w:after="0" w:line="276" w:lineRule="auto"/>
        <w:rPr>
          <w:rFonts w:ascii="Aptos" w:eastAsia="Aptos" w:hAnsi="Aptos" w:cs="Aptos"/>
          <w:b/>
          <w:bCs/>
          <w:color w:val="000000" w:themeColor="text1"/>
        </w:rPr>
      </w:pPr>
    </w:p>
    <w:p w14:paraId="45AF345A" w14:textId="095C7719" w:rsidR="009893F4" w:rsidRPr="003256DA" w:rsidRDefault="21EF1762" w:rsidP="003256DA">
      <w:pPr>
        <w:pStyle w:val="Heading2"/>
      </w:pPr>
      <w:bookmarkStart w:id="119" w:name="_Toc220937639"/>
      <w:r w:rsidRPr="009893F4">
        <w:t>Key Actions</w:t>
      </w:r>
      <w:bookmarkEnd w:id="119"/>
      <w:r w:rsidRPr="009893F4">
        <w:t xml:space="preserve"> </w:t>
      </w:r>
    </w:p>
    <w:p w14:paraId="390E3F02" w14:textId="7F79411B" w:rsidR="0EF8F506" w:rsidRDefault="36E3E015" w:rsidP="009893F4">
      <w:pPr>
        <w:spacing w:after="0" w:line="360" w:lineRule="auto"/>
        <w:rPr>
          <w:rFonts w:ascii="Aptos" w:eastAsia="Aptos" w:hAnsi="Aptos" w:cs="Aptos"/>
          <w:i/>
          <w:iCs/>
          <w:color w:val="000000" w:themeColor="text1"/>
        </w:rPr>
      </w:pPr>
      <w:r w:rsidRPr="517600A3">
        <w:rPr>
          <w:rFonts w:ascii="Aptos" w:eastAsia="Aptos" w:hAnsi="Aptos" w:cs="Aptos"/>
          <w:i/>
          <w:iCs/>
          <w:color w:val="000000" w:themeColor="text1"/>
        </w:rPr>
        <w:t xml:space="preserve">The ICB as a strategic commissioner and crucial partner must ensure our </w:t>
      </w:r>
      <w:r w:rsidR="4CE22650" w:rsidRPr="517600A3">
        <w:rPr>
          <w:rFonts w:ascii="Aptos" w:eastAsia="Aptos" w:hAnsi="Aptos" w:cs="Aptos"/>
          <w:i/>
          <w:iCs/>
          <w:color w:val="000000" w:themeColor="text1"/>
        </w:rPr>
        <w:t>collective</w:t>
      </w:r>
      <w:r w:rsidRPr="517600A3">
        <w:rPr>
          <w:rFonts w:ascii="Aptos" w:eastAsia="Aptos" w:hAnsi="Aptos" w:cs="Aptos"/>
          <w:i/>
          <w:iCs/>
          <w:color w:val="000000" w:themeColor="text1"/>
        </w:rPr>
        <w:t xml:space="preserve"> approach to commissioning:</w:t>
      </w:r>
    </w:p>
    <w:p w14:paraId="2F018BC8" w14:textId="0E05668C" w:rsidR="34644D95" w:rsidRDefault="34644D95" w:rsidP="517600A3">
      <w:pPr>
        <w:pStyle w:val="ListParagraph"/>
        <w:numPr>
          <w:ilvl w:val="0"/>
          <w:numId w:val="31"/>
        </w:numPr>
      </w:pPr>
      <w:r w:rsidRPr="517600A3">
        <w:rPr>
          <w:rFonts w:ascii="Aptos" w:eastAsia="Aptos" w:hAnsi="Aptos" w:cs="Aptos"/>
        </w:rPr>
        <w:t>Is optimised using data, intelligence and analytics to support a common understanding of the needs, opportunities and lived experience of staff and residents/patients across whole pathways, as well supporting informed decision-making, identification of priority cohorts and enabling the identification and monitoring of key metrics</w:t>
      </w:r>
    </w:p>
    <w:p w14:paraId="1B17EC16" w14:textId="67B8D47D" w:rsidR="1A0DCD32" w:rsidRDefault="0E3BA112" w:rsidP="00345960">
      <w:pPr>
        <w:pStyle w:val="ListParagraph"/>
        <w:numPr>
          <w:ilvl w:val="0"/>
          <w:numId w:val="31"/>
        </w:numPr>
      </w:pPr>
      <w:r>
        <w:t xml:space="preserve">Is shifting its resources to the places and people that need it in the right way </w:t>
      </w:r>
      <w:r w:rsidR="24150C12">
        <w:t>by</w:t>
      </w:r>
      <w:r>
        <w:t xml:space="preserve"> i</w:t>
      </w:r>
      <w:r w:rsidR="71BA75B8">
        <w:t>ncentivis</w:t>
      </w:r>
      <w:r w:rsidR="2CEBF410">
        <w:t>ing</w:t>
      </w:r>
      <w:r w:rsidR="71BA75B8">
        <w:t xml:space="preserve"> the shift to preventative action for the whole population, whilst prioritising our most disadvantaged communities</w:t>
      </w:r>
    </w:p>
    <w:p w14:paraId="620D238D" w14:textId="2B3A0031" w:rsidR="52F74906" w:rsidRDefault="52F74906" w:rsidP="00345960">
      <w:pPr>
        <w:pStyle w:val="ListParagraph"/>
        <w:numPr>
          <w:ilvl w:val="0"/>
          <w:numId w:val="31"/>
        </w:numPr>
      </w:pPr>
      <w:r w:rsidRPr="009893F4">
        <w:t>Is built on evidence-backed approaches that combine clinical intervention with wider community-based support that enable people to access support at the right time, and to overcome barriers to achieving good health outcomes</w:t>
      </w:r>
    </w:p>
    <w:p w14:paraId="3C5AFD4E" w14:textId="481DFDA2" w:rsidR="52F74906" w:rsidRDefault="71BA75B8" w:rsidP="00345960">
      <w:pPr>
        <w:pStyle w:val="ListParagraph"/>
        <w:numPr>
          <w:ilvl w:val="0"/>
          <w:numId w:val="31"/>
        </w:numPr>
      </w:pPr>
      <w:r>
        <w:t xml:space="preserve">Is supported by timely decision making that prioritises delivery against </w:t>
      </w:r>
      <w:r w:rsidR="4D043F65">
        <w:t>longer term outcomes</w:t>
      </w:r>
      <w:r>
        <w:t xml:space="preserve"> indicators over a three-to-five-</w:t>
      </w:r>
      <w:r w:rsidR="3E30B57F">
        <w:t>to-</w:t>
      </w:r>
      <w:proofErr w:type="gramStart"/>
      <w:r w:rsidR="3E30B57F">
        <w:t xml:space="preserve">ten </w:t>
      </w:r>
      <w:r>
        <w:t>year</w:t>
      </w:r>
      <w:proofErr w:type="gramEnd"/>
      <w:r>
        <w:t xml:space="preserve"> period that ensure</w:t>
      </w:r>
      <w:r w:rsidR="4F3D8B46">
        <w:t>s</w:t>
      </w:r>
      <w:r>
        <w:t xml:space="preserve"> we remain on track to achieve </w:t>
      </w:r>
      <w:r w:rsidR="536C673E">
        <w:t xml:space="preserve">longer term </w:t>
      </w:r>
      <w:r>
        <w:t>outcomes</w:t>
      </w:r>
      <w:r w:rsidR="40C676FC">
        <w:t>. This must build on the successes already achieved.</w:t>
      </w:r>
    </w:p>
    <w:p w14:paraId="67A39EC1" w14:textId="51F0C37C" w:rsidR="007008CA" w:rsidRPr="00E36B8D" w:rsidRDefault="52F74906" w:rsidP="00E36B8D">
      <w:pPr>
        <w:pStyle w:val="ListParagraph"/>
        <w:numPr>
          <w:ilvl w:val="0"/>
          <w:numId w:val="31"/>
        </w:numPr>
      </w:pPr>
      <w:r w:rsidRPr="009893F4">
        <w:t>Supports local autonomy to develop approaches</w:t>
      </w:r>
      <w:r w:rsidR="423A10A9" w:rsidRPr="009893F4">
        <w:t xml:space="preserve"> to make decisions as close to people</w:t>
      </w:r>
      <w:r w:rsidRPr="009893F4">
        <w:t xml:space="preserve"> which best support partnership working and integration on the most appropriate population footprints within a clear outcomes' framework</w:t>
      </w:r>
    </w:p>
    <w:p w14:paraId="73CC44C6" w14:textId="06BEFAAE" w:rsidR="0474EEAF" w:rsidRDefault="0474EEAF" w:rsidP="009893F4">
      <w:pPr>
        <w:spacing w:after="0" w:line="360" w:lineRule="auto"/>
        <w:rPr>
          <w:rFonts w:ascii="Aptos" w:eastAsia="Aptos" w:hAnsi="Aptos" w:cs="Aptos"/>
          <w:i/>
          <w:iCs/>
          <w:color w:val="000000" w:themeColor="text1"/>
        </w:rPr>
      </w:pPr>
      <w:r w:rsidRPr="009893F4">
        <w:rPr>
          <w:rFonts w:ascii="Aptos" w:eastAsia="Aptos" w:hAnsi="Aptos" w:cs="Aptos"/>
          <w:i/>
          <w:iCs/>
          <w:color w:val="000000" w:themeColor="text1"/>
        </w:rPr>
        <w:t>The ICB as a crucial partner within a health and care partnership must:</w:t>
      </w:r>
    </w:p>
    <w:p w14:paraId="06E91D94" w14:textId="71B2E9C4" w:rsidR="52F74906" w:rsidRDefault="52F74906" w:rsidP="00345960">
      <w:pPr>
        <w:pStyle w:val="ListParagraph"/>
        <w:numPr>
          <w:ilvl w:val="0"/>
          <w:numId w:val="32"/>
        </w:numPr>
      </w:pPr>
      <w:r w:rsidRPr="009893F4">
        <w:t xml:space="preserve">Use our collective resources to address the wider social determinants of health to work towards thriving and empowered communities. </w:t>
      </w:r>
    </w:p>
    <w:p w14:paraId="0D6B65CA" w14:textId="53E7BB1B" w:rsidR="52F74906" w:rsidRDefault="52F74906" w:rsidP="00345960">
      <w:pPr>
        <w:pStyle w:val="ListParagraph"/>
        <w:numPr>
          <w:ilvl w:val="0"/>
          <w:numId w:val="32"/>
        </w:numPr>
      </w:pPr>
      <w:r w:rsidRPr="009893F4">
        <w:t>Be clear about its own role, the roles of others and what we will deliver jointly.</w:t>
      </w:r>
    </w:p>
    <w:p w14:paraId="7A3C5F6D" w14:textId="77777777" w:rsidR="007C0042" w:rsidRDefault="007C0042" w:rsidP="007C0042"/>
    <w:p w14:paraId="49C332DE" w14:textId="77777777" w:rsidR="007C0042" w:rsidRDefault="007C0042" w:rsidP="007C0042"/>
    <w:p w14:paraId="1505658D" w14:textId="15839F81" w:rsidR="002C6DD9" w:rsidRDefault="002C6DD9" w:rsidP="007C0042"/>
    <w:p w14:paraId="32D246C5" w14:textId="77777777" w:rsidR="00EB682C" w:rsidRDefault="00EB682C" w:rsidP="007C0042"/>
    <w:p w14:paraId="7D807082" w14:textId="173A62CA" w:rsidR="22A60038" w:rsidRDefault="6F837497" w:rsidP="00D44788">
      <w:pPr>
        <w:pStyle w:val="Heading2"/>
      </w:pPr>
      <w:bookmarkStart w:id="120" w:name="_Toc220937640"/>
      <w:r w:rsidRPr="517600A3">
        <w:lastRenderedPageBreak/>
        <w:t>Longer term (12-15 years)</w:t>
      </w:r>
      <w:r w:rsidR="3C58A396" w:rsidRPr="517600A3">
        <w:t xml:space="preserve"> health indicators</w:t>
      </w:r>
      <w:r w:rsidR="51DA9A6A" w:rsidRPr="517600A3">
        <w:t>*</w:t>
      </w:r>
      <w:r w:rsidR="3C58A396" w:rsidRPr="517600A3">
        <w:t xml:space="preserve"> to be considered for joint ac</w:t>
      </w:r>
      <w:r w:rsidR="010AABFC" w:rsidRPr="517600A3">
        <w:t>tion</w:t>
      </w:r>
      <w:bookmarkEnd w:id="120"/>
    </w:p>
    <w:p w14:paraId="77195B9F" w14:textId="77777777" w:rsidR="00534B19" w:rsidRDefault="00534B19" w:rsidP="009893F4">
      <w:pPr>
        <w:shd w:val="clear" w:color="auto" w:fill="FFFFFF" w:themeFill="background1"/>
        <w:spacing w:after="0" w:line="276" w:lineRule="auto"/>
        <w:rPr>
          <w:sz w:val="16"/>
          <w:szCs w:val="1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534B19" w14:paraId="6DD03F03" w14:textId="77777777" w:rsidTr="00534B19">
        <w:tc>
          <w:tcPr>
            <w:tcW w:w="1805" w:type="dxa"/>
            <w:vAlign w:val="center"/>
          </w:tcPr>
          <w:p w14:paraId="60612BD3" w14:textId="7036960B" w:rsidR="00534B19" w:rsidRDefault="00534B19" w:rsidP="00534B19">
            <w:pPr>
              <w:spacing w:line="276" w:lineRule="auto"/>
              <w:rPr>
                <w:sz w:val="16"/>
                <w:szCs w:val="16"/>
              </w:rPr>
            </w:pPr>
            <w:r w:rsidRPr="00534B19">
              <w:rPr>
                <w:rFonts w:ascii="Aptos Narrow" w:eastAsia="Times New Roman" w:hAnsi="Aptos Narrow" w:cs="Times New Roman"/>
                <w:b/>
                <w:bCs/>
                <w:color w:val="000000"/>
                <w:kern w:val="0"/>
                <w:sz w:val="22"/>
                <w:szCs w:val="22"/>
                <w:lang w:eastAsia="en-GB"/>
                <w14:ligatures w14:val="none"/>
              </w:rPr>
              <w:t>Mortality</w:t>
            </w:r>
            <w:r w:rsidRPr="00534B19">
              <w:rPr>
                <w:rFonts w:ascii="Aptos Narrow" w:eastAsia="Times New Roman" w:hAnsi="Aptos Narrow" w:cs="Times New Roman"/>
                <w:color w:val="000000"/>
                <w:kern w:val="0"/>
                <w:sz w:val="22"/>
                <w:szCs w:val="22"/>
                <w:lang w:eastAsia="en-GB"/>
                <w14:ligatures w14:val="none"/>
              </w:rPr>
              <w:t>: reductions in mortality for preventable conditions</w:t>
            </w:r>
          </w:p>
        </w:tc>
        <w:tc>
          <w:tcPr>
            <w:tcW w:w="1805" w:type="dxa"/>
            <w:vAlign w:val="center"/>
          </w:tcPr>
          <w:p w14:paraId="12B0C7FB" w14:textId="07AF0EFB" w:rsidR="00534B19" w:rsidRDefault="00534B19" w:rsidP="00534B19">
            <w:pPr>
              <w:spacing w:line="276" w:lineRule="auto"/>
              <w:rPr>
                <w:sz w:val="16"/>
                <w:szCs w:val="16"/>
              </w:rPr>
            </w:pPr>
            <w:r w:rsidRPr="00534B19">
              <w:rPr>
                <w:rFonts w:ascii="Aptos Narrow" w:eastAsia="Times New Roman" w:hAnsi="Aptos Narrow" w:cs="Times New Roman"/>
                <w:b/>
                <w:bCs/>
                <w:color w:val="000000"/>
                <w:kern w:val="0"/>
                <w:sz w:val="22"/>
                <w:szCs w:val="22"/>
                <w:lang w:eastAsia="en-GB"/>
                <w14:ligatures w14:val="none"/>
              </w:rPr>
              <w:t>Life</w:t>
            </w:r>
            <w:r w:rsidRPr="00534B19">
              <w:rPr>
                <w:rFonts w:ascii="Aptos Narrow" w:eastAsia="Times New Roman" w:hAnsi="Aptos Narrow" w:cs="Times New Roman"/>
                <w:color w:val="000000"/>
                <w:kern w:val="0"/>
                <w:sz w:val="22"/>
                <w:szCs w:val="22"/>
                <w:lang w:eastAsia="en-GB"/>
                <w14:ligatures w14:val="none"/>
              </w:rPr>
              <w:t xml:space="preserve"> </w:t>
            </w:r>
            <w:r w:rsidRPr="00534B19">
              <w:rPr>
                <w:rFonts w:ascii="Aptos Narrow" w:eastAsia="Times New Roman" w:hAnsi="Aptos Narrow" w:cs="Times New Roman"/>
                <w:b/>
                <w:bCs/>
                <w:color w:val="000000"/>
                <w:kern w:val="0"/>
                <w:sz w:val="22"/>
                <w:szCs w:val="22"/>
                <w:lang w:eastAsia="en-GB"/>
                <w14:ligatures w14:val="none"/>
              </w:rPr>
              <w:t>expectancy</w:t>
            </w:r>
            <w:r w:rsidRPr="00534B19">
              <w:rPr>
                <w:rFonts w:ascii="Aptos Narrow" w:eastAsia="Times New Roman" w:hAnsi="Aptos Narrow" w:cs="Times New Roman"/>
                <w:color w:val="000000"/>
                <w:kern w:val="0"/>
                <w:sz w:val="22"/>
                <w:szCs w:val="22"/>
                <w:lang w:eastAsia="en-GB"/>
                <w14:ligatures w14:val="none"/>
              </w:rPr>
              <w:t>: increase in average life expectancy across the ICB population</w:t>
            </w:r>
          </w:p>
        </w:tc>
        <w:tc>
          <w:tcPr>
            <w:tcW w:w="1805" w:type="dxa"/>
            <w:vAlign w:val="center"/>
          </w:tcPr>
          <w:p w14:paraId="5F60B1E5" w14:textId="4FA5266A" w:rsidR="00534B19" w:rsidRDefault="00534B19" w:rsidP="00534B19">
            <w:pPr>
              <w:spacing w:line="276" w:lineRule="auto"/>
              <w:rPr>
                <w:sz w:val="16"/>
                <w:szCs w:val="16"/>
              </w:rPr>
            </w:pPr>
            <w:r w:rsidRPr="00534B19">
              <w:rPr>
                <w:rFonts w:ascii="Aptos Narrow" w:eastAsia="Times New Roman" w:hAnsi="Aptos Narrow" w:cs="Times New Roman"/>
                <w:b/>
                <w:bCs/>
                <w:color w:val="000000"/>
                <w:kern w:val="0"/>
                <w:sz w:val="22"/>
                <w:szCs w:val="22"/>
                <w:lang w:eastAsia="en-GB"/>
                <w14:ligatures w14:val="none"/>
              </w:rPr>
              <w:t>Equity</w:t>
            </w:r>
            <w:r w:rsidRPr="00534B19">
              <w:rPr>
                <w:rFonts w:ascii="Aptos Narrow" w:eastAsia="Times New Roman" w:hAnsi="Aptos Narrow" w:cs="Times New Roman"/>
                <w:color w:val="000000"/>
                <w:kern w:val="0"/>
                <w:sz w:val="22"/>
                <w:szCs w:val="22"/>
                <w:lang w:eastAsia="en-GB"/>
                <w14:ligatures w14:val="none"/>
              </w:rPr>
              <w:t xml:space="preserve">: reduced gap in life expectancy between inclusion groups and the general population within ICB </w:t>
            </w:r>
          </w:p>
        </w:tc>
        <w:tc>
          <w:tcPr>
            <w:tcW w:w="1805" w:type="dxa"/>
            <w:vAlign w:val="center"/>
          </w:tcPr>
          <w:p w14:paraId="22F4B357" w14:textId="44F5E5F9" w:rsidR="00534B19" w:rsidRDefault="00534B19" w:rsidP="00534B19">
            <w:pPr>
              <w:spacing w:line="276" w:lineRule="auto"/>
              <w:rPr>
                <w:sz w:val="16"/>
                <w:szCs w:val="16"/>
              </w:rPr>
            </w:pPr>
            <w:r w:rsidRPr="00534B19">
              <w:rPr>
                <w:rFonts w:ascii="Aptos Narrow" w:eastAsia="Times New Roman" w:hAnsi="Aptos Narrow" w:cs="Times New Roman"/>
                <w:b/>
                <w:bCs/>
                <w:color w:val="000000"/>
                <w:kern w:val="0"/>
                <w:sz w:val="22"/>
                <w:szCs w:val="22"/>
                <w:lang w:eastAsia="en-GB"/>
                <w14:ligatures w14:val="none"/>
              </w:rPr>
              <w:t>Population</w:t>
            </w:r>
            <w:r w:rsidRPr="00534B19">
              <w:rPr>
                <w:rFonts w:ascii="Aptos Narrow" w:eastAsia="Times New Roman" w:hAnsi="Aptos Narrow" w:cs="Times New Roman"/>
                <w:color w:val="000000"/>
                <w:kern w:val="0"/>
                <w:sz w:val="22"/>
                <w:szCs w:val="22"/>
                <w:lang w:eastAsia="en-GB"/>
                <w14:ligatures w14:val="none"/>
              </w:rPr>
              <w:t xml:space="preserve"> </w:t>
            </w:r>
            <w:r w:rsidRPr="00534B19">
              <w:rPr>
                <w:rFonts w:ascii="Aptos Narrow" w:eastAsia="Times New Roman" w:hAnsi="Aptos Narrow" w:cs="Times New Roman"/>
                <w:b/>
                <w:bCs/>
                <w:color w:val="000000"/>
                <w:kern w:val="0"/>
                <w:sz w:val="22"/>
                <w:szCs w:val="22"/>
                <w:lang w:eastAsia="en-GB"/>
                <w14:ligatures w14:val="none"/>
              </w:rPr>
              <w:t>wellbeing</w:t>
            </w:r>
            <w:r w:rsidRPr="00534B19">
              <w:rPr>
                <w:rFonts w:ascii="Aptos Narrow" w:eastAsia="Times New Roman" w:hAnsi="Aptos Narrow" w:cs="Times New Roman"/>
                <w:color w:val="000000"/>
                <w:kern w:val="0"/>
                <w:sz w:val="22"/>
                <w:szCs w:val="22"/>
                <w:lang w:eastAsia="en-GB"/>
                <w14:ligatures w14:val="none"/>
              </w:rPr>
              <w:t>: improved quality of life, reduced morbidity, and healthier ageing within the ICB population</w:t>
            </w:r>
          </w:p>
        </w:tc>
        <w:tc>
          <w:tcPr>
            <w:tcW w:w="1806" w:type="dxa"/>
            <w:vAlign w:val="center"/>
          </w:tcPr>
          <w:p w14:paraId="2090CB34" w14:textId="33D4202D" w:rsidR="00534B19" w:rsidRDefault="00534B19" w:rsidP="00534B19">
            <w:pPr>
              <w:spacing w:line="276" w:lineRule="auto"/>
              <w:rPr>
                <w:sz w:val="16"/>
                <w:szCs w:val="16"/>
              </w:rPr>
            </w:pPr>
            <w:r w:rsidRPr="00534B19">
              <w:rPr>
                <w:rFonts w:ascii="Aptos Narrow" w:eastAsia="Times New Roman" w:hAnsi="Aptos Narrow" w:cs="Times New Roman"/>
                <w:b/>
                <w:bCs/>
                <w:color w:val="000000"/>
                <w:kern w:val="0"/>
                <w:sz w:val="22"/>
                <w:szCs w:val="22"/>
                <w:lang w:eastAsia="en-GB"/>
                <w14:ligatures w14:val="none"/>
              </w:rPr>
              <w:t>System</w:t>
            </w:r>
            <w:r w:rsidRPr="00534B19">
              <w:rPr>
                <w:rFonts w:ascii="Aptos Narrow" w:eastAsia="Times New Roman" w:hAnsi="Aptos Narrow" w:cs="Times New Roman"/>
                <w:color w:val="000000"/>
                <w:kern w:val="0"/>
                <w:sz w:val="22"/>
                <w:szCs w:val="22"/>
                <w:lang w:eastAsia="en-GB"/>
                <w14:ligatures w14:val="none"/>
              </w:rPr>
              <w:t xml:space="preserve"> </w:t>
            </w:r>
            <w:r w:rsidRPr="00534B19">
              <w:rPr>
                <w:rFonts w:ascii="Aptos Narrow" w:eastAsia="Times New Roman" w:hAnsi="Aptos Narrow" w:cs="Times New Roman"/>
                <w:b/>
                <w:bCs/>
                <w:color w:val="000000"/>
                <w:kern w:val="0"/>
                <w:sz w:val="22"/>
                <w:szCs w:val="22"/>
                <w:lang w:eastAsia="en-GB"/>
                <w14:ligatures w14:val="none"/>
              </w:rPr>
              <w:t>resilience</w:t>
            </w:r>
            <w:r w:rsidRPr="00534B19">
              <w:rPr>
                <w:rFonts w:ascii="Aptos Narrow" w:eastAsia="Times New Roman" w:hAnsi="Aptos Narrow" w:cs="Times New Roman"/>
                <w:color w:val="000000"/>
                <w:kern w:val="0"/>
                <w:sz w:val="22"/>
                <w:szCs w:val="22"/>
                <w:lang w:eastAsia="en-GB"/>
                <w14:ligatures w14:val="none"/>
              </w:rPr>
              <w:t>: to enable sustainable delivery of the outcomes</w:t>
            </w:r>
          </w:p>
        </w:tc>
      </w:tr>
    </w:tbl>
    <w:p w14:paraId="0E1E9983" w14:textId="77777777" w:rsidR="00534B19" w:rsidRDefault="00534B19" w:rsidP="009893F4">
      <w:pPr>
        <w:shd w:val="clear" w:color="auto" w:fill="FFFFFF" w:themeFill="background1"/>
        <w:spacing w:after="0" w:line="276" w:lineRule="auto"/>
        <w:rPr>
          <w:sz w:val="16"/>
          <w:szCs w:val="16"/>
        </w:rPr>
      </w:pPr>
    </w:p>
    <w:p w14:paraId="19FC5698" w14:textId="77777777" w:rsidR="00534B19" w:rsidRDefault="00534B19" w:rsidP="009893F4">
      <w:pPr>
        <w:shd w:val="clear" w:color="auto" w:fill="FFFFFF" w:themeFill="background1"/>
        <w:spacing w:after="0" w:line="276" w:lineRule="auto"/>
        <w:rPr>
          <w:sz w:val="16"/>
          <w:szCs w:val="16"/>
        </w:rPr>
      </w:pPr>
    </w:p>
    <w:p w14:paraId="10D65F39" w14:textId="46F401F8" w:rsidR="44389FFC" w:rsidRDefault="4B0D95A8" w:rsidP="009893F4">
      <w:pPr>
        <w:shd w:val="clear" w:color="auto" w:fill="FFFFFF" w:themeFill="background1"/>
        <w:spacing w:after="0" w:line="276" w:lineRule="auto"/>
        <w:rPr>
          <w:sz w:val="16"/>
          <w:szCs w:val="16"/>
        </w:rPr>
      </w:pPr>
      <w:r w:rsidRPr="517600A3">
        <w:rPr>
          <w:sz w:val="16"/>
          <w:szCs w:val="16"/>
        </w:rPr>
        <w:t>*Indicators require engagement and collaborative agreement</w:t>
      </w:r>
      <w:r w:rsidR="55C894C3" w:rsidRPr="517600A3">
        <w:rPr>
          <w:sz w:val="16"/>
          <w:szCs w:val="16"/>
        </w:rPr>
        <w:t xml:space="preserve"> on further metrics at 1, 3, 5 &amp; 10 years that set out how we are going to get there</w:t>
      </w:r>
    </w:p>
    <w:p w14:paraId="1FBD76A8" w14:textId="6374659E" w:rsidR="009893F4" w:rsidRDefault="009893F4" w:rsidP="517600A3">
      <w:pPr>
        <w:shd w:val="clear" w:color="auto" w:fill="FFFFFF" w:themeFill="background1"/>
        <w:spacing w:after="0" w:line="276" w:lineRule="auto"/>
        <w:rPr>
          <w:rFonts w:eastAsiaTheme="minorEastAsia"/>
        </w:rPr>
      </w:pPr>
    </w:p>
    <w:p w14:paraId="0ADC22A3" w14:textId="2F57990C" w:rsidR="057C5CB3" w:rsidRDefault="05601D4F" w:rsidP="00D44788">
      <w:pPr>
        <w:pStyle w:val="Heading2"/>
      </w:pPr>
      <w:bookmarkStart w:id="121" w:name="_Toc220937641"/>
      <w:r w:rsidRPr="088E8AEE">
        <w:t>Next Steps</w:t>
      </w:r>
      <w:bookmarkEnd w:id="121"/>
      <w:r w:rsidRPr="088E8AEE">
        <w:t xml:space="preserve"> </w:t>
      </w:r>
    </w:p>
    <w:p w14:paraId="1957A1E3" w14:textId="60EE164C" w:rsidR="517600A3" w:rsidRDefault="517600A3" w:rsidP="517600A3">
      <w:pPr>
        <w:shd w:val="clear" w:color="auto" w:fill="FFFFFF" w:themeFill="background1"/>
        <w:spacing w:after="0" w:line="276" w:lineRule="auto"/>
        <w:rPr>
          <w:rFonts w:eastAsiaTheme="minorEastAsia"/>
          <w:b/>
          <w:bCs/>
        </w:rPr>
      </w:pPr>
    </w:p>
    <w:p w14:paraId="085BE41F" w14:textId="0209094F" w:rsidR="009893F4" w:rsidRDefault="3A534F4B" w:rsidP="009893F4">
      <w:pPr>
        <w:shd w:val="clear" w:color="auto" w:fill="FFFFFF" w:themeFill="background1"/>
        <w:spacing w:after="0" w:line="276" w:lineRule="auto"/>
      </w:pPr>
      <w:r>
        <w:rPr>
          <w:noProof/>
        </w:rPr>
        <w:drawing>
          <wp:inline distT="0" distB="0" distL="0" distR="0" wp14:anchorId="2522021E" wp14:editId="52FFE994">
            <wp:extent cx="5724525" cy="2876550"/>
            <wp:effectExtent l="0" t="0" r="0" b="0"/>
            <wp:docPr id="299635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3528" name="Picture 29963528"/>
                    <pic:cNvPicPr/>
                  </pic:nvPicPr>
                  <pic:blipFill>
                    <a:blip r:embed="rId87">
                      <a:extLst>
                        <a:ext uri="{28A0092B-C50C-407E-A947-70E740481C1C}">
                          <a14:useLocalDpi xmlns:a14="http://schemas.microsoft.com/office/drawing/2010/main"/>
                        </a:ext>
                      </a:extLst>
                    </a:blip>
                    <a:stretch>
                      <a:fillRect/>
                    </a:stretch>
                  </pic:blipFill>
                  <pic:spPr>
                    <a:xfrm>
                      <a:off x="0" y="0"/>
                      <a:ext cx="5724525" cy="2876550"/>
                    </a:xfrm>
                    <a:prstGeom prst="rect">
                      <a:avLst/>
                    </a:prstGeom>
                  </pic:spPr>
                </pic:pic>
              </a:graphicData>
            </a:graphic>
          </wp:inline>
        </w:drawing>
      </w:r>
    </w:p>
    <w:p w14:paraId="0D34EEED" w14:textId="772EB49D" w:rsidR="009893F4" w:rsidRDefault="009893F4" w:rsidP="009893F4">
      <w:pPr>
        <w:shd w:val="clear" w:color="auto" w:fill="FFFFFF" w:themeFill="background1"/>
        <w:spacing w:after="0" w:line="276" w:lineRule="auto"/>
        <w:rPr>
          <w:rFonts w:eastAsiaTheme="minorEastAsia"/>
          <w:b/>
          <w:bCs/>
        </w:rPr>
      </w:pPr>
    </w:p>
    <w:p w14:paraId="4DE68960" w14:textId="0D3D3901" w:rsidR="009893F4" w:rsidRDefault="009893F4" w:rsidP="009893F4">
      <w:pPr>
        <w:shd w:val="clear" w:color="auto" w:fill="FFFFFF" w:themeFill="background1"/>
        <w:spacing w:after="0" w:line="276" w:lineRule="auto"/>
      </w:pPr>
    </w:p>
    <w:p w14:paraId="063F5CAB" w14:textId="2698E123" w:rsidR="009893F4" w:rsidRDefault="009893F4" w:rsidP="009893F4">
      <w:pPr>
        <w:shd w:val="clear" w:color="auto" w:fill="FFFFFF" w:themeFill="background1"/>
        <w:spacing w:after="0" w:line="276" w:lineRule="auto"/>
        <w:rPr>
          <w:rFonts w:eastAsiaTheme="minorEastAsia"/>
        </w:rPr>
      </w:pPr>
    </w:p>
    <w:p w14:paraId="38766FF3" w14:textId="7BDD0D71" w:rsidR="009893F4" w:rsidRDefault="009893F4" w:rsidP="009893F4">
      <w:pPr>
        <w:shd w:val="clear" w:color="auto" w:fill="FFFFFF" w:themeFill="background1"/>
        <w:spacing w:after="0" w:line="276" w:lineRule="auto"/>
        <w:rPr>
          <w:rFonts w:eastAsiaTheme="minorEastAsia"/>
        </w:rPr>
      </w:pPr>
    </w:p>
    <w:p w14:paraId="6307310A" w14:textId="6720E432" w:rsidR="009893F4" w:rsidRDefault="009893F4" w:rsidP="009893F4">
      <w:pPr>
        <w:shd w:val="clear" w:color="auto" w:fill="FFFFFF" w:themeFill="background1"/>
        <w:spacing w:after="0" w:line="276" w:lineRule="auto"/>
        <w:rPr>
          <w:rFonts w:eastAsiaTheme="minorEastAsia"/>
        </w:rPr>
      </w:pPr>
    </w:p>
    <w:p w14:paraId="391A8750" w14:textId="446D40B8" w:rsidR="009893F4" w:rsidRDefault="009893F4" w:rsidP="517600A3">
      <w:pPr>
        <w:shd w:val="clear" w:color="auto" w:fill="FFFFFF" w:themeFill="background1"/>
        <w:spacing w:after="0" w:line="276" w:lineRule="auto"/>
        <w:rPr>
          <w:rFonts w:eastAsiaTheme="minorEastAsia"/>
        </w:rPr>
      </w:pPr>
    </w:p>
    <w:sectPr w:rsidR="009893F4">
      <w:headerReference w:type="default" r:id="rId88"/>
      <w:footerReference w:type="default" r:id="rI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A62F9" w14:textId="77777777" w:rsidR="00E649B6" w:rsidRDefault="00E649B6" w:rsidP="00C07FBA">
      <w:pPr>
        <w:spacing w:after="0" w:line="240" w:lineRule="auto"/>
      </w:pPr>
      <w:r>
        <w:separator/>
      </w:r>
    </w:p>
  </w:endnote>
  <w:endnote w:type="continuationSeparator" w:id="0">
    <w:p w14:paraId="4D82CA98" w14:textId="77777777" w:rsidR="00E649B6" w:rsidRDefault="00E649B6" w:rsidP="00C07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6C8F0C" w14:paraId="07C5DBCF" w14:textId="77777777" w:rsidTr="776C8F0C">
      <w:trPr>
        <w:trHeight w:val="300"/>
      </w:trPr>
      <w:tc>
        <w:tcPr>
          <w:tcW w:w="3005" w:type="dxa"/>
        </w:tcPr>
        <w:p w14:paraId="111A4046" w14:textId="02C63229" w:rsidR="776C8F0C" w:rsidRDefault="776C8F0C" w:rsidP="776C8F0C">
          <w:pPr>
            <w:pStyle w:val="Header"/>
            <w:ind w:left="-115"/>
          </w:pPr>
        </w:p>
      </w:tc>
      <w:tc>
        <w:tcPr>
          <w:tcW w:w="3005" w:type="dxa"/>
        </w:tcPr>
        <w:p w14:paraId="40228376" w14:textId="519690D3" w:rsidR="776C8F0C" w:rsidRDefault="776C8F0C" w:rsidP="776C8F0C">
          <w:pPr>
            <w:pStyle w:val="Header"/>
            <w:jc w:val="center"/>
          </w:pPr>
        </w:p>
      </w:tc>
      <w:tc>
        <w:tcPr>
          <w:tcW w:w="3005" w:type="dxa"/>
        </w:tcPr>
        <w:p w14:paraId="7393BEA0" w14:textId="369D5D6F" w:rsidR="776C8F0C" w:rsidRDefault="776C8F0C" w:rsidP="776C8F0C">
          <w:pPr>
            <w:pStyle w:val="Header"/>
            <w:ind w:right="-115"/>
            <w:jc w:val="right"/>
          </w:pPr>
        </w:p>
      </w:tc>
    </w:tr>
  </w:tbl>
  <w:p w14:paraId="1F9DE5BA" w14:textId="7567F73E" w:rsidR="00C07FBA" w:rsidRDefault="00C07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F4A8" w14:textId="77777777" w:rsidR="00E649B6" w:rsidRDefault="00E649B6" w:rsidP="00C07FBA">
      <w:pPr>
        <w:spacing w:after="0" w:line="240" w:lineRule="auto"/>
      </w:pPr>
      <w:r>
        <w:separator/>
      </w:r>
    </w:p>
  </w:footnote>
  <w:footnote w:type="continuationSeparator" w:id="0">
    <w:p w14:paraId="645FD62A" w14:textId="77777777" w:rsidR="00E649B6" w:rsidRDefault="00E649B6" w:rsidP="00C07FBA">
      <w:pPr>
        <w:spacing w:after="0" w:line="240" w:lineRule="auto"/>
      </w:pPr>
      <w:r>
        <w:continuationSeparator/>
      </w:r>
    </w:p>
  </w:footnote>
  <w:footnote w:id="1">
    <w:p w14:paraId="1AA142CF" w14:textId="2823E61A" w:rsidR="00366607" w:rsidRPr="00396870" w:rsidRDefault="00366607">
      <w:pPr>
        <w:pStyle w:val="FootnoteText"/>
      </w:pPr>
      <w:r w:rsidRPr="00396870">
        <w:rPr>
          <w:rStyle w:val="FootnoteReference"/>
        </w:rPr>
        <w:footnoteRef/>
      </w:r>
      <w:r w:rsidR="00DC577C" w:rsidRPr="00396870">
        <w:t xml:space="preserve"> </w:t>
      </w:r>
      <w:r w:rsidRPr="00396870">
        <w:t>Department for Environment, Food and Rural Affairs via OHID Fingertips</w:t>
      </w:r>
      <w:r w:rsidR="00EE4DD6" w:rsidRPr="00396870">
        <w:t xml:space="preserve"> (2023)</w:t>
      </w:r>
    </w:p>
  </w:footnote>
  <w:footnote w:id="2">
    <w:p w14:paraId="30A1D175" w14:textId="63F353B1" w:rsidR="00DC577C" w:rsidRPr="00396870" w:rsidRDefault="00DC577C">
      <w:pPr>
        <w:pStyle w:val="FootnoteText"/>
      </w:pPr>
      <w:r w:rsidRPr="00396870">
        <w:rPr>
          <w:rStyle w:val="FootnoteReference"/>
        </w:rPr>
        <w:footnoteRef/>
      </w:r>
      <w:r w:rsidRPr="00396870">
        <w:t xml:space="preserve"> Census 2021</w:t>
      </w:r>
    </w:p>
  </w:footnote>
  <w:footnote w:id="3">
    <w:p w14:paraId="4B5C9EB2" w14:textId="007F289F" w:rsidR="0028121F" w:rsidRPr="00396870" w:rsidRDefault="0028121F">
      <w:pPr>
        <w:pStyle w:val="FootnoteText"/>
      </w:pPr>
      <w:r w:rsidRPr="00396870">
        <w:rPr>
          <w:rStyle w:val="FootnoteReference"/>
        </w:rPr>
        <w:footnoteRef/>
      </w:r>
      <w:r w:rsidRPr="00396870">
        <w:t xml:space="preserve"> </w:t>
      </w:r>
      <w:hyperlink r:id="rId1" w:anchor="technical-notes" w:history="1">
        <w:r w:rsidRPr="00396870">
          <w:rPr>
            <w:rStyle w:val="Hyperlink"/>
          </w:rPr>
          <w:t>English Housing Survey: local authority housing stock condition modelling, 2023 - main report - GOV.UK</w:t>
        </w:r>
      </w:hyperlink>
    </w:p>
  </w:footnote>
  <w:footnote w:id="4">
    <w:p w14:paraId="79E73E11" w14:textId="0F72E5B3" w:rsidR="00934BED" w:rsidRPr="00396870" w:rsidRDefault="00934BED">
      <w:pPr>
        <w:pStyle w:val="FootnoteText"/>
      </w:pPr>
      <w:r w:rsidRPr="00396870">
        <w:rPr>
          <w:rStyle w:val="FootnoteReference"/>
        </w:rPr>
        <w:footnoteRef/>
      </w:r>
      <w:r w:rsidRPr="00396870">
        <w:t xml:space="preserve"> Department for Energy Security and Net Zero via OHID Fingertips (2023)</w:t>
      </w:r>
    </w:p>
  </w:footnote>
  <w:footnote w:id="5">
    <w:p w14:paraId="7EC9C0D4" w14:textId="454311A8" w:rsidR="00A03B30" w:rsidRPr="00396870" w:rsidRDefault="00A03B30">
      <w:pPr>
        <w:pStyle w:val="FootnoteText"/>
      </w:pPr>
      <w:r w:rsidRPr="00396870">
        <w:rPr>
          <w:rStyle w:val="FootnoteReference"/>
        </w:rPr>
        <w:footnoteRef/>
      </w:r>
      <w:r w:rsidRPr="00396870">
        <w:t xml:space="preserve"> Department for Education </w:t>
      </w:r>
      <w:r w:rsidR="00BA356F" w:rsidRPr="00396870">
        <w:t>(2023-24)</w:t>
      </w:r>
    </w:p>
  </w:footnote>
  <w:footnote w:id="6">
    <w:p w14:paraId="3A50D7AD" w14:textId="1A2D4CDB" w:rsidR="008D1870" w:rsidRPr="00396870" w:rsidRDefault="008D1870">
      <w:pPr>
        <w:pStyle w:val="FootnoteText"/>
      </w:pPr>
      <w:r w:rsidRPr="00396870">
        <w:rPr>
          <w:rStyle w:val="FootnoteReference"/>
        </w:rPr>
        <w:footnoteRef/>
      </w:r>
      <w:r w:rsidRPr="00396870">
        <w:t xml:space="preserve"> </w:t>
      </w:r>
      <w:hyperlink r:id="rId2" w:history="1">
        <w:r w:rsidRPr="00396870">
          <w:rPr>
            <w:rStyle w:val="Hyperlink"/>
          </w:rPr>
          <w:t>Get Lancashire Working</w:t>
        </w:r>
      </w:hyperlink>
    </w:p>
  </w:footnote>
  <w:footnote w:id="7">
    <w:p w14:paraId="17D9FB91" w14:textId="732C9C22" w:rsidR="003C494B" w:rsidRPr="00396870" w:rsidRDefault="003C494B">
      <w:pPr>
        <w:pStyle w:val="FootnoteText"/>
      </w:pPr>
      <w:r w:rsidRPr="00396870">
        <w:rPr>
          <w:rStyle w:val="FootnoteReference"/>
        </w:rPr>
        <w:footnoteRef/>
      </w:r>
      <w:r w:rsidRPr="00396870">
        <w:t xml:space="preserve"> North West Digital Exclusion Dashboard</w:t>
      </w:r>
      <w:r w:rsidR="008B0E9E" w:rsidRPr="00396870">
        <w:t xml:space="preserve"> (2025)</w:t>
      </w:r>
    </w:p>
  </w:footnote>
  <w:footnote w:id="8">
    <w:p w14:paraId="38983C6B" w14:textId="509CCF09" w:rsidR="003C494B" w:rsidRPr="00396870" w:rsidRDefault="003C494B">
      <w:pPr>
        <w:pStyle w:val="FootnoteText"/>
      </w:pPr>
      <w:r w:rsidRPr="00396870">
        <w:rPr>
          <w:rStyle w:val="FootnoteReference"/>
        </w:rPr>
        <w:footnoteRef/>
      </w:r>
      <w:r w:rsidRPr="00396870">
        <w:t xml:space="preserve"> HECC report – UKHSA </w:t>
      </w:r>
      <w:r w:rsidR="005D2748" w:rsidRPr="00396870">
        <w:t>(</w:t>
      </w:r>
      <w:r w:rsidRPr="00396870">
        <w:t>2023</w:t>
      </w:r>
      <w:r w:rsidR="005D2748" w:rsidRPr="00396870">
        <w:t>)</w:t>
      </w:r>
    </w:p>
  </w:footnote>
  <w:footnote w:id="9">
    <w:p w14:paraId="66505AFD" w14:textId="715B2DA1" w:rsidR="00BB4C96" w:rsidRPr="00396870" w:rsidRDefault="00BB4C96">
      <w:pPr>
        <w:pStyle w:val="FootnoteText"/>
      </w:pPr>
      <w:r w:rsidRPr="00396870">
        <w:rPr>
          <w:rStyle w:val="FootnoteReference"/>
        </w:rPr>
        <w:footnoteRef/>
      </w:r>
      <w:r w:rsidRPr="00396870">
        <w:t xml:space="preserve"> Census 2021</w:t>
      </w:r>
    </w:p>
  </w:footnote>
  <w:footnote w:id="10">
    <w:p w14:paraId="3F263B47" w14:textId="2AF37F0E" w:rsidR="007B08B6" w:rsidRPr="00396870" w:rsidRDefault="007B08B6">
      <w:pPr>
        <w:pStyle w:val="FootnoteText"/>
      </w:pPr>
      <w:r w:rsidRPr="00396870">
        <w:rPr>
          <w:rStyle w:val="FootnoteReference"/>
        </w:rPr>
        <w:footnoteRef/>
      </w:r>
      <w:r w:rsidRPr="00396870">
        <w:t xml:space="preserve"> </w:t>
      </w:r>
      <w:r w:rsidR="005D2748" w:rsidRPr="00396870">
        <w:t xml:space="preserve">Carer's Strategy 2024-27 - </w:t>
      </w:r>
      <w:r w:rsidRPr="00396870">
        <w:t>Lancashire County Council</w:t>
      </w:r>
      <w:r w:rsidR="0038201D" w:rsidRPr="00396870">
        <w:t xml:space="preserve"> (2024)</w:t>
      </w:r>
    </w:p>
  </w:footnote>
  <w:footnote w:id="11">
    <w:p w14:paraId="2614CB7F" w14:textId="65E39D9F" w:rsidR="008E6EF6" w:rsidRPr="00396870" w:rsidRDefault="008E6EF6">
      <w:pPr>
        <w:pStyle w:val="FootnoteText"/>
      </w:pPr>
      <w:r w:rsidRPr="00396870">
        <w:rPr>
          <w:rStyle w:val="FootnoteReference"/>
        </w:rPr>
        <w:footnoteRef/>
      </w:r>
      <w:r w:rsidRPr="00396870">
        <w:t xml:space="preserve"> </w:t>
      </w:r>
      <w:r w:rsidR="00A62082" w:rsidRPr="00396870">
        <w:t>Schools, pupils and their characteristics 2024/25 – Department for Education</w:t>
      </w:r>
      <w:r w:rsidR="0038201D" w:rsidRPr="00396870">
        <w:t xml:space="preserve"> (2025)</w:t>
      </w:r>
    </w:p>
  </w:footnote>
  <w:footnote w:id="12">
    <w:p w14:paraId="4FDF2394" w14:textId="55393CDA" w:rsidR="00416DEE" w:rsidRPr="00396870" w:rsidRDefault="00416DEE">
      <w:pPr>
        <w:pStyle w:val="FootnoteText"/>
      </w:pPr>
      <w:r w:rsidRPr="00396870">
        <w:rPr>
          <w:rStyle w:val="FootnoteReference"/>
        </w:rPr>
        <w:footnoteRef/>
      </w:r>
      <w:r w:rsidRPr="00396870">
        <w:t xml:space="preserve"> </w:t>
      </w:r>
      <w:r w:rsidR="002F1A0F" w:rsidRPr="00396870">
        <w:t xml:space="preserve">Immigration System Statistics - </w:t>
      </w:r>
      <w:r w:rsidRPr="00396870">
        <w:t xml:space="preserve">Home Office </w:t>
      </w:r>
      <w:r w:rsidR="00B46FD0" w:rsidRPr="00396870">
        <w:t>(2025)</w:t>
      </w:r>
    </w:p>
  </w:footnote>
  <w:footnote w:id="13">
    <w:p w14:paraId="12FFA15F" w14:textId="31990F9A" w:rsidR="008B2EC4" w:rsidRPr="00396870" w:rsidRDefault="008B2EC4">
      <w:pPr>
        <w:pStyle w:val="FootnoteText"/>
      </w:pPr>
      <w:r w:rsidRPr="00396870">
        <w:rPr>
          <w:rStyle w:val="FootnoteReference"/>
        </w:rPr>
        <w:footnoteRef/>
      </w:r>
      <w:r w:rsidRPr="00396870">
        <w:t xml:space="preserve"> </w:t>
      </w:r>
      <w:r w:rsidR="00416E89" w:rsidRPr="00396870">
        <w:t xml:space="preserve">Children looked after in England including adoptions - </w:t>
      </w:r>
      <w:r w:rsidRPr="00396870">
        <w:t>Department for Education (2024)</w:t>
      </w:r>
    </w:p>
  </w:footnote>
  <w:footnote w:id="14">
    <w:p w14:paraId="0B44C7CF" w14:textId="3D6EA8B4" w:rsidR="1FC98660" w:rsidRDefault="1FC98660" w:rsidP="1FC98660">
      <w:pPr>
        <w:pStyle w:val="FootnoteText"/>
      </w:pPr>
      <w:r w:rsidRPr="1FC98660">
        <w:rPr>
          <w:rStyle w:val="FootnoteReference"/>
        </w:rPr>
        <w:footnoteRef/>
      </w:r>
      <w:r>
        <w:t xml:space="preserve"> </w:t>
      </w:r>
      <w:hyperlink r:id="rId3">
        <w:r w:rsidRPr="1FC98660">
          <w:rPr>
            <w:rStyle w:val="Hyperlink"/>
          </w:rPr>
          <w:t>Context | Looked-after children and young people | Guidance | NICE</w:t>
        </w:r>
      </w:hyperlink>
    </w:p>
  </w:footnote>
  <w:footnote w:id="15">
    <w:p w14:paraId="01C8EA21" w14:textId="58C97082" w:rsidR="000F59A0" w:rsidRPr="00396870" w:rsidRDefault="000F59A0">
      <w:pPr>
        <w:pStyle w:val="FootnoteText"/>
      </w:pPr>
      <w:r w:rsidRPr="00396870">
        <w:rPr>
          <w:rStyle w:val="FootnoteReference"/>
        </w:rPr>
        <w:footnoteRef/>
      </w:r>
      <w:r w:rsidRPr="00396870">
        <w:t xml:space="preserve"> </w:t>
      </w:r>
      <w:hyperlink r:id="rId4" w:history="1">
        <w:r w:rsidRPr="00396870">
          <w:rPr>
            <w:rStyle w:val="Hyperlink"/>
          </w:rPr>
          <w:t>The health of people in prison, on probation and in the secure NHS estate in England - GOV.UK</w:t>
        </w:r>
      </w:hyperlink>
    </w:p>
  </w:footnote>
  <w:footnote w:id="16">
    <w:p w14:paraId="0E5713C0" w14:textId="4460AE53" w:rsidR="00F14673" w:rsidRPr="00396870" w:rsidRDefault="1FC98660">
      <w:pPr>
        <w:pStyle w:val="FootnoteText"/>
      </w:pPr>
      <w:r>
        <w:rPr>
          <w:vertAlign w:val="superscript"/>
        </w:rPr>
        <w:t>16</w:t>
      </w:r>
      <w:r w:rsidR="001663E0">
        <w:t xml:space="preserve"> ONS Census 2021</w:t>
      </w:r>
    </w:p>
  </w:footnote>
  <w:footnote w:id="17">
    <w:p w14:paraId="64EC2C25" w14:textId="5A0405B1" w:rsidR="001663E0" w:rsidRDefault="001663E0">
      <w:pPr>
        <w:pStyle w:val="FootnoteText"/>
      </w:pPr>
      <w:r>
        <w:rPr>
          <w:rStyle w:val="FootnoteReference"/>
        </w:rPr>
        <w:footnoteRef/>
      </w:r>
      <w:r>
        <w:t xml:space="preserve"> </w:t>
      </w:r>
      <w:hyperlink r:id="rId5" w:history="1">
        <w:r w:rsidRPr="001663E0">
          <w:rPr>
            <w:rStyle w:val="Hyperlink"/>
          </w:rPr>
          <w:t>NHS England » NHS expands mental health support for veterans with more than half saying it’s hard to speak up</w:t>
        </w:r>
      </w:hyperlink>
    </w:p>
  </w:footnote>
  <w:footnote w:id="18">
    <w:p w14:paraId="45661FD6" w14:textId="78243960" w:rsidR="00840319" w:rsidRPr="00396870" w:rsidRDefault="00840319">
      <w:pPr>
        <w:pStyle w:val="FootnoteText"/>
      </w:pPr>
      <w:r w:rsidRPr="00396870">
        <w:rPr>
          <w:rStyle w:val="FootnoteReference"/>
        </w:rPr>
        <w:footnoteRef/>
      </w:r>
      <w:r w:rsidRPr="00396870">
        <w:t xml:space="preserve"> Demographic Insight Report: Lancashire and South Cumbria Integrated Care System</w:t>
      </w:r>
    </w:p>
  </w:footnote>
  <w:footnote w:id="19">
    <w:p w14:paraId="0FF4D341" w14:textId="184EB0F1" w:rsidR="00D2480F" w:rsidRDefault="00D2480F">
      <w:pPr>
        <w:pStyle w:val="FootnoteText"/>
      </w:pPr>
      <w:r>
        <w:rPr>
          <w:rStyle w:val="FootnoteReference"/>
        </w:rPr>
        <w:footnoteRef/>
      </w:r>
      <w:r>
        <w:t xml:space="preserve"> </w:t>
      </w:r>
      <w:hyperlink r:id="rId6" w:history="1">
        <w:r w:rsidRPr="00D2480F">
          <w:rPr>
            <w:rStyle w:val="Hyperlink"/>
          </w:rPr>
          <w:t>Sexual orientation and gender identity quality information for Census 2021 - Office for National Statistics</w:t>
        </w:r>
      </w:hyperlink>
    </w:p>
    <w:p w14:paraId="3B791955" w14:textId="77777777" w:rsidR="001B220C" w:rsidRDefault="001B220C">
      <w:pPr>
        <w:pStyle w:val="FootnoteText"/>
      </w:pPr>
    </w:p>
  </w:footnote>
  <w:footnote w:id="20">
    <w:p w14:paraId="6EE4BED6" w14:textId="6A052E4D" w:rsidR="00B00431" w:rsidRDefault="00B00431">
      <w:pPr>
        <w:pStyle w:val="FootnoteText"/>
      </w:pPr>
      <w:r>
        <w:rPr>
          <w:rStyle w:val="FootnoteReference"/>
        </w:rPr>
        <w:footnoteRef/>
      </w:r>
      <w:r>
        <w:t xml:space="preserve"> </w:t>
      </w:r>
      <w:hyperlink r:id="rId7" w:history="1">
        <w:r w:rsidRPr="00E87B2C">
          <w:rPr>
            <w:rStyle w:val="Hyperlink"/>
            <w:rFonts w:cstheme="minorHAnsi"/>
          </w:rPr>
          <w:t>NHS England » Improving the physical health of people living with severe mental illness</w:t>
        </w:r>
      </w:hyperlink>
    </w:p>
  </w:footnote>
  <w:footnote w:id="21">
    <w:p w14:paraId="1B734B27" w14:textId="283127F6" w:rsidR="003F2870" w:rsidRDefault="003F2870">
      <w:pPr>
        <w:pStyle w:val="FootnoteText"/>
      </w:pPr>
      <w:r>
        <w:rPr>
          <w:rStyle w:val="FootnoteReference"/>
        </w:rPr>
        <w:footnoteRef/>
      </w:r>
      <w:r>
        <w:t xml:space="preserve"> </w:t>
      </w:r>
      <w:hyperlink r:id="rId8" w:history="1">
        <w:r w:rsidRPr="00BB4550">
          <w:rPr>
            <w:rStyle w:val="Hyperlink"/>
            <w:rFonts w:cstheme="minorHAnsi"/>
          </w:rPr>
          <w:t>Summary of strategic framework - GOV.UK</w:t>
        </w:r>
      </w:hyperlink>
    </w:p>
  </w:footnote>
  <w:footnote w:id="22">
    <w:p w14:paraId="13F4B97E" w14:textId="0E0D844C" w:rsidR="001451BC" w:rsidRDefault="001451BC">
      <w:pPr>
        <w:pStyle w:val="FootnoteText"/>
      </w:pPr>
      <w:r>
        <w:rPr>
          <w:rStyle w:val="FootnoteReference"/>
        </w:rPr>
        <w:footnoteRef/>
      </w:r>
      <w:r>
        <w:t xml:space="preserve"> </w:t>
      </w:r>
      <w:hyperlink r:id="rId9" w:history="1">
        <w:r w:rsidR="00DD48C5" w:rsidRPr="00E87B2C">
          <w:rPr>
            <w:rStyle w:val="Hyperlink"/>
            <w:rFonts w:cstheme="minorHAnsi"/>
          </w:rPr>
          <w:t>NHS England » We must improve physical healthcare for people with severe mental illness</w:t>
        </w:r>
      </w:hyperlink>
    </w:p>
  </w:footnote>
  <w:footnote w:id="23">
    <w:p w14:paraId="15E920A1" w14:textId="77777777" w:rsidR="00206B9E" w:rsidRPr="00396870" w:rsidRDefault="00206B9E" w:rsidP="00206B9E">
      <w:pPr>
        <w:pStyle w:val="FootnoteText"/>
      </w:pPr>
      <w:r w:rsidRPr="00396870">
        <w:rPr>
          <w:rStyle w:val="FootnoteReference"/>
        </w:rPr>
        <w:footnoteRef/>
      </w:r>
      <w:r w:rsidRPr="00396870">
        <w:t xml:space="preserve"> </w:t>
      </w:r>
      <w:r w:rsidRPr="00396870">
        <w:t>LeDer – NHS England (2021)</w:t>
      </w:r>
    </w:p>
  </w:footnote>
  <w:footnote w:id="24">
    <w:p w14:paraId="2B958DE4" w14:textId="77777777" w:rsidR="00206B9E" w:rsidRDefault="00206B9E" w:rsidP="00206B9E">
      <w:pPr>
        <w:pStyle w:val="FootnoteText"/>
      </w:pPr>
      <w:r w:rsidRPr="00396870">
        <w:rPr>
          <w:rStyle w:val="FootnoteReference"/>
        </w:rPr>
        <w:footnoteRef/>
      </w:r>
      <w:r w:rsidRPr="00396870">
        <w:t xml:space="preserve"> Learning disability - applying All Our Health – OHID (2025)</w:t>
      </w:r>
    </w:p>
  </w:footnote>
  <w:footnote w:id="25">
    <w:p w14:paraId="0B488804" w14:textId="46E0ED3C" w:rsidR="00A822D0" w:rsidRPr="00396870" w:rsidRDefault="00A822D0">
      <w:pPr>
        <w:pStyle w:val="FootnoteText"/>
      </w:pPr>
      <w:r w:rsidRPr="00396870">
        <w:rPr>
          <w:rStyle w:val="FootnoteReference"/>
        </w:rPr>
        <w:footnoteRef/>
      </w:r>
      <w:r w:rsidRPr="00396870">
        <w:t xml:space="preserve"> </w:t>
      </w:r>
      <w:r w:rsidR="0068536B" w:rsidRPr="00396870">
        <w:t>Understanding the drivers of healthy life expectancy: report – OHID (2023)</w:t>
      </w:r>
    </w:p>
  </w:footnote>
  <w:footnote w:id="26">
    <w:p w14:paraId="3785FCE1" w14:textId="1DD012C9" w:rsidR="00A42E6E" w:rsidRPr="00396870" w:rsidRDefault="00A42E6E">
      <w:pPr>
        <w:pStyle w:val="FootnoteText"/>
      </w:pPr>
      <w:r w:rsidRPr="00396870">
        <w:rPr>
          <w:rStyle w:val="FootnoteReference"/>
        </w:rPr>
        <w:footnoteRef/>
      </w:r>
      <w:r w:rsidRPr="00396870">
        <w:t xml:space="preserve"> </w:t>
      </w:r>
      <w:hyperlink r:id="rId10" w:anchor="quality-characteristics-of-the-suicides-in-the-uk-data" w:history="1">
        <w:r w:rsidRPr="00396870">
          <w:rPr>
            <w:rStyle w:val="Hyperlink"/>
          </w:rPr>
          <w:t>Suicide rates in the UK QMI - Office for National Statistics</w:t>
        </w:r>
      </w:hyperlink>
    </w:p>
  </w:footnote>
  <w:footnote w:id="27">
    <w:p w14:paraId="2AC3FEF2" w14:textId="743ABCA8" w:rsidR="00A51814" w:rsidRPr="00396870" w:rsidRDefault="00A51814">
      <w:pPr>
        <w:pStyle w:val="FootnoteText"/>
      </w:pPr>
      <w:r w:rsidRPr="00396870">
        <w:rPr>
          <w:rStyle w:val="FootnoteReference"/>
        </w:rPr>
        <w:footnoteRef/>
      </w:r>
      <w:r w:rsidRPr="00396870">
        <w:t xml:space="preserve"> </w:t>
      </w:r>
      <w:r w:rsidR="001164BA" w:rsidRPr="00396870">
        <w:t>LeDer – NHS England (2021)</w:t>
      </w:r>
    </w:p>
  </w:footnote>
  <w:footnote w:id="28">
    <w:p w14:paraId="407FA30A" w14:textId="0AC539F9" w:rsidR="001164BA" w:rsidRDefault="001164BA">
      <w:pPr>
        <w:pStyle w:val="FootnoteText"/>
      </w:pPr>
      <w:r w:rsidRPr="00396870">
        <w:rPr>
          <w:rStyle w:val="FootnoteReference"/>
        </w:rPr>
        <w:footnoteRef/>
      </w:r>
      <w:r w:rsidRPr="00396870">
        <w:t xml:space="preserve"> Learning disability - applying All Our Health – OHID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6C8F0C" w14:paraId="2B78588A" w14:textId="77777777" w:rsidTr="776C8F0C">
      <w:trPr>
        <w:trHeight w:val="300"/>
      </w:trPr>
      <w:tc>
        <w:tcPr>
          <w:tcW w:w="3005" w:type="dxa"/>
        </w:tcPr>
        <w:p w14:paraId="06F1B249" w14:textId="47178FD5" w:rsidR="776C8F0C" w:rsidRDefault="776C8F0C" w:rsidP="776C8F0C">
          <w:pPr>
            <w:pStyle w:val="Header"/>
            <w:ind w:left="-115"/>
          </w:pPr>
        </w:p>
      </w:tc>
      <w:tc>
        <w:tcPr>
          <w:tcW w:w="3005" w:type="dxa"/>
        </w:tcPr>
        <w:p w14:paraId="2A069D34" w14:textId="20648AFB" w:rsidR="776C8F0C" w:rsidRDefault="776C8F0C" w:rsidP="776C8F0C">
          <w:pPr>
            <w:pStyle w:val="Header"/>
            <w:jc w:val="center"/>
          </w:pPr>
        </w:p>
      </w:tc>
      <w:tc>
        <w:tcPr>
          <w:tcW w:w="3005" w:type="dxa"/>
        </w:tcPr>
        <w:p w14:paraId="3B333DC7" w14:textId="67FC2848" w:rsidR="776C8F0C" w:rsidRDefault="776C8F0C" w:rsidP="776C8F0C">
          <w:pPr>
            <w:pStyle w:val="Header"/>
            <w:ind w:right="-115"/>
            <w:jc w:val="right"/>
          </w:pPr>
        </w:p>
      </w:tc>
    </w:tr>
  </w:tbl>
  <w:p w14:paraId="58457A64" w14:textId="3B4681B8" w:rsidR="00C07FBA" w:rsidRDefault="00C07FBA">
    <w:pPr>
      <w:pStyle w:val="Header"/>
    </w:pPr>
  </w:p>
</w:hdr>
</file>

<file path=word/intelligence2.xml><?xml version="1.0" encoding="utf-8"?>
<int2:intelligence xmlns:int2="http://schemas.microsoft.com/office/intelligence/2020/intelligence" xmlns:oel="http://schemas.microsoft.com/office/2019/extlst">
  <int2:observations>
    <int2:textHash int2:hashCode="Pwxxtk1Oaaejcq" int2:id="HhRsUCP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1D3"/>
    <w:multiLevelType w:val="hybridMultilevel"/>
    <w:tmpl w:val="27AA0CF6"/>
    <w:lvl w:ilvl="0" w:tplc="824C0424">
      <w:start w:val="1"/>
      <w:numFmt w:val="bullet"/>
      <w:lvlText w:val="·"/>
      <w:lvlJc w:val="left"/>
      <w:pPr>
        <w:ind w:left="720" w:hanging="360"/>
      </w:pPr>
      <w:rPr>
        <w:rFonts w:ascii="Symbol" w:hAnsi="Symbol" w:hint="default"/>
      </w:rPr>
    </w:lvl>
    <w:lvl w:ilvl="1" w:tplc="48B0011A">
      <w:start w:val="1"/>
      <w:numFmt w:val="bullet"/>
      <w:lvlText w:val="o"/>
      <w:lvlJc w:val="left"/>
      <w:pPr>
        <w:ind w:left="1440" w:hanging="360"/>
      </w:pPr>
      <w:rPr>
        <w:rFonts w:ascii="Courier New" w:hAnsi="Courier New" w:hint="default"/>
      </w:rPr>
    </w:lvl>
    <w:lvl w:ilvl="2" w:tplc="AC887A44">
      <w:start w:val="1"/>
      <w:numFmt w:val="bullet"/>
      <w:lvlText w:val=""/>
      <w:lvlJc w:val="left"/>
      <w:pPr>
        <w:ind w:left="2160" w:hanging="360"/>
      </w:pPr>
      <w:rPr>
        <w:rFonts w:ascii="Wingdings" w:hAnsi="Wingdings" w:hint="default"/>
      </w:rPr>
    </w:lvl>
    <w:lvl w:ilvl="3" w:tplc="E1563E40">
      <w:start w:val="1"/>
      <w:numFmt w:val="bullet"/>
      <w:lvlText w:val=""/>
      <w:lvlJc w:val="left"/>
      <w:pPr>
        <w:ind w:left="2880" w:hanging="360"/>
      </w:pPr>
      <w:rPr>
        <w:rFonts w:ascii="Symbol" w:hAnsi="Symbol" w:hint="default"/>
      </w:rPr>
    </w:lvl>
    <w:lvl w:ilvl="4" w:tplc="74DA482E">
      <w:start w:val="1"/>
      <w:numFmt w:val="bullet"/>
      <w:lvlText w:val="o"/>
      <w:lvlJc w:val="left"/>
      <w:pPr>
        <w:ind w:left="3600" w:hanging="360"/>
      </w:pPr>
      <w:rPr>
        <w:rFonts w:ascii="Courier New" w:hAnsi="Courier New" w:hint="default"/>
      </w:rPr>
    </w:lvl>
    <w:lvl w:ilvl="5" w:tplc="59160FEE">
      <w:start w:val="1"/>
      <w:numFmt w:val="bullet"/>
      <w:lvlText w:val=""/>
      <w:lvlJc w:val="left"/>
      <w:pPr>
        <w:ind w:left="4320" w:hanging="360"/>
      </w:pPr>
      <w:rPr>
        <w:rFonts w:ascii="Wingdings" w:hAnsi="Wingdings" w:hint="default"/>
      </w:rPr>
    </w:lvl>
    <w:lvl w:ilvl="6" w:tplc="7B944A3C">
      <w:start w:val="1"/>
      <w:numFmt w:val="bullet"/>
      <w:lvlText w:val=""/>
      <w:lvlJc w:val="left"/>
      <w:pPr>
        <w:ind w:left="5040" w:hanging="360"/>
      </w:pPr>
      <w:rPr>
        <w:rFonts w:ascii="Symbol" w:hAnsi="Symbol" w:hint="default"/>
      </w:rPr>
    </w:lvl>
    <w:lvl w:ilvl="7" w:tplc="4192F762">
      <w:start w:val="1"/>
      <w:numFmt w:val="bullet"/>
      <w:lvlText w:val="o"/>
      <w:lvlJc w:val="left"/>
      <w:pPr>
        <w:ind w:left="5760" w:hanging="360"/>
      </w:pPr>
      <w:rPr>
        <w:rFonts w:ascii="Courier New" w:hAnsi="Courier New" w:hint="default"/>
      </w:rPr>
    </w:lvl>
    <w:lvl w:ilvl="8" w:tplc="03623FEE">
      <w:start w:val="1"/>
      <w:numFmt w:val="bullet"/>
      <w:lvlText w:val=""/>
      <w:lvlJc w:val="left"/>
      <w:pPr>
        <w:ind w:left="6480" w:hanging="360"/>
      </w:pPr>
      <w:rPr>
        <w:rFonts w:ascii="Wingdings" w:hAnsi="Wingdings" w:hint="default"/>
      </w:rPr>
    </w:lvl>
  </w:abstractNum>
  <w:abstractNum w:abstractNumId="1" w15:restartNumberingAfterBreak="0">
    <w:nsid w:val="06D55A19"/>
    <w:multiLevelType w:val="hybridMultilevel"/>
    <w:tmpl w:val="6B229514"/>
    <w:lvl w:ilvl="0" w:tplc="215ACD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979C6"/>
    <w:multiLevelType w:val="hybridMultilevel"/>
    <w:tmpl w:val="5552A0A6"/>
    <w:lvl w:ilvl="0" w:tplc="737CF344">
      <w:start w:val="1"/>
      <w:numFmt w:val="bullet"/>
      <w:lvlText w:val=""/>
      <w:lvlJc w:val="left"/>
      <w:pPr>
        <w:ind w:left="720" w:hanging="360"/>
      </w:pPr>
      <w:rPr>
        <w:rFonts w:ascii="Symbol" w:hAnsi="Symbol" w:hint="default"/>
      </w:rPr>
    </w:lvl>
    <w:lvl w:ilvl="1" w:tplc="284C5264">
      <w:start w:val="1"/>
      <w:numFmt w:val="bullet"/>
      <w:lvlText w:val="o"/>
      <w:lvlJc w:val="left"/>
      <w:pPr>
        <w:ind w:left="1440" w:hanging="360"/>
      </w:pPr>
      <w:rPr>
        <w:rFonts w:ascii="Courier New" w:hAnsi="Courier New" w:hint="default"/>
      </w:rPr>
    </w:lvl>
    <w:lvl w:ilvl="2" w:tplc="1A28CE50">
      <w:start w:val="1"/>
      <w:numFmt w:val="bullet"/>
      <w:lvlText w:val=""/>
      <w:lvlJc w:val="left"/>
      <w:pPr>
        <w:ind w:left="2160" w:hanging="360"/>
      </w:pPr>
      <w:rPr>
        <w:rFonts w:ascii="Wingdings" w:hAnsi="Wingdings" w:hint="default"/>
      </w:rPr>
    </w:lvl>
    <w:lvl w:ilvl="3" w:tplc="63EA9D52">
      <w:start w:val="1"/>
      <w:numFmt w:val="bullet"/>
      <w:lvlText w:val=""/>
      <w:lvlJc w:val="left"/>
      <w:pPr>
        <w:ind w:left="2880" w:hanging="360"/>
      </w:pPr>
      <w:rPr>
        <w:rFonts w:ascii="Symbol" w:hAnsi="Symbol" w:hint="default"/>
      </w:rPr>
    </w:lvl>
    <w:lvl w:ilvl="4" w:tplc="D092F756">
      <w:start w:val="1"/>
      <w:numFmt w:val="bullet"/>
      <w:lvlText w:val="o"/>
      <w:lvlJc w:val="left"/>
      <w:pPr>
        <w:ind w:left="3600" w:hanging="360"/>
      </w:pPr>
      <w:rPr>
        <w:rFonts w:ascii="Courier New" w:hAnsi="Courier New" w:hint="default"/>
      </w:rPr>
    </w:lvl>
    <w:lvl w:ilvl="5" w:tplc="2E9ED246">
      <w:start w:val="1"/>
      <w:numFmt w:val="bullet"/>
      <w:lvlText w:val=""/>
      <w:lvlJc w:val="left"/>
      <w:pPr>
        <w:ind w:left="4320" w:hanging="360"/>
      </w:pPr>
      <w:rPr>
        <w:rFonts w:ascii="Wingdings" w:hAnsi="Wingdings" w:hint="default"/>
      </w:rPr>
    </w:lvl>
    <w:lvl w:ilvl="6" w:tplc="772674EA">
      <w:start w:val="1"/>
      <w:numFmt w:val="bullet"/>
      <w:lvlText w:val=""/>
      <w:lvlJc w:val="left"/>
      <w:pPr>
        <w:ind w:left="5040" w:hanging="360"/>
      </w:pPr>
      <w:rPr>
        <w:rFonts w:ascii="Symbol" w:hAnsi="Symbol" w:hint="default"/>
      </w:rPr>
    </w:lvl>
    <w:lvl w:ilvl="7" w:tplc="AA504EC8">
      <w:start w:val="1"/>
      <w:numFmt w:val="bullet"/>
      <w:lvlText w:val="o"/>
      <w:lvlJc w:val="left"/>
      <w:pPr>
        <w:ind w:left="5760" w:hanging="360"/>
      </w:pPr>
      <w:rPr>
        <w:rFonts w:ascii="Courier New" w:hAnsi="Courier New" w:hint="default"/>
      </w:rPr>
    </w:lvl>
    <w:lvl w:ilvl="8" w:tplc="B8227824">
      <w:start w:val="1"/>
      <w:numFmt w:val="bullet"/>
      <w:lvlText w:val=""/>
      <w:lvlJc w:val="left"/>
      <w:pPr>
        <w:ind w:left="6480" w:hanging="360"/>
      </w:pPr>
      <w:rPr>
        <w:rFonts w:ascii="Wingdings" w:hAnsi="Wingdings" w:hint="default"/>
      </w:rPr>
    </w:lvl>
  </w:abstractNum>
  <w:abstractNum w:abstractNumId="3" w15:restartNumberingAfterBreak="0">
    <w:nsid w:val="09D5717F"/>
    <w:multiLevelType w:val="hybridMultilevel"/>
    <w:tmpl w:val="EF66C116"/>
    <w:lvl w:ilvl="0" w:tplc="0478C64E">
      <w:start w:val="1"/>
      <w:numFmt w:val="bullet"/>
      <w:lvlText w:val="•"/>
      <w:lvlJc w:val="left"/>
      <w:pPr>
        <w:tabs>
          <w:tab w:val="num" w:pos="720"/>
        </w:tabs>
        <w:ind w:left="720" w:hanging="360"/>
      </w:pPr>
      <w:rPr>
        <w:rFonts w:ascii="Arial" w:hAnsi="Arial" w:hint="default"/>
      </w:rPr>
    </w:lvl>
    <w:lvl w:ilvl="1" w:tplc="3D148AD0" w:tentative="1">
      <w:start w:val="1"/>
      <w:numFmt w:val="bullet"/>
      <w:lvlText w:val="•"/>
      <w:lvlJc w:val="left"/>
      <w:pPr>
        <w:tabs>
          <w:tab w:val="num" w:pos="1440"/>
        </w:tabs>
        <w:ind w:left="1440" w:hanging="360"/>
      </w:pPr>
      <w:rPr>
        <w:rFonts w:ascii="Arial" w:hAnsi="Arial" w:hint="default"/>
      </w:rPr>
    </w:lvl>
    <w:lvl w:ilvl="2" w:tplc="F48C65A6" w:tentative="1">
      <w:start w:val="1"/>
      <w:numFmt w:val="bullet"/>
      <w:lvlText w:val="•"/>
      <w:lvlJc w:val="left"/>
      <w:pPr>
        <w:tabs>
          <w:tab w:val="num" w:pos="2160"/>
        </w:tabs>
        <w:ind w:left="2160" w:hanging="360"/>
      </w:pPr>
      <w:rPr>
        <w:rFonts w:ascii="Arial" w:hAnsi="Arial" w:hint="default"/>
      </w:rPr>
    </w:lvl>
    <w:lvl w:ilvl="3" w:tplc="1A00FA52" w:tentative="1">
      <w:start w:val="1"/>
      <w:numFmt w:val="bullet"/>
      <w:lvlText w:val="•"/>
      <w:lvlJc w:val="left"/>
      <w:pPr>
        <w:tabs>
          <w:tab w:val="num" w:pos="2880"/>
        </w:tabs>
        <w:ind w:left="2880" w:hanging="360"/>
      </w:pPr>
      <w:rPr>
        <w:rFonts w:ascii="Arial" w:hAnsi="Arial" w:hint="default"/>
      </w:rPr>
    </w:lvl>
    <w:lvl w:ilvl="4" w:tplc="DB444444" w:tentative="1">
      <w:start w:val="1"/>
      <w:numFmt w:val="bullet"/>
      <w:lvlText w:val="•"/>
      <w:lvlJc w:val="left"/>
      <w:pPr>
        <w:tabs>
          <w:tab w:val="num" w:pos="3600"/>
        </w:tabs>
        <w:ind w:left="3600" w:hanging="360"/>
      </w:pPr>
      <w:rPr>
        <w:rFonts w:ascii="Arial" w:hAnsi="Arial" w:hint="default"/>
      </w:rPr>
    </w:lvl>
    <w:lvl w:ilvl="5" w:tplc="6368274C" w:tentative="1">
      <w:start w:val="1"/>
      <w:numFmt w:val="bullet"/>
      <w:lvlText w:val="•"/>
      <w:lvlJc w:val="left"/>
      <w:pPr>
        <w:tabs>
          <w:tab w:val="num" w:pos="4320"/>
        </w:tabs>
        <w:ind w:left="4320" w:hanging="360"/>
      </w:pPr>
      <w:rPr>
        <w:rFonts w:ascii="Arial" w:hAnsi="Arial" w:hint="default"/>
      </w:rPr>
    </w:lvl>
    <w:lvl w:ilvl="6" w:tplc="F8D4A0DA" w:tentative="1">
      <w:start w:val="1"/>
      <w:numFmt w:val="bullet"/>
      <w:lvlText w:val="•"/>
      <w:lvlJc w:val="left"/>
      <w:pPr>
        <w:tabs>
          <w:tab w:val="num" w:pos="5040"/>
        </w:tabs>
        <w:ind w:left="5040" w:hanging="360"/>
      </w:pPr>
      <w:rPr>
        <w:rFonts w:ascii="Arial" w:hAnsi="Arial" w:hint="default"/>
      </w:rPr>
    </w:lvl>
    <w:lvl w:ilvl="7" w:tplc="5296D2FA" w:tentative="1">
      <w:start w:val="1"/>
      <w:numFmt w:val="bullet"/>
      <w:lvlText w:val="•"/>
      <w:lvlJc w:val="left"/>
      <w:pPr>
        <w:tabs>
          <w:tab w:val="num" w:pos="5760"/>
        </w:tabs>
        <w:ind w:left="5760" w:hanging="360"/>
      </w:pPr>
      <w:rPr>
        <w:rFonts w:ascii="Arial" w:hAnsi="Arial" w:hint="default"/>
      </w:rPr>
    </w:lvl>
    <w:lvl w:ilvl="8" w:tplc="4EA2FF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CF6871"/>
    <w:multiLevelType w:val="hybridMultilevel"/>
    <w:tmpl w:val="03960606"/>
    <w:lvl w:ilvl="0" w:tplc="5AACE4C8">
      <w:start w:val="1"/>
      <w:numFmt w:val="bullet"/>
      <w:lvlText w:val="•"/>
      <w:lvlJc w:val="left"/>
      <w:pPr>
        <w:tabs>
          <w:tab w:val="num" w:pos="360"/>
        </w:tabs>
        <w:ind w:left="360" w:hanging="360"/>
      </w:pPr>
      <w:rPr>
        <w:rFonts w:ascii="Arial" w:hAnsi="Arial" w:hint="default"/>
      </w:rPr>
    </w:lvl>
    <w:lvl w:ilvl="1" w:tplc="580C1E1C" w:tentative="1">
      <w:start w:val="1"/>
      <w:numFmt w:val="bullet"/>
      <w:lvlText w:val="•"/>
      <w:lvlJc w:val="left"/>
      <w:pPr>
        <w:tabs>
          <w:tab w:val="num" w:pos="1080"/>
        </w:tabs>
        <w:ind w:left="1080" w:hanging="360"/>
      </w:pPr>
      <w:rPr>
        <w:rFonts w:ascii="Arial" w:hAnsi="Arial" w:hint="default"/>
      </w:rPr>
    </w:lvl>
    <w:lvl w:ilvl="2" w:tplc="877891D0" w:tentative="1">
      <w:start w:val="1"/>
      <w:numFmt w:val="bullet"/>
      <w:lvlText w:val="•"/>
      <w:lvlJc w:val="left"/>
      <w:pPr>
        <w:tabs>
          <w:tab w:val="num" w:pos="1800"/>
        </w:tabs>
        <w:ind w:left="1800" w:hanging="360"/>
      </w:pPr>
      <w:rPr>
        <w:rFonts w:ascii="Arial" w:hAnsi="Arial" w:hint="default"/>
      </w:rPr>
    </w:lvl>
    <w:lvl w:ilvl="3" w:tplc="4CE8CF6E" w:tentative="1">
      <w:start w:val="1"/>
      <w:numFmt w:val="bullet"/>
      <w:lvlText w:val="•"/>
      <w:lvlJc w:val="left"/>
      <w:pPr>
        <w:tabs>
          <w:tab w:val="num" w:pos="2520"/>
        </w:tabs>
        <w:ind w:left="2520" w:hanging="360"/>
      </w:pPr>
      <w:rPr>
        <w:rFonts w:ascii="Arial" w:hAnsi="Arial" w:hint="default"/>
      </w:rPr>
    </w:lvl>
    <w:lvl w:ilvl="4" w:tplc="411C1E28" w:tentative="1">
      <w:start w:val="1"/>
      <w:numFmt w:val="bullet"/>
      <w:lvlText w:val="•"/>
      <w:lvlJc w:val="left"/>
      <w:pPr>
        <w:tabs>
          <w:tab w:val="num" w:pos="3240"/>
        </w:tabs>
        <w:ind w:left="3240" w:hanging="360"/>
      </w:pPr>
      <w:rPr>
        <w:rFonts w:ascii="Arial" w:hAnsi="Arial" w:hint="default"/>
      </w:rPr>
    </w:lvl>
    <w:lvl w:ilvl="5" w:tplc="6770D094" w:tentative="1">
      <w:start w:val="1"/>
      <w:numFmt w:val="bullet"/>
      <w:lvlText w:val="•"/>
      <w:lvlJc w:val="left"/>
      <w:pPr>
        <w:tabs>
          <w:tab w:val="num" w:pos="3960"/>
        </w:tabs>
        <w:ind w:left="3960" w:hanging="360"/>
      </w:pPr>
      <w:rPr>
        <w:rFonts w:ascii="Arial" w:hAnsi="Arial" w:hint="default"/>
      </w:rPr>
    </w:lvl>
    <w:lvl w:ilvl="6" w:tplc="6076FE78" w:tentative="1">
      <w:start w:val="1"/>
      <w:numFmt w:val="bullet"/>
      <w:lvlText w:val="•"/>
      <w:lvlJc w:val="left"/>
      <w:pPr>
        <w:tabs>
          <w:tab w:val="num" w:pos="4680"/>
        </w:tabs>
        <w:ind w:left="4680" w:hanging="360"/>
      </w:pPr>
      <w:rPr>
        <w:rFonts w:ascii="Arial" w:hAnsi="Arial" w:hint="default"/>
      </w:rPr>
    </w:lvl>
    <w:lvl w:ilvl="7" w:tplc="CCCC60B6" w:tentative="1">
      <w:start w:val="1"/>
      <w:numFmt w:val="bullet"/>
      <w:lvlText w:val="•"/>
      <w:lvlJc w:val="left"/>
      <w:pPr>
        <w:tabs>
          <w:tab w:val="num" w:pos="5400"/>
        </w:tabs>
        <w:ind w:left="5400" w:hanging="360"/>
      </w:pPr>
      <w:rPr>
        <w:rFonts w:ascii="Arial" w:hAnsi="Arial" w:hint="default"/>
      </w:rPr>
    </w:lvl>
    <w:lvl w:ilvl="8" w:tplc="7C72C4F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84A61D7"/>
    <w:multiLevelType w:val="hybridMultilevel"/>
    <w:tmpl w:val="FD30B8B4"/>
    <w:lvl w:ilvl="0" w:tplc="681A1CA6">
      <w:start w:val="1"/>
      <w:numFmt w:val="bullet"/>
      <w:lvlText w:val="·"/>
      <w:lvlJc w:val="left"/>
      <w:pPr>
        <w:ind w:left="720" w:hanging="360"/>
      </w:pPr>
      <w:rPr>
        <w:rFonts w:ascii="Symbol" w:hAnsi="Symbol" w:hint="default"/>
      </w:rPr>
    </w:lvl>
    <w:lvl w:ilvl="1" w:tplc="4F76EFC0">
      <w:start w:val="1"/>
      <w:numFmt w:val="bullet"/>
      <w:lvlText w:val="o"/>
      <w:lvlJc w:val="left"/>
      <w:pPr>
        <w:ind w:left="1440" w:hanging="360"/>
      </w:pPr>
      <w:rPr>
        <w:rFonts w:ascii="Courier New" w:hAnsi="Courier New" w:hint="default"/>
      </w:rPr>
    </w:lvl>
    <w:lvl w:ilvl="2" w:tplc="55180AB2">
      <w:start w:val="1"/>
      <w:numFmt w:val="bullet"/>
      <w:lvlText w:val=""/>
      <w:lvlJc w:val="left"/>
      <w:pPr>
        <w:ind w:left="2160" w:hanging="360"/>
      </w:pPr>
      <w:rPr>
        <w:rFonts w:ascii="Wingdings" w:hAnsi="Wingdings" w:hint="default"/>
      </w:rPr>
    </w:lvl>
    <w:lvl w:ilvl="3" w:tplc="C1789916">
      <w:start w:val="1"/>
      <w:numFmt w:val="bullet"/>
      <w:lvlText w:val=""/>
      <w:lvlJc w:val="left"/>
      <w:pPr>
        <w:ind w:left="2880" w:hanging="360"/>
      </w:pPr>
      <w:rPr>
        <w:rFonts w:ascii="Symbol" w:hAnsi="Symbol" w:hint="default"/>
      </w:rPr>
    </w:lvl>
    <w:lvl w:ilvl="4" w:tplc="6A000A38">
      <w:start w:val="1"/>
      <w:numFmt w:val="bullet"/>
      <w:lvlText w:val="o"/>
      <w:lvlJc w:val="left"/>
      <w:pPr>
        <w:ind w:left="3600" w:hanging="360"/>
      </w:pPr>
      <w:rPr>
        <w:rFonts w:ascii="Courier New" w:hAnsi="Courier New" w:hint="default"/>
      </w:rPr>
    </w:lvl>
    <w:lvl w:ilvl="5" w:tplc="59768878">
      <w:start w:val="1"/>
      <w:numFmt w:val="bullet"/>
      <w:lvlText w:val=""/>
      <w:lvlJc w:val="left"/>
      <w:pPr>
        <w:ind w:left="4320" w:hanging="360"/>
      </w:pPr>
      <w:rPr>
        <w:rFonts w:ascii="Wingdings" w:hAnsi="Wingdings" w:hint="default"/>
      </w:rPr>
    </w:lvl>
    <w:lvl w:ilvl="6" w:tplc="F0047BD6">
      <w:start w:val="1"/>
      <w:numFmt w:val="bullet"/>
      <w:lvlText w:val=""/>
      <w:lvlJc w:val="left"/>
      <w:pPr>
        <w:ind w:left="5040" w:hanging="360"/>
      </w:pPr>
      <w:rPr>
        <w:rFonts w:ascii="Symbol" w:hAnsi="Symbol" w:hint="default"/>
      </w:rPr>
    </w:lvl>
    <w:lvl w:ilvl="7" w:tplc="2A3A685C">
      <w:start w:val="1"/>
      <w:numFmt w:val="bullet"/>
      <w:lvlText w:val="o"/>
      <w:lvlJc w:val="left"/>
      <w:pPr>
        <w:ind w:left="5760" w:hanging="360"/>
      </w:pPr>
      <w:rPr>
        <w:rFonts w:ascii="Courier New" w:hAnsi="Courier New" w:hint="default"/>
      </w:rPr>
    </w:lvl>
    <w:lvl w:ilvl="8" w:tplc="2CCC1954">
      <w:start w:val="1"/>
      <w:numFmt w:val="bullet"/>
      <w:lvlText w:val=""/>
      <w:lvlJc w:val="left"/>
      <w:pPr>
        <w:ind w:left="6480" w:hanging="360"/>
      </w:pPr>
      <w:rPr>
        <w:rFonts w:ascii="Wingdings" w:hAnsi="Wingdings" w:hint="default"/>
      </w:rPr>
    </w:lvl>
  </w:abstractNum>
  <w:abstractNum w:abstractNumId="6" w15:restartNumberingAfterBreak="0">
    <w:nsid w:val="19131CE9"/>
    <w:multiLevelType w:val="hybridMultilevel"/>
    <w:tmpl w:val="C07A9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ABAD0"/>
    <w:multiLevelType w:val="hybridMultilevel"/>
    <w:tmpl w:val="A5DA0618"/>
    <w:lvl w:ilvl="0" w:tplc="450C3150">
      <w:start w:val="1"/>
      <w:numFmt w:val="bullet"/>
      <w:lvlText w:val="·"/>
      <w:lvlJc w:val="left"/>
      <w:pPr>
        <w:ind w:left="720" w:hanging="360"/>
      </w:pPr>
      <w:rPr>
        <w:rFonts w:ascii="Symbol" w:hAnsi="Symbol" w:hint="default"/>
      </w:rPr>
    </w:lvl>
    <w:lvl w:ilvl="1" w:tplc="25BA9FF4">
      <w:start w:val="1"/>
      <w:numFmt w:val="bullet"/>
      <w:lvlText w:val="o"/>
      <w:lvlJc w:val="left"/>
      <w:pPr>
        <w:ind w:left="1440" w:hanging="360"/>
      </w:pPr>
      <w:rPr>
        <w:rFonts w:ascii="Courier New" w:hAnsi="Courier New" w:hint="default"/>
      </w:rPr>
    </w:lvl>
    <w:lvl w:ilvl="2" w:tplc="E6749F8E">
      <w:start w:val="1"/>
      <w:numFmt w:val="bullet"/>
      <w:lvlText w:val=""/>
      <w:lvlJc w:val="left"/>
      <w:pPr>
        <w:ind w:left="2160" w:hanging="360"/>
      </w:pPr>
      <w:rPr>
        <w:rFonts w:ascii="Wingdings" w:hAnsi="Wingdings" w:hint="default"/>
      </w:rPr>
    </w:lvl>
    <w:lvl w:ilvl="3" w:tplc="8D347470">
      <w:start w:val="1"/>
      <w:numFmt w:val="bullet"/>
      <w:lvlText w:val=""/>
      <w:lvlJc w:val="left"/>
      <w:pPr>
        <w:ind w:left="2880" w:hanging="360"/>
      </w:pPr>
      <w:rPr>
        <w:rFonts w:ascii="Symbol" w:hAnsi="Symbol" w:hint="default"/>
      </w:rPr>
    </w:lvl>
    <w:lvl w:ilvl="4" w:tplc="67D48D88">
      <w:start w:val="1"/>
      <w:numFmt w:val="bullet"/>
      <w:lvlText w:val="o"/>
      <w:lvlJc w:val="left"/>
      <w:pPr>
        <w:ind w:left="3600" w:hanging="360"/>
      </w:pPr>
      <w:rPr>
        <w:rFonts w:ascii="Courier New" w:hAnsi="Courier New" w:hint="default"/>
      </w:rPr>
    </w:lvl>
    <w:lvl w:ilvl="5" w:tplc="1224678A">
      <w:start w:val="1"/>
      <w:numFmt w:val="bullet"/>
      <w:lvlText w:val=""/>
      <w:lvlJc w:val="left"/>
      <w:pPr>
        <w:ind w:left="4320" w:hanging="360"/>
      </w:pPr>
      <w:rPr>
        <w:rFonts w:ascii="Wingdings" w:hAnsi="Wingdings" w:hint="default"/>
      </w:rPr>
    </w:lvl>
    <w:lvl w:ilvl="6" w:tplc="7826DCF8">
      <w:start w:val="1"/>
      <w:numFmt w:val="bullet"/>
      <w:lvlText w:val=""/>
      <w:lvlJc w:val="left"/>
      <w:pPr>
        <w:ind w:left="5040" w:hanging="360"/>
      </w:pPr>
      <w:rPr>
        <w:rFonts w:ascii="Symbol" w:hAnsi="Symbol" w:hint="default"/>
      </w:rPr>
    </w:lvl>
    <w:lvl w:ilvl="7" w:tplc="D10C5E2A">
      <w:start w:val="1"/>
      <w:numFmt w:val="bullet"/>
      <w:lvlText w:val="o"/>
      <w:lvlJc w:val="left"/>
      <w:pPr>
        <w:ind w:left="5760" w:hanging="360"/>
      </w:pPr>
      <w:rPr>
        <w:rFonts w:ascii="Courier New" w:hAnsi="Courier New" w:hint="default"/>
      </w:rPr>
    </w:lvl>
    <w:lvl w:ilvl="8" w:tplc="D34495B4">
      <w:start w:val="1"/>
      <w:numFmt w:val="bullet"/>
      <w:lvlText w:val=""/>
      <w:lvlJc w:val="left"/>
      <w:pPr>
        <w:ind w:left="6480" w:hanging="360"/>
      </w:pPr>
      <w:rPr>
        <w:rFonts w:ascii="Wingdings" w:hAnsi="Wingdings" w:hint="default"/>
      </w:rPr>
    </w:lvl>
  </w:abstractNum>
  <w:abstractNum w:abstractNumId="8" w15:restartNumberingAfterBreak="0">
    <w:nsid w:val="1DBB3B42"/>
    <w:multiLevelType w:val="hybridMultilevel"/>
    <w:tmpl w:val="36A4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B36E7"/>
    <w:multiLevelType w:val="hybridMultilevel"/>
    <w:tmpl w:val="D9BECA5A"/>
    <w:lvl w:ilvl="0" w:tplc="A34E58A4">
      <w:start w:val="1"/>
      <w:numFmt w:val="bullet"/>
      <w:lvlText w:val="•"/>
      <w:lvlJc w:val="left"/>
      <w:pPr>
        <w:tabs>
          <w:tab w:val="num" w:pos="-3240"/>
        </w:tabs>
        <w:ind w:left="-3240" w:hanging="360"/>
      </w:pPr>
      <w:rPr>
        <w:rFonts w:ascii="Arial" w:hAnsi="Arial" w:hint="default"/>
      </w:rPr>
    </w:lvl>
    <w:lvl w:ilvl="1" w:tplc="DD2A1926">
      <w:start w:val="1"/>
      <w:numFmt w:val="bullet"/>
      <w:lvlText w:val="•"/>
      <w:lvlJc w:val="left"/>
      <w:pPr>
        <w:tabs>
          <w:tab w:val="num" w:pos="-2520"/>
        </w:tabs>
        <w:ind w:left="-2520" w:hanging="360"/>
      </w:pPr>
      <w:rPr>
        <w:rFonts w:ascii="Arial" w:hAnsi="Arial" w:hint="default"/>
      </w:rPr>
    </w:lvl>
    <w:lvl w:ilvl="2" w:tplc="2640B9A6">
      <w:start w:val="1"/>
      <w:numFmt w:val="bullet"/>
      <w:lvlText w:val="•"/>
      <w:lvlJc w:val="left"/>
      <w:pPr>
        <w:tabs>
          <w:tab w:val="num" w:pos="-1800"/>
        </w:tabs>
        <w:ind w:left="-1800" w:hanging="360"/>
      </w:pPr>
      <w:rPr>
        <w:rFonts w:ascii="Arial" w:hAnsi="Arial" w:hint="default"/>
      </w:rPr>
    </w:lvl>
    <w:lvl w:ilvl="3" w:tplc="BBB8F56C">
      <w:start w:val="1"/>
      <w:numFmt w:val="bullet"/>
      <w:lvlText w:val="•"/>
      <w:lvlJc w:val="left"/>
      <w:pPr>
        <w:tabs>
          <w:tab w:val="num" w:pos="-1080"/>
        </w:tabs>
        <w:ind w:left="-1080" w:hanging="360"/>
      </w:pPr>
      <w:rPr>
        <w:rFonts w:ascii="Arial" w:hAnsi="Arial" w:hint="default"/>
      </w:rPr>
    </w:lvl>
    <w:lvl w:ilvl="4" w:tplc="DEDE6744">
      <w:start w:val="1"/>
      <w:numFmt w:val="bullet"/>
      <w:lvlText w:val="•"/>
      <w:lvlJc w:val="left"/>
      <w:pPr>
        <w:tabs>
          <w:tab w:val="num" w:pos="-360"/>
        </w:tabs>
        <w:ind w:left="-360" w:hanging="360"/>
      </w:pPr>
      <w:rPr>
        <w:rFonts w:ascii="Arial" w:hAnsi="Arial" w:hint="default"/>
      </w:rPr>
    </w:lvl>
    <w:lvl w:ilvl="5" w:tplc="3AFC51B6">
      <w:start w:val="1"/>
      <w:numFmt w:val="bullet"/>
      <w:lvlText w:val="•"/>
      <w:lvlJc w:val="left"/>
      <w:pPr>
        <w:tabs>
          <w:tab w:val="num" w:pos="360"/>
        </w:tabs>
        <w:ind w:left="360" w:hanging="360"/>
      </w:pPr>
      <w:rPr>
        <w:rFonts w:ascii="Arial" w:hAnsi="Arial" w:hint="default"/>
      </w:rPr>
    </w:lvl>
    <w:lvl w:ilvl="6" w:tplc="3300FE76" w:tentative="1">
      <w:start w:val="1"/>
      <w:numFmt w:val="bullet"/>
      <w:lvlText w:val="•"/>
      <w:lvlJc w:val="left"/>
      <w:pPr>
        <w:tabs>
          <w:tab w:val="num" w:pos="1080"/>
        </w:tabs>
        <w:ind w:left="1080" w:hanging="360"/>
      </w:pPr>
      <w:rPr>
        <w:rFonts w:ascii="Arial" w:hAnsi="Arial" w:hint="default"/>
      </w:rPr>
    </w:lvl>
    <w:lvl w:ilvl="7" w:tplc="A52650C6" w:tentative="1">
      <w:start w:val="1"/>
      <w:numFmt w:val="bullet"/>
      <w:lvlText w:val="•"/>
      <w:lvlJc w:val="left"/>
      <w:pPr>
        <w:tabs>
          <w:tab w:val="num" w:pos="1800"/>
        </w:tabs>
        <w:ind w:left="1800" w:hanging="360"/>
      </w:pPr>
      <w:rPr>
        <w:rFonts w:ascii="Arial" w:hAnsi="Arial" w:hint="default"/>
      </w:rPr>
    </w:lvl>
    <w:lvl w:ilvl="8" w:tplc="1E366756" w:tentative="1">
      <w:start w:val="1"/>
      <w:numFmt w:val="bullet"/>
      <w:lvlText w:val="•"/>
      <w:lvlJc w:val="left"/>
      <w:pPr>
        <w:tabs>
          <w:tab w:val="num" w:pos="2520"/>
        </w:tabs>
        <w:ind w:left="2520" w:hanging="360"/>
      </w:pPr>
      <w:rPr>
        <w:rFonts w:ascii="Arial" w:hAnsi="Arial" w:hint="default"/>
      </w:rPr>
    </w:lvl>
  </w:abstractNum>
  <w:abstractNum w:abstractNumId="10" w15:restartNumberingAfterBreak="0">
    <w:nsid w:val="29A98A28"/>
    <w:multiLevelType w:val="hybridMultilevel"/>
    <w:tmpl w:val="3F68EDD2"/>
    <w:lvl w:ilvl="0" w:tplc="43602FB0">
      <w:start w:val="1"/>
      <w:numFmt w:val="bullet"/>
      <w:lvlText w:val="·"/>
      <w:lvlJc w:val="left"/>
      <w:pPr>
        <w:ind w:left="720" w:hanging="360"/>
      </w:pPr>
      <w:rPr>
        <w:rFonts w:ascii="Symbol" w:hAnsi="Symbol" w:hint="default"/>
      </w:rPr>
    </w:lvl>
    <w:lvl w:ilvl="1" w:tplc="C682225C">
      <w:start w:val="1"/>
      <w:numFmt w:val="bullet"/>
      <w:lvlText w:val="o"/>
      <w:lvlJc w:val="left"/>
      <w:pPr>
        <w:ind w:left="1440" w:hanging="360"/>
      </w:pPr>
      <w:rPr>
        <w:rFonts w:ascii="Courier New" w:hAnsi="Courier New" w:hint="default"/>
      </w:rPr>
    </w:lvl>
    <w:lvl w:ilvl="2" w:tplc="ACD2919C">
      <w:start w:val="1"/>
      <w:numFmt w:val="bullet"/>
      <w:lvlText w:val=""/>
      <w:lvlJc w:val="left"/>
      <w:pPr>
        <w:ind w:left="2160" w:hanging="360"/>
      </w:pPr>
      <w:rPr>
        <w:rFonts w:ascii="Wingdings" w:hAnsi="Wingdings" w:hint="default"/>
      </w:rPr>
    </w:lvl>
    <w:lvl w:ilvl="3" w:tplc="ABA0A97A">
      <w:start w:val="1"/>
      <w:numFmt w:val="bullet"/>
      <w:lvlText w:val=""/>
      <w:lvlJc w:val="left"/>
      <w:pPr>
        <w:ind w:left="2880" w:hanging="360"/>
      </w:pPr>
      <w:rPr>
        <w:rFonts w:ascii="Symbol" w:hAnsi="Symbol" w:hint="default"/>
      </w:rPr>
    </w:lvl>
    <w:lvl w:ilvl="4" w:tplc="474A719C">
      <w:start w:val="1"/>
      <w:numFmt w:val="bullet"/>
      <w:lvlText w:val="o"/>
      <w:lvlJc w:val="left"/>
      <w:pPr>
        <w:ind w:left="3600" w:hanging="360"/>
      </w:pPr>
      <w:rPr>
        <w:rFonts w:ascii="Courier New" w:hAnsi="Courier New" w:hint="default"/>
      </w:rPr>
    </w:lvl>
    <w:lvl w:ilvl="5" w:tplc="094E7520">
      <w:start w:val="1"/>
      <w:numFmt w:val="bullet"/>
      <w:lvlText w:val=""/>
      <w:lvlJc w:val="left"/>
      <w:pPr>
        <w:ind w:left="4320" w:hanging="360"/>
      </w:pPr>
      <w:rPr>
        <w:rFonts w:ascii="Wingdings" w:hAnsi="Wingdings" w:hint="default"/>
      </w:rPr>
    </w:lvl>
    <w:lvl w:ilvl="6" w:tplc="BFB65E08">
      <w:start w:val="1"/>
      <w:numFmt w:val="bullet"/>
      <w:lvlText w:val=""/>
      <w:lvlJc w:val="left"/>
      <w:pPr>
        <w:ind w:left="5040" w:hanging="360"/>
      </w:pPr>
      <w:rPr>
        <w:rFonts w:ascii="Symbol" w:hAnsi="Symbol" w:hint="default"/>
      </w:rPr>
    </w:lvl>
    <w:lvl w:ilvl="7" w:tplc="F0188AA8">
      <w:start w:val="1"/>
      <w:numFmt w:val="bullet"/>
      <w:lvlText w:val="o"/>
      <w:lvlJc w:val="left"/>
      <w:pPr>
        <w:ind w:left="5760" w:hanging="360"/>
      </w:pPr>
      <w:rPr>
        <w:rFonts w:ascii="Courier New" w:hAnsi="Courier New" w:hint="default"/>
      </w:rPr>
    </w:lvl>
    <w:lvl w:ilvl="8" w:tplc="CA0CAF14">
      <w:start w:val="1"/>
      <w:numFmt w:val="bullet"/>
      <w:lvlText w:val=""/>
      <w:lvlJc w:val="left"/>
      <w:pPr>
        <w:ind w:left="6480" w:hanging="360"/>
      </w:pPr>
      <w:rPr>
        <w:rFonts w:ascii="Wingdings" w:hAnsi="Wingdings" w:hint="default"/>
      </w:rPr>
    </w:lvl>
  </w:abstractNum>
  <w:abstractNum w:abstractNumId="11" w15:restartNumberingAfterBreak="0">
    <w:nsid w:val="2CDB049B"/>
    <w:multiLevelType w:val="hybridMultilevel"/>
    <w:tmpl w:val="FFFFFFFF"/>
    <w:lvl w:ilvl="0" w:tplc="9D54219A">
      <w:start w:val="1"/>
      <w:numFmt w:val="bullet"/>
      <w:lvlText w:val="·"/>
      <w:lvlJc w:val="left"/>
      <w:pPr>
        <w:ind w:left="720" w:hanging="360"/>
      </w:pPr>
      <w:rPr>
        <w:rFonts w:ascii="Symbol" w:hAnsi="Symbol" w:hint="default"/>
      </w:rPr>
    </w:lvl>
    <w:lvl w:ilvl="1" w:tplc="59A0DE8C">
      <w:start w:val="1"/>
      <w:numFmt w:val="bullet"/>
      <w:lvlText w:val="o"/>
      <w:lvlJc w:val="left"/>
      <w:pPr>
        <w:ind w:left="1440" w:hanging="360"/>
      </w:pPr>
      <w:rPr>
        <w:rFonts w:ascii="Courier New" w:hAnsi="Courier New" w:hint="default"/>
      </w:rPr>
    </w:lvl>
    <w:lvl w:ilvl="2" w:tplc="61F0B1C8">
      <w:start w:val="1"/>
      <w:numFmt w:val="bullet"/>
      <w:lvlText w:val=""/>
      <w:lvlJc w:val="left"/>
      <w:pPr>
        <w:ind w:left="2160" w:hanging="360"/>
      </w:pPr>
      <w:rPr>
        <w:rFonts w:ascii="Wingdings" w:hAnsi="Wingdings" w:hint="default"/>
      </w:rPr>
    </w:lvl>
    <w:lvl w:ilvl="3" w:tplc="FA3ED3D6">
      <w:start w:val="1"/>
      <w:numFmt w:val="bullet"/>
      <w:lvlText w:val=""/>
      <w:lvlJc w:val="left"/>
      <w:pPr>
        <w:ind w:left="2880" w:hanging="360"/>
      </w:pPr>
      <w:rPr>
        <w:rFonts w:ascii="Symbol" w:hAnsi="Symbol" w:hint="default"/>
      </w:rPr>
    </w:lvl>
    <w:lvl w:ilvl="4" w:tplc="39061AC4">
      <w:start w:val="1"/>
      <w:numFmt w:val="bullet"/>
      <w:lvlText w:val="o"/>
      <w:lvlJc w:val="left"/>
      <w:pPr>
        <w:ind w:left="3600" w:hanging="360"/>
      </w:pPr>
      <w:rPr>
        <w:rFonts w:ascii="Courier New" w:hAnsi="Courier New" w:hint="default"/>
      </w:rPr>
    </w:lvl>
    <w:lvl w:ilvl="5" w:tplc="24C871C4">
      <w:start w:val="1"/>
      <w:numFmt w:val="bullet"/>
      <w:lvlText w:val=""/>
      <w:lvlJc w:val="left"/>
      <w:pPr>
        <w:ind w:left="4320" w:hanging="360"/>
      </w:pPr>
      <w:rPr>
        <w:rFonts w:ascii="Wingdings" w:hAnsi="Wingdings" w:hint="default"/>
      </w:rPr>
    </w:lvl>
    <w:lvl w:ilvl="6" w:tplc="E56E292E">
      <w:start w:val="1"/>
      <w:numFmt w:val="bullet"/>
      <w:lvlText w:val=""/>
      <w:lvlJc w:val="left"/>
      <w:pPr>
        <w:ind w:left="5040" w:hanging="360"/>
      </w:pPr>
      <w:rPr>
        <w:rFonts w:ascii="Symbol" w:hAnsi="Symbol" w:hint="default"/>
      </w:rPr>
    </w:lvl>
    <w:lvl w:ilvl="7" w:tplc="28C20ACA">
      <w:start w:val="1"/>
      <w:numFmt w:val="bullet"/>
      <w:lvlText w:val="o"/>
      <w:lvlJc w:val="left"/>
      <w:pPr>
        <w:ind w:left="5760" w:hanging="360"/>
      </w:pPr>
      <w:rPr>
        <w:rFonts w:ascii="Courier New" w:hAnsi="Courier New" w:hint="default"/>
      </w:rPr>
    </w:lvl>
    <w:lvl w:ilvl="8" w:tplc="393E9364">
      <w:start w:val="1"/>
      <w:numFmt w:val="bullet"/>
      <w:lvlText w:val=""/>
      <w:lvlJc w:val="left"/>
      <w:pPr>
        <w:ind w:left="6480" w:hanging="360"/>
      </w:pPr>
      <w:rPr>
        <w:rFonts w:ascii="Wingdings" w:hAnsi="Wingdings" w:hint="default"/>
      </w:rPr>
    </w:lvl>
  </w:abstractNum>
  <w:abstractNum w:abstractNumId="12" w15:restartNumberingAfterBreak="0">
    <w:nsid w:val="2D321529"/>
    <w:multiLevelType w:val="hybridMultilevel"/>
    <w:tmpl w:val="09F8F0EE"/>
    <w:lvl w:ilvl="0" w:tplc="61182A30">
      <w:start w:val="1"/>
      <w:numFmt w:val="bullet"/>
      <w:lvlText w:val=""/>
      <w:lvlJc w:val="left"/>
      <w:pPr>
        <w:ind w:left="720" w:hanging="360"/>
      </w:pPr>
      <w:rPr>
        <w:rFonts w:ascii="Symbol" w:hAnsi="Symbol" w:hint="default"/>
      </w:rPr>
    </w:lvl>
    <w:lvl w:ilvl="1" w:tplc="DB3AED2C" w:tentative="1">
      <w:start w:val="1"/>
      <w:numFmt w:val="bullet"/>
      <w:lvlText w:val="o"/>
      <w:lvlJc w:val="left"/>
      <w:pPr>
        <w:ind w:left="1440" w:hanging="360"/>
      </w:pPr>
      <w:rPr>
        <w:rFonts w:ascii="Courier New" w:hAnsi="Courier New" w:hint="default"/>
      </w:rPr>
    </w:lvl>
    <w:lvl w:ilvl="2" w:tplc="457E6C48" w:tentative="1">
      <w:start w:val="1"/>
      <w:numFmt w:val="bullet"/>
      <w:lvlText w:val=""/>
      <w:lvlJc w:val="left"/>
      <w:pPr>
        <w:ind w:left="2160" w:hanging="360"/>
      </w:pPr>
      <w:rPr>
        <w:rFonts w:ascii="Wingdings" w:hAnsi="Wingdings" w:hint="default"/>
      </w:rPr>
    </w:lvl>
    <w:lvl w:ilvl="3" w:tplc="A9244EE0" w:tentative="1">
      <w:start w:val="1"/>
      <w:numFmt w:val="bullet"/>
      <w:lvlText w:val=""/>
      <w:lvlJc w:val="left"/>
      <w:pPr>
        <w:ind w:left="2880" w:hanging="360"/>
      </w:pPr>
      <w:rPr>
        <w:rFonts w:ascii="Symbol" w:hAnsi="Symbol" w:hint="default"/>
      </w:rPr>
    </w:lvl>
    <w:lvl w:ilvl="4" w:tplc="6BC87932" w:tentative="1">
      <w:start w:val="1"/>
      <w:numFmt w:val="bullet"/>
      <w:lvlText w:val="o"/>
      <w:lvlJc w:val="left"/>
      <w:pPr>
        <w:ind w:left="3600" w:hanging="360"/>
      </w:pPr>
      <w:rPr>
        <w:rFonts w:ascii="Courier New" w:hAnsi="Courier New" w:hint="default"/>
      </w:rPr>
    </w:lvl>
    <w:lvl w:ilvl="5" w:tplc="DCA68DF8" w:tentative="1">
      <w:start w:val="1"/>
      <w:numFmt w:val="bullet"/>
      <w:lvlText w:val=""/>
      <w:lvlJc w:val="left"/>
      <w:pPr>
        <w:ind w:left="4320" w:hanging="360"/>
      </w:pPr>
      <w:rPr>
        <w:rFonts w:ascii="Wingdings" w:hAnsi="Wingdings" w:hint="default"/>
      </w:rPr>
    </w:lvl>
    <w:lvl w:ilvl="6" w:tplc="0A829720" w:tentative="1">
      <w:start w:val="1"/>
      <w:numFmt w:val="bullet"/>
      <w:lvlText w:val=""/>
      <w:lvlJc w:val="left"/>
      <w:pPr>
        <w:ind w:left="5040" w:hanging="360"/>
      </w:pPr>
      <w:rPr>
        <w:rFonts w:ascii="Symbol" w:hAnsi="Symbol" w:hint="default"/>
      </w:rPr>
    </w:lvl>
    <w:lvl w:ilvl="7" w:tplc="166443DC" w:tentative="1">
      <w:start w:val="1"/>
      <w:numFmt w:val="bullet"/>
      <w:lvlText w:val="o"/>
      <w:lvlJc w:val="left"/>
      <w:pPr>
        <w:ind w:left="5760" w:hanging="360"/>
      </w:pPr>
      <w:rPr>
        <w:rFonts w:ascii="Courier New" w:hAnsi="Courier New" w:hint="default"/>
      </w:rPr>
    </w:lvl>
    <w:lvl w:ilvl="8" w:tplc="C68EDBF0" w:tentative="1">
      <w:start w:val="1"/>
      <w:numFmt w:val="bullet"/>
      <w:lvlText w:val=""/>
      <w:lvlJc w:val="left"/>
      <w:pPr>
        <w:ind w:left="6480" w:hanging="360"/>
      </w:pPr>
      <w:rPr>
        <w:rFonts w:ascii="Wingdings" w:hAnsi="Wingdings" w:hint="default"/>
      </w:rPr>
    </w:lvl>
  </w:abstractNum>
  <w:abstractNum w:abstractNumId="13" w15:restartNumberingAfterBreak="0">
    <w:nsid w:val="2FD1270A"/>
    <w:multiLevelType w:val="hybridMultilevel"/>
    <w:tmpl w:val="EF54201C"/>
    <w:lvl w:ilvl="0" w:tplc="215ACD36">
      <w:start w:val="1"/>
      <w:numFmt w:val="bullet"/>
      <w:lvlText w:val=""/>
      <w:lvlJc w:val="left"/>
      <w:pPr>
        <w:ind w:left="720" w:hanging="360"/>
      </w:pPr>
      <w:rPr>
        <w:rFonts w:ascii="Symbol" w:hAnsi="Symbol" w:hint="default"/>
      </w:rPr>
    </w:lvl>
    <w:lvl w:ilvl="1" w:tplc="0DA4B428" w:tentative="1">
      <w:start w:val="1"/>
      <w:numFmt w:val="bullet"/>
      <w:lvlText w:val="o"/>
      <w:lvlJc w:val="left"/>
      <w:pPr>
        <w:ind w:left="1440" w:hanging="360"/>
      </w:pPr>
      <w:rPr>
        <w:rFonts w:ascii="Courier New" w:hAnsi="Courier New" w:hint="default"/>
      </w:rPr>
    </w:lvl>
    <w:lvl w:ilvl="2" w:tplc="0EB829FA" w:tentative="1">
      <w:start w:val="1"/>
      <w:numFmt w:val="bullet"/>
      <w:lvlText w:val=""/>
      <w:lvlJc w:val="left"/>
      <w:pPr>
        <w:ind w:left="2160" w:hanging="360"/>
      </w:pPr>
      <w:rPr>
        <w:rFonts w:ascii="Wingdings" w:hAnsi="Wingdings" w:hint="default"/>
      </w:rPr>
    </w:lvl>
    <w:lvl w:ilvl="3" w:tplc="D57C8322" w:tentative="1">
      <w:start w:val="1"/>
      <w:numFmt w:val="bullet"/>
      <w:lvlText w:val=""/>
      <w:lvlJc w:val="left"/>
      <w:pPr>
        <w:ind w:left="2880" w:hanging="360"/>
      </w:pPr>
      <w:rPr>
        <w:rFonts w:ascii="Symbol" w:hAnsi="Symbol" w:hint="default"/>
      </w:rPr>
    </w:lvl>
    <w:lvl w:ilvl="4" w:tplc="4ED2651A" w:tentative="1">
      <w:start w:val="1"/>
      <w:numFmt w:val="bullet"/>
      <w:lvlText w:val="o"/>
      <w:lvlJc w:val="left"/>
      <w:pPr>
        <w:ind w:left="3600" w:hanging="360"/>
      </w:pPr>
      <w:rPr>
        <w:rFonts w:ascii="Courier New" w:hAnsi="Courier New" w:hint="default"/>
      </w:rPr>
    </w:lvl>
    <w:lvl w:ilvl="5" w:tplc="0AF47168" w:tentative="1">
      <w:start w:val="1"/>
      <w:numFmt w:val="bullet"/>
      <w:lvlText w:val=""/>
      <w:lvlJc w:val="left"/>
      <w:pPr>
        <w:ind w:left="4320" w:hanging="360"/>
      </w:pPr>
      <w:rPr>
        <w:rFonts w:ascii="Wingdings" w:hAnsi="Wingdings" w:hint="default"/>
      </w:rPr>
    </w:lvl>
    <w:lvl w:ilvl="6" w:tplc="15AA9358" w:tentative="1">
      <w:start w:val="1"/>
      <w:numFmt w:val="bullet"/>
      <w:lvlText w:val=""/>
      <w:lvlJc w:val="left"/>
      <w:pPr>
        <w:ind w:left="5040" w:hanging="360"/>
      </w:pPr>
      <w:rPr>
        <w:rFonts w:ascii="Symbol" w:hAnsi="Symbol" w:hint="default"/>
      </w:rPr>
    </w:lvl>
    <w:lvl w:ilvl="7" w:tplc="2CDC62A0" w:tentative="1">
      <w:start w:val="1"/>
      <w:numFmt w:val="bullet"/>
      <w:lvlText w:val="o"/>
      <w:lvlJc w:val="left"/>
      <w:pPr>
        <w:ind w:left="5760" w:hanging="360"/>
      </w:pPr>
      <w:rPr>
        <w:rFonts w:ascii="Courier New" w:hAnsi="Courier New" w:hint="default"/>
      </w:rPr>
    </w:lvl>
    <w:lvl w:ilvl="8" w:tplc="19B456D2" w:tentative="1">
      <w:start w:val="1"/>
      <w:numFmt w:val="bullet"/>
      <w:lvlText w:val=""/>
      <w:lvlJc w:val="left"/>
      <w:pPr>
        <w:ind w:left="6480" w:hanging="360"/>
      </w:pPr>
      <w:rPr>
        <w:rFonts w:ascii="Wingdings" w:hAnsi="Wingdings" w:hint="default"/>
      </w:rPr>
    </w:lvl>
  </w:abstractNum>
  <w:abstractNum w:abstractNumId="14" w15:restartNumberingAfterBreak="0">
    <w:nsid w:val="307821EC"/>
    <w:multiLevelType w:val="hybridMultilevel"/>
    <w:tmpl w:val="B63E0B9A"/>
    <w:lvl w:ilvl="0" w:tplc="5C34C512">
      <w:start w:val="1"/>
      <w:numFmt w:val="bullet"/>
      <w:lvlText w:val="·"/>
      <w:lvlJc w:val="left"/>
      <w:pPr>
        <w:ind w:left="720" w:hanging="360"/>
      </w:pPr>
      <w:rPr>
        <w:rFonts w:ascii="Symbol" w:hAnsi="Symbol" w:hint="default"/>
      </w:rPr>
    </w:lvl>
    <w:lvl w:ilvl="1" w:tplc="EC02C870">
      <w:start w:val="1"/>
      <w:numFmt w:val="bullet"/>
      <w:lvlText w:val="o"/>
      <w:lvlJc w:val="left"/>
      <w:pPr>
        <w:ind w:left="1440" w:hanging="360"/>
      </w:pPr>
      <w:rPr>
        <w:rFonts w:ascii="Courier New" w:hAnsi="Courier New" w:hint="default"/>
      </w:rPr>
    </w:lvl>
    <w:lvl w:ilvl="2" w:tplc="13DC5670">
      <w:start w:val="1"/>
      <w:numFmt w:val="bullet"/>
      <w:lvlText w:val=""/>
      <w:lvlJc w:val="left"/>
      <w:pPr>
        <w:ind w:left="2160" w:hanging="360"/>
      </w:pPr>
      <w:rPr>
        <w:rFonts w:ascii="Wingdings" w:hAnsi="Wingdings" w:hint="default"/>
      </w:rPr>
    </w:lvl>
    <w:lvl w:ilvl="3" w:tplc="8B165E82">
      <w:start w:val="1"/>
      <w:numFmt w:val="bullet"/>
      <w:lvlText w:val=""/>
      <w:lvlJc w:val="left"/>
      <w:pPr>
        <w:ind w:left="2880" w:hanging="360"/>
      </w:pPr>
      <w:rPr>
        <w:rFonts w:ascii="Symbol" w:hAnsi="Symbol" w:hint="default"/>
      </w:rPr>
    </w:lvl>
    <w:lvl w:ilvl="4" w:tplc="177E8B4C">
      <w:start w:val="1"/>
      <w:numFmt w:val="bullet"/>
      <w:lvlText w:val="o"/>
      <w:lvlJc w:val="left"/>
      <w:pPr>
        <w:ind w:left="3600" w:hanging="360"/>
      </w:pPr>
      <w:rPr>
        <w:rFonts w:ascii="Courier New" w:hAnsi="Courier New" w:hint="default"/>
      </w:rPr>
    </w:lvl>
    <w:lvl w:ilvl="5" w:tplc="8902A7BE">
      <w:start w:val="1"/>
      <w:numFmt w:val="bullet"/>
      <w:lvlText w:val=""/>
      <w:lvlJc w:val="left"/>
      <w:pPr>
        <w:ind w:left="4320" w:hanging="360"/>
      </w:pPr>
      <w:rPr>
        <w:rFonts w:ascii="Wingdings" w:hAnsi="Wingdings" w:hint="default"/>
      </w:rPr>
    </w:lvl>
    <w:lvl w:ilvl="6" w:tplc="938CC9F2">
      <w:start w:val="1"/>
      <w:numFmt w:val="bullet"/>
      <w:lvlText w:val=""/>
      <w:lvlJc w:val="left"/>
      <w:pPr>
        <w:ind w:left="5040" w:hanging="360"/>
      </w:pPr>
      <w:rPr>
        <w:rFonts w:ascii="Symbol" w:hAnsi="Symbol" w:hint="default"/>
      </w:rPr>
    </w:lvl>
    <w:lvl w:ilvl="7" w:tplc="C5CE0418">
      <w:start w:val="1"/>
      <w:numFmt w:val="bullet"/>
      <w:lvlText w:val="o"/>
      <w:lvlJc w:val="left"/>
      <w:pPr>
        <w:ind w:left="5760" w:hanging="360"/>
      </w:pPr>
      <w:rPr>
        <w:rFonts w:ascii="Courier New" w:hAnsi="Courier New" w:hint="default"/>
      </w:rPr>
    </w:lvl>
    <w:lvl w:ilvl="8" w:tplc="6944D2F2">
      <w:start w:val="1"/>
      <w:numFmt w:val="bullet"/>
      <w:lvlText w:val=""/>
      <w:lvlJc w:val="left"/>
      <w:pPr>
        <w:ind w:left="6480" w:hanging="360"/>
      </w:pPr>
      <w:rPr>
        <w:rFonts w:ascii="Wingdings" w:hAnsi="Wingdings" w:hint="default"/>
      </w:rPr>
    </w:lvl>
  </w:abstractNum>
  <w:abstractNum w:abstractNumId="15" w15:restartNumberingAfterBreak="0">
    <w:nsid w:val="362146E6"/>
    <w:multiLevelType w:val="hybridMultilevel"/>
    <w:tmpl w:val="7868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805F2A"/>
    <w:multiLevelType w:val="hybridMultilevel"/>
    <w:tmpl w:val="3A70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166609"/>
    <w:multiLevelType w:val="hybridMultilevel"/>
    <w:tmpl w:val="6ADCE40A"/>
    <w:lvl w:ilvl="0" w:tplc="E2A2FF84">
      <w:start w:val="1"/>
      <w:numFmt w:val="bullet"/>
      <w:lvlText w:val="•"/>
      <w:lvlJc w:val="left"/>
      <w:pPr>
        <w:tabs>
          <w:tab w:val="num" w:pos="360"/>
        </w:tabs>
        <w:ind w:left="360" w:hanging="360"/>
      </w:pPr>
      <w:rPr>
        <w:rFonts w:ascii="Arial" w:hAnsi="Arial" w:hint="default"/>
      </w:rPr>
    </w:lvl>
    <w:lvl w:ilvl="1" w:tplc="3006C9B8" w:tentative="1">
      <w:start w:val="1"/>
      <w:numFmt w:val="bullet"/>
      <w:lvlText w:val="•"/>
      <w:lvlJc w:val="left"/>
      <w:pPr>
        <w:tabs>
          <w:tab w:val="num" w:pos="1080"/>
        </w:tabs>
        <w:ind w:left="1080" w:hanging="360"/>
      </w:pPr>
      <w:rPr>
        <w:rFonts w:ascii="Arial" w:hAnsi="Arial" w:hint="default"/>
      </w:rPr>
    </w:lvl>
    <w:lvl w:ilvl="2" w:tplc="424EF500" w:tentative="1">
      <w:start w:val="1"/>
      <w:numFmt w:val="bullet"/>
      <w:lvlText w:val="•"/>
      <w:lvlJc w:val="left"/>
      <w:pPr>
        <w:tabs>
          <w:tab w:val="num" w:pos="1800"/>
        </w:tabs>
        <w:ind w:left="1800" w:hanging="360"/>
      </w:pPr>
      <w:rPr>
        <w:rFonts w:ascii="Arial" w:hAnsi="Arial" w:hint="default"/>
      </w:rPr>
    </w:lvl>
    <w:lvl w:ilvl="3" w:tplc="9AE8299A" w:tentative="1">
      <w:start w:val="1"/>
      <w:numFmt w:val="bullet"/>
      <w:lvlText w:val="•"/>
      <w:lvlJc w:val="left"/>
      <w:pPr>
        <w:tabs>
          <w:tab w:val="num" w:pos="2520"/>
        </w:tabs>
        <w:ind w:left="2520" w:hanging="360"/>
      </w:pPr>
      <w:rPr>
        <w:rFonts w:ascii="Arial" w:hAnsi="Arial" w:hint="default"/>
      </w:rPr>
    </w:lvl>
    <w:lvl w:ilvl="4" w:tplc="56FA2978" w:tentative="1">
      <w:start w:val="1"/>
      <w:numFmt w:val="bullet"/>
      <w:lvlText w:val="•"/>
      <w:lvlJc w:val="left"/>
      <w:pPr>
        <w:tabs>
          <w:tab w:val="num" w:pos="3240"/>
        </w:tabs>
        <w:ind w:left="3240" w:hanging="360"/>
      </w:pPr>
      <w:rPr>
        <w:rFonts w:ascii="Arial" w:hAnsi="Arial" w:hint="default"/>
      </w:rPr>
    </w:lvl>
    <w:lvl w:ilvl="5" w:tplc="2B50FEB2" w:tentative="1">
      <w:start w:val="1"/>
      <w:numFmt w:val="bullet"/>
      <w:lvlText w:val="•"/>
      <w:lvlJc w:val="left"/>
      <w:pPr>
        <w:tabs>
          <w:tab w:val="num" w:pos="3960"/>
        </w:tabs>
        <w:ind w:left="3960" w:hanging="360"/>
      </w:pPr>
      <w:rPr>
        <w:rFonts w:ascii="Arial" w:hAnsi="Arial" w:hint="default"/>
      </w:rPr>
    </w:lvl>
    <w:lvl w:ilvl="6" w:tplc="7BF4C7AE" w:tentative="1">
      <w:start w:val="1"/>
      <w:numFmt w:val="bullet"/>
      <w:lvlText w:val="•"/>
      <w:lvlJc w:val="left"/>
      <w:pPr>
        <w:tabs>
          <w:tab w:val="num" w:pos="4680"/>
        </w:tabs>
        <w:ind w:left="4680" w:hanging="360"/>
      </w:pPr>
      <w:rPr>
        <w:rFonts w:ascii="Arial" w:hAnsi="Arial" w:hint="default"/>
      </w:rPr>
    </w:lvl>
    <w:lvl w:ilvl="7" w:tplc="0728FC44" w:tentative="1">
      <w:start w:val="1"/>
      <w:numFmt w:val="bullet"/>
      <w:lvlText w:val="•"/>
      <w:lvlJc w:val="left"/>
      <w:pPr>
        <w:tabs>
          <w:tab w:val="num" w:pos="5400"/>
        </w:tabs>
        <w:ind w:left="5400" w:hanging="360"/>
      </w:pPr>
      <w:rPr>
        <w:rFonts w:ascii="Arial" w:hAnsi="Arial" w:hint="default"/>
      </w:rPr>
    </w:lvl>
    <w:lvl w:ilvl="8" w:tplc="787EF55C"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D24C33C"/>
    <w:multiLevelType w:val="hybridMultilevel"/>
    <w:tmpl w:val="FFFFFFFF"/>
    <w:lvl w:ilvl="0" w:tplc="66A09E7C">
      <w:start w:val="1"/>
      <w:numFmt w:val="bullet"/>
      <w:lvlText w:val=""/>
      <w:lvlJc w:val="left"/>
      <w:pPr>
        <w:ind w:left="720" w:hanging="360"/>
      </w:pPr>
      <w:rPr>
        <w:rFonts w:ascii="Symbol" w:hAnsi="Symbol" w:hint="default"/>
      </w:rPr>
    </w:lvl>
    <w:lvl w:ilvl="1" w:tplc="981A9B28">
      <w:start w:val="1"/>
      <w:numFmt w:val="bullet"/>
      <w:lvlText w:val="o"/>
      <w:lvlJc w:val="left"/>
      <w:pPr>
        <w:ind w:left="1440" w:hanging="360"/>
      </w:pPr>
      <w:rPr>
        <w:rFonts w:ascii="Courier New" w:hAnsi="Courier New" w:hint="default"/>
      </w:rPr>
    </w:lvl>
    <w:lvl w:ilvl="2" w:tplc="FD44D83E">
      <w:start w:val="1"/>
      <w:numFmt w:val="bullet"/>
      <w:lvlText w:val=""/>
      <w:lvlJc w:val="left"/>
      <w:pPr>
        <w:ind w:left="2160" w:hanging="360"/>
      </w:pPr>
      <w:rPr>
        <w:rFonts w:ascii="Wingdings" w:hAnsi="Wingdings" w:hint="default"/>
      </w:rPr>
    </w:lvl>
    <w:lvl w:ilvl="3" w:tplc="4710C254">
      <w:start w:val="1"/>
      <w:numFmt w:val="bullet"/>
      <w:lvlText w:val=""/>
      <w:lvlJc w:val="left"/>
      <w:pPr>
        <w:ind w:left="2880" w:hanging="360"/>
      </w:pPr>
      <w:rPr>
        <w:rFonts w:ascii="Symbol" w:hAnsi="Symbol" w:hint="default"/>
      </w:rPr>
    </w:lvl>
    <w:lvl w:ilvl="4" w:tplc="BE929386">
      <w:start w:val="1"/>
      <w:numFmt w:val="bullet"/>
      <w:lvlText w:val="o"/>
      <w:lvlJc w:val="left"/>
      <w:pPr>
        <w:ind w:left="3600" w:hanging="360"/>
      </w:pPr>
      <w:rPr>
        <w:rFonts w:ascii="Courier New" w:hAnsi="Courier New" w:hint="default"/>
      </w:rPr>
    </w:lvl>
    <w:lvl w:ilvl="5" w:tplc="09708798">
      <w:start w:val="1"/>
      <w:numFmt w:val="bullet"/>
      <w:lvlText w:val=""/>
      <w:lvlJc w:val="left"/>
      <w:pPr>
        <w:ind w:left="4320" w:hanging="360"/>
      </w:pPr>
      <w:rPr>
        <w:rFonts w:ascii="Wingdings" w:hAnsi="Wingdings" w:hint="default"/>
      </w:rPr>
    </w:lvl>
    <w:lvl w:ilvl="6" w:tplc="6BACFF36">
      <w:start w:val="1"/>
      <w:numFmt w:val="bullet"/>
      <w:lvlText w:val=""/>
      <w:lvlJc w:val="left"/>
      <w:pPr>
        <w:ind w:left="5040" w:hanging="360"/>
      </w:pPr>
      <w:rPr>
        <w:rFonts w:ascii="Symbol" w:hAnsi="Symbol" w:hint="default"/>
      </w:rPr>
    </w:lvl>
    <w:lvl w:ilvl="7" w:tplc="869CB42E">
      <w:start w:val="1"/>
      <w:numFmt w:val="bullet"/>
      <w:lvlText w:val="o"/>
      <w:lvlJc w:val="left"/>
      <w:pPr>
        <w:ind w:left="5760" w:hanging="360"/>
      </w:pPr>
      <w:rPr>
        <w:rFonts w:ascii="Courier New" w:hAnsi="Courier New" w:hint="default"/>
      </w:rPr>
    </w:lvl>
    <w:lvl w:ilvl="8" w:tplc="F49A75D2">
      <w:start w:val="1"/>
      <w:numFmt w:val="bullet"/>
      <w:lvlText w:val=""/>
      <w:lvlJc w:val="left"/>
      <w:pPr>
        <w:ind w:left="6480" w:hanging="360"/>
      </w:pPr>
      <w:rPr>
        <w:rFonts w:ascii="Wingdings" w:hAnsi="Wingdings" w:hint="default"/>
      </w:rPr>
    </w:lvl>
  </w:abstractNum>
  <w:abstractNum w:abstractNumId="19" w15:restartNumberingAfterBreak="0">
    <w:nsid w:val="4F44A6C5"/>
    <w:multiLevelType w:val="hybridMultilevel"/>
    <w:tmpl w:val="BFF0DEFC"/>
    <w:lvl w:ilvl="0" w:tplc="08644EA8">
      <w:start w:val="1"/>
      <w:numFmt w:val="bullet"/>
      <w:lvlText w:val="·"/>
      <w:lvlJc w:val="left"/>
      <w:pPr>
        <w:ind w:left="720" w:hanging="360"/>
      </w:pPr>
      <w:rPr>
        <w:rFonts w:ascii="Symbol" w:hAnsi="Symbol" w:hint="default"/>
      </w:rPr>
    </w:lvl>
    <w:lvl w:ilvl="1" w:tplc="E0F2485E">
      <w:start w:val="1"/>
      <w:numFmt w:val="bullet"/>
      <w:lvlText w:val="o"/>
      <w:lvlJc w:val="left"/>
      <w:pPr>
        <w:ind w:left="1440" w:hanging="360"/>
      </w:pPr>
      <w:rPr>
        <w:rFonts w:ascii="Courier New" w:hAnsi="Courier New" w:hint="default"/>
      </w:rPr>
    </w:lvl>
    <w:lvl w:ilvl="2" w:tplc="C75A3BEC">
      <w:start w:val="1"/>
      <w:numFmt w:val="bullet"/>
      <w:lvlText w:val=""/>
      <w:lvlJc w:val="left"/>
      <w:pPr>
        <w:ind w:left="2160" w:hanging="360"/>
      </w:pPr>
      <w:rPr>
        <w:rFonts w:ascii="Wingdings" w:hAnsi="Wingdings" w:hint="default"/>
      </w:rPr>
    </w:lvl>
    <w:lvl w:ilvl="3" w:tplc="53A081DA">
      <w:start w:val="1"/>
      <w:numFmt w:val="bullet"/>
      <w:lvlText w:val=""/>
      <w:lvlJc w:val="left"/>
      <w:pPr>
        <w:ind w:left="2880" w:hanging="360"/>
      </w:pPr>
      <w:rPr>
        <w:rFonts w:ascii="Symbol" w:hAnsi="Symbol" w:hint="default"/>
      </w:rPr>
    </w:lvl>
    <w:lvl w:ilvl="4" w:tplc="157A3250">
      <w:start w:val="1"/>
      <w:numFmt w:val="bullet"/>
      <w:lvlText w:val="o"/>
      <w:lvlJc w:val="left"/>
      <w:pPr>
        <w:ind w:left="3600" w:hanging="360"/>
      </w:pPr>
      <w:rPr>
        <w:rFonts w:ascii="Courier New" w:hAnsi="Courier New" w:hint="default"/>
      </w:rPr>
    </w:lvl>
    <w:lvl w:ilvl="5" w:tplc="87D431F4">
      <w:start w:val="1"/>
      <w:numFmt w:val="bullet"/>
      <w:lvlText w:val=""/>
      <w:lvlJc w:val="left"/>
      <w:pPr>
        <w:ind w:left="4320" w:hanging="360"/>
      </w:pPr>
      <w:rPr>
        <w:rFonts w:ascii="Wingdings" w:hAnsi="Wingdings" w:hint="default"/>
      </w:rPr>
    </w:lvl>
    <w:lvl w:ilvl="6" w:tplc="B78295B2">
      <w:start w:val="1"/>
      <w:numFmt w:val="bullet"/>
      <w:lvlText w:val=""/>
      <w:lvlJc w:val="left"/>
      <w:pPr>
        <w:ind w:left="5040" w:hanging="360"/>
      </w:pPr>
      <w:rPr>
        <w:rFonts w:ascii="Symbol" w:hAnsi="Symbol" w:hint="default"/>
      </w:rPr>
    </w:lvl>
    <w:lvl w:ilvl="7" w:tplc="47BC50B0">
      <w:start w:val="1"/>
      <w:numFmt w:val="bullet"/>
      <w:lvlText w:val="o"/>
      <w:lvlJc w:val="left"/>
      <w:pPr>
        <w:ind w:left="5760" w:hanging="360"/>
      </w:pPr>
      <w:rPr>
        <w:rFonts w:ascii="Courier New" w:hAnsi="Courier New" w:hint="default"/>
      </w:rPr>
    </w:lvl>
    <w:lvl w:ilvl="8" w:tplc="D8A4CA20">
      <w:start w:val="1"/>
      <w:numFmt w:val="bullet"/>
      <w:lvlText w:val=""/>
      <w:lvlJc w:val="left"/>
      <w:pPr>
        <w:ind w:left="6480" w:hanging="360"/>
      </w:pPr>
      <w:rPr>
        <w:rFonts w:ascii="Wingdings" w:hAnsi="Wingdings" w:hint="default"/>
      </w:rPr>
    </w:lvl>
  </w:abstractNum>
  <w:abstractNum w:abstractNumId="20" w15:restartNumberingAfterBreak="0">
    <w:nsid w:val="4F640285"/>
    <w:multiLevelType w:val="hybridMultilevel"/>
    <w:tmpl w:val="D45EC932"/>
    <w:lvl w:ilvl="0" w:tplc="215ACD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2726E4"/>
    <w:multiLevelType w:val="hybridMultilevel"/>
    <w:tmpl w:val="70D0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63B15"/>
    <w:multiLevelType w:val="hybridMultilevel"/>
    <w:tmpl w:val="84BCAFB6"/>
    <w:lvl w:ilvl="0" w:tplc="B396348E">
      <w:start w:val="1"/>
      <w:numFmt w:val="bullet"/>
      <w:lvlText w:val="•"/>
      <w:lvlJc w:val="left"/>
      <w:pPr>
        <w:tabs>
          <w:tab w:val="num" w:pos="360"/>
        </w:tabs>
        <w:ind w:left="360" w:hanging="360"/>
      </w:pPr>
      <w:rPr>
        <w:rFonts w:ascii="Arial" w:hAnsi="Arial" w:hint="default"/>
      </w:rPr>
    </w:lvl>
    <w:lvl w:ilvl="1" w:tplc="BA7A6288" w:tentative="1">
      <w:start w:val="1"/>
      <w:numFmt w:val="bullet"/>
      <w:lvlText w:val="•"/>
      <w:lvlJc w:val="left"/>
      <w:pPr>
        <w:tabs>
          <w:tab w:val="num" w:pos="1080"/>
        </w:tabs>
        <w:ind w:left="1080" w:hanging="360"/>
      </w:pPr>
      <w:rPr>
        <w:rFonts w:ascii="Arial" w:hAnsi="Arial" w:hint="default"/>
      </w:rPr>
    </w:lvl>
    <w:lvl w:ilvl="2" w:tplc="8DDEF2FC" w:tentative="1">
      <w:start w:val="1"/>
      <w:numFmt w:val="bullet"/>
      <w:lvlText w:val="•"/>
      <w:lvlJc w:val="left"/>
      <w:pPr>
        <w:tabs>
          <w:tab w:val="num" w:pos="1800"/>
        </w:tabs>
        <w:ind w:left="1800" w:hanging="360"/>
      </w:pPr>
      <w:rPr>
        <w:rFonts w:ascii="Arial" w:hAnsi="Arial" w:hint="default"/>
      </w:rPr>
    </w:lvl>
    <w:lvl w:ilvl="3" w:tplc="5E4AB7DC" w:tentative="1">
      <w:start w:val="1"/>
      <w:numFmt w:val="bullet"/>
      <w:lvlText w:val="•"/>
      <w:lvlJc w:val="left"/>
      <w:pPr>
        <w:tabs>
          <w:tab w:val="num" w:pos="2520"/>
        </w:tabs>
        <w:ind w:left="2520" w:hanging="360"/>
      </w:pPr>
      <w:rPr>
        <w:rFonts w:ascii="Arial" w:hAnsi="Arial" w:hint="default"/>
      </w:rPr>
    </w:lvl>
    <w:lvl w:ilvl="4" w:tplc="09FE8FBA" w:tentative="1">
      <w:start w:val="1"/>
      <w:numFmt w:val="bullet"/>
      <w:lvlText w:val="•"/>
      <w:lvlJc w:val="left"/>
      <w:pPr>
        <w:tabs>
          <w:tab w:val="num" w:pos="3240"/>
        </w:tabs>
        <w:ind w:left="3240" w:hanging="360"/>
      </w:pPr>
      <w:rPr>
        <w:rFonts w:ascii="Arial" w:hAnsi="Arial" w:hint="default"/>
      </w:rPr>
    </w:lvl>
    <w:lvl w:ilvl="5" w:tplc="5BFC5DBE" w:tentative="1">
      <w:start w:val="1"/>
      <w:numFmt w:val="bullet"/>
      <w:lvlText w:val="•"/>
      <w:lvlJc w:val="left"/>
      <w:pPr>
        <w:tabs>
          <w:tab w:val="num" w:pos="3960"/>
        </w:tabs>
        <w:ind w:left="3960" w:hanging="360"/>
      </w:pPr>
      <w:rPr>
        <w:rFonts w:ascii="Arial" w:hAnsi="Arial" w:hint="default"/>
      </w:rPr>
    </w:lvl>
    <w:lvl w:ilvl="6" w:tplc="C96609EA" w:tentative="1">
      <w:start w:val="1"/>
      <w:numFmt w:val="bullet"/>
      <w:lvlText w:val="•"/>
      <w:lvlJc w:val="left"/>
      <w:pPr>
        <w:tabs>
          <w:tab w:val="num" w:pos="4680"/>
        </w:tabs>
        <w:ind w:left="4680" w:hanging="360"/>
      </w:pPr>
      <w:rPr>
        <w:rFonts w:ascii="Arial" w:hAnsi="Arial" w:hint="default"/>
      </w:rPr>
    </w:lvl>
    <w:lvl w:ilvl="7" w:tplc="9B6CEE10" w:tentative="1">
      <w:start w:val="1"/>
      <w:numFmt w:val="bullet"/>
      <w:lvlText w:val="•"/>
      <w:lvlJc w:val="left"/>
      <w:pPr>
        <w:tabs>
          <w:tab w:val="num" w:pos="5400"/>
        </w:tabs>
        <w:ind w:left="5400" w:hanging="360"/>
      </w:pPr>
      <w:rPr>
        <w:rFonts w:ascii="Arial" w:hAnsi="Arial" w:hint="default"/>
      </w:rPr>
    </w:lvl>
    <w:lvl w:ilvl="8" w:tplc="70EA4B36"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54E374BD"/>
    <w:multiLevelType w:val="hybridMultilevel"/>
    <w:tmpl w:val="66F07FD4"/>
    <w:lvl w:ilvl="0" w:tplc="8C8C6AB0">
      <w:start w:val="1"/>
      <w:numFmt w:val="bullet"/>
      <w:lvlText w:val="·"/>
      <w:lvlJc w:val="left"/>
      <w:pPr>
        <w:ind w:left="720" w:hanging="360"/>
      </w:pPr>
      <w:rPr>
        <w:rFonts w:ascii="Symbol" w:hAnsi="Symbol" w:hint="default"/>
      </w:rPr>
    </w:lvl>
    <w:lvl w:ilvl="1" w:tplc="3974A144">
      <w:start w:val="1"/>
      <w:numFmt w:val="bullet"/>
      <w:lvlText w:val="o"/>
      <w:lvlJc w:val="left"/>
      <w:pPr>
        <w:ind w:left="1440" w:hanging="360"/>
      </w:pPr>
      <w:rPr>
        <w:rFonts w:ascii="Courier New" w:hAnsi="Courier New" w:hint="default"/>
      </w:rPr>
    </w:lvl>
    <w:lvl w:ilvl="2" w:tplc="44E6B5F6">
      <w:start w:val="1"/>
      <w:numFmt w:val="bullet"/>
      <w:lvlText w:val=""/>
      <w:lvlJc w:val="left"/>
      <w:pPr>
        <w:ind w:left="2160" w:hanging="360"/>
      </w:pPr>
      <w:rPr>
        <w:rFonts w:ascii="Wingdings" w:hAnsi="Wingdings" w:hint="default"/>
      </w:rPr>
    </w:lvl>
    <w:lvl w:ilvl="3" w:tplc="418609DA">
      <w:start w:val="1"/>
      <w:numFmt w:val="bullet"/>
      <w:lvlText w:val=""/>
      <w:lvlJc w:val="left"/>
      <w:pPr>
        <w:ind w:left="2880" w:hanging="360"/>
      </w:pPr>
      <w:rPr>
        <w:rFonts w:ascii="Symbol" w:hAnsi="Symbol" w:hint="default"/>
      </w:rPr>
    </w:lvl>
    <w:lvl w:ilvl="4" w:tplc="63E22ACC">
      <w:start w:val="1"/>
      <w:numFmt w:val="bullet"/>
      <w:lvlText w:val="o"/>
      <w:lvlJc w:val="left"/>
      <w:pPr>
        <w:ind w:left="3600" w:hanging="360"/>
      </w:pPr>
      <w:rPr>
        <w:rFonts w:ascii="Courier New" w:hAnsi="Courier New" w:hint="default"/>
      </w:rPr>
    </w:lvl>
    <w:lvl w:ilvl="5" w:tplc="44361F1A">
      <w:start w:val="1"/>
      <w:numFmt w:val="bullet"/>
      <w:lvlText w:val=""/>
      <w:lvlJc w:val="left"/>
      <w:pPr>
        <w:ind w:left="4320" w:hanging="360"/>
      </w:pPr>
      <w:rPr>
        <w:rFonts w:ascii="Wingdings" w:hAnsi="Wingdings" w:hint="default"/>
      </w:rPr>
    </w:lvl>
    <w:lvl w:ilvl="6" w:tplc="9AF67B40">
      <w:start w:val="1"/>
      <w:numFmt w:val="bullet"/>
      <w:lvlText w:val=""/>
      <w:lvlJc w:val="left"/>
      <w:pPr>
        <w:ind w:left="5040" w:hanging="360"/>
      </w:pPr>
      <w:rPr>
        <w:rFonts w:ascii="Symbol" w:hAnsi="Symbol" w:hint="default"/>
      </w:rPr>
    </w:lvl>
    <w:lvl w:ilvl="7" w:tplc="D9AC1742">
      <w:start w:val="1"/>
      <w:numFmt w:val="bullet"/>
      <w:lvlText w:val="o"/>
      <w:lvlJc w:val="left"/>
      <w:pPr>
        <w:ind w:left="5760" w:hanging="360"/>
      </w:pPr>
      <w:rPr>
        <w:rFonts w:ascii="Courier New" w:hAnsi="Courier New" w:hint="default"/>
      </w:rPr>
    </w:lvl>
    <w:lvl w:ilvl="8" w:tplc="81146BE2">
      <w:start w:val="1"/>
      <w:numFmt w:val="bullet"/>
      <w:lvlText w:val=""/>
      <w:lvlJc w:val="left"/>
      <w:pPr>
        <w:ind w:left="6480" w:hanging="360"/>
      </w:pPr>
      <w:rPr>
        <w:rFonts w:ascii="Wingdings" w:hAnsi="Wingdings" w:hint="default"/>
      </w:rPr>
    </w:lvl>
  </w:abstractNum>
  <w:abstractNum w:abstractNumId="24" w15:restartNumberingAfterBreak="0">
    <w:nsid w:val="570F2B4D"/>
    <w:multiLevelType w:val="hybridMultilevel"/>
    <w:tmpl w:val="E50EEA96"/>
    <w:lvl w:ilvl="0" w:tplc="215ACD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644CAF"/>
    <w:multiLevelType w:val="hybridMultilevel"/>
    <w:tmpl w:val="23165E66"/>
    <w:lvl w:ilvl="0" w:tplc="633C56AC">
      <w:start w:val="1"/>
      <w:numFmt w:val="bullet"/>
      <w:lvlText w:val="•"/>
      <w:lvlJc w:val="left"/>
      <w:pPr>
        <w:tabs>
          <w:tab w:val="num" w:pos="360"/>
        </w:tabs>
        <w:ind w:left="360" w:hanging="360"/>
      </w:pPr>
      <w:rPr>
        <w:rFonts w:ascii="Arial" w:hAnsi="Arial" w:hint="default"/>
      </w:rPr>
    </w:lvl>
    <w:lvl w:ilvl="1" w:tplc="8E061A8C" w:tentative="1">
      <w:start w:val="1"/>
      <w:numFmt w:val="bullet"/>
      <w:lvlText w:val="•"/>
      <w:lvlJc w:val="left"/>
      <w:pPr>
        <w:tabs>
          <w:tab w:val="num" w:pos="1080"/>
        </w:tabs>
        <w:ind w:left="1080" w:hanging="360"/>
      </w:pPr>
      <w:rPr>
        <w:rFonts w:ascii="Arial" w:hAnsi="Arial" w:hint="default"/>
      </w:rPr>
    </w:lvl>
    <w:lvl w:ilvl="2" w:tplc="AD7E59C6" w:tentative="1">
      <w:start w:val="1"/>
      <w:numFmt w:val="bullet"/>
      <w:lvlText w:val="•"/>
      <w:lvlJc w:val="left"/>
      <w:pPr>
        <w:tabs>
          <w:tab w:val="num" w:pos="1800"/>
        </w:tabs>
        <w:ind w:left="1800" w:hanging="360"/>
      </w:pPr>
      <w:rPr>
        <w:rFonts w:ascii="Arial" w:hAnsi="Arial" w:hint="default"/>
      </w:rPr>
    </w:lvl>
    <w:lvl w:ilvl="3" w:tplc="791CAEC2" w:tentative="1">
      <w:start w:val="1"/>
      <w:numFmt w:val="bullet"/>
      <w:lvlText w:val="•"/>
      <w:lvlJc w:val="left"/>
      <w:pPr>
        <w:tabs>
          <w:tab w:val="num" w:pos="2520"/>
        </w:tabs>
        <w:ind w:left="2520" w:hanging="360"/>
      </w:pPr>
      <w:rPr>
        <w:rFonts w:ascii="Arial" w:hAnsi="Arial" w:hint="default"/>
      </w:rPr>
    </w:lvl>
    <w:lvl w:ilvl="4" w:tplc="E32CD286" w:tentative="1">
      <w:start w:val="1"/>
      <w:numFmt w:val="bullet"/>
      <w:lvlText w:val="•"/>
      <w:lvlJc w:val="left"/>
      <w:pPr>
        <w:tabs>
          <w:tab w:val="num" w:pos="3240"/>
        </w:tabs>
        <w:ind w:left="3240" w:hanging="360"/>
      </w:pPr>
      <w:rPr>
        <w:rFonts w:ascii="Arial" w:hAnsi="Arial" w:hint="default"/>
      </w:rPr>
    </w:lvl>
    <w:lvl w:ilvl="5" w:tplc="F5DA4C8A" w:tentative="1">
      <w:start w:val="1"/>
      <w:numFmt w:val="bullet"/>
      <w:lvlText w:val="•"/>
      <w:lvlJc w:val="left"/>
      <w:pPr>
        <w:tabs>
          <w:tab w:val="num" w:pos="3960"/>
        </w:tabs>
        <w:ind w:left="3960" w:hanging="360"/>
      </w:pPr>
      <w:rPr>
        <w:rFonts w:ascii="Arial" w:hAnsi="Arial" w:hint="default"/>
      </w:rPr>
    </w:lvl>
    <w:lvl w:ilvl="6" w:tplc="DEAAE03C" w:tentative="1">
      <w:start w:val="1"/>
      <w:numFmt w:val="bullet"/>
      <w:lvlText w:val="•"/>
      <w:lvlJc w:val="left"/>
      <w:pPr>
        <w:tabs>
          <w:tab w:val="num" w:pos="4680"/>
        </w:tabs>
        <w:ind w:left="4680" w:hanging="360"/>
      </w:pPr>
      <w:rPr>
        <w:rFonts w:ascii="Arial" w:hAnsi="Arial" w:hint="default"/>
      </w:rPr>
    </w:lvl>
    <w:lvl w:ilvl="7" w:tplc="FEE2A71E" w:tentative="1">
      <w:start w:val="1"/>
      <w:numFmt w:val="bullet"/>
      <w:lvlText w:val="•"/>
      <w:lvlJc w:val="left"/>
      <w:pPr>
        <w:tabs>
          <w:tab w:val="num" w:pos="5400"/>
        </w:tabs>
        <w:ind w:left="5400" w:hanging="360"/>
      </w:pPr>
      <w:rPr>
        <w:rFonts w:ascii="Arial" w:hAnsi="Arial" w:hint="default"/>
      </w:rPr>
    </w:lvl>
    <w:lvl w:ilvl="8" w:tplc="DAF8FF5A"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58AF6B7A"/>
    <w:multiLevelType w:val="hybridMultilevel"/>
    <w:tmpl w:val="E55EDF4C"/>
    <w:lvl w:ilvl="0" w:tplc="215ACD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97538A1"/>
    <w:multiLevelType w:val="hybridMultilevel"/>
    <w:tmpl w:val="8440FC16"/>
    <w:lvl w:ilvl="0" w:tplc="7D0EE4FA">
      <w:start w:val="1"/>
      <w:numFmt w:val="bullet"/>
      <w:lvlText w:val="•"/>
      <w:lvlJc w:val="left"/>
      <w:pPr>
        <w:tabs>
          <w:tab w:val="num" w:pos="720"/>
        </w:tabs>
        <w:ind w:left="720" w:hanging="360"/>
      </w:pPr>
      <w:rPr>
        <w:rFonts w:ascii="Arial" w:hAnsi="Arial" w:hint="default"/>
      </w:rPr>
    </w:lvl>
    <w:lvl w:ilvl="1" w:tplc="EDCE7D20" w:tentative="1">
      <w:start w:val="1"/>
      <w:numFmt w:val="bullet"/>
      <w:lvlText w:val="•"/>
      <w:lvlJc w:val="left"/>
      <w:pPr>
        <w:tabs>
          <w:tab w:val="num" w:pos="1440"/>
        </w:tabs>
        <w:ind w:left="1440" w:hanging="360"/>
      </w:pPr>
      <w:rPr>
        <w:rFonts w:ascii="Arial" w:hAnsi="Arial" w:hint="default"/>
      </w:rPr>
    </w:lvl>
    <w:lvl w:ilvl="2" w:tplc="CB68EAC0" w:tentative="1">
      <w:start w:val="1"/>
      <w:numFmt w:val="bullet"/>
      <w:lvlText w:val="•"/>
      <w:lvlJc w:val="left"/>
      <w:pPr>
        <w:tabs>
          <w:tab w:val="num" w:pos="2160"/>
        </w:tabs>
        <w:ind w:left="2160" w:hanging="360"/>
      </w:pPr>
      <w:rPr>
        <w:rFonts w:ascii="Arial" w:hAnsi="Arial" w:hint="default"/>
      </w:rPr>
    </w:lvl>
    <w:lvl w:ilvl="3" w:tplc="5ED48A0A" w:tentative="1">
      <w:start w:val="1"/>
      <w:numFmt w:val="bullet"/>
      <w:lvlText w:val="•"/>
      <w:lvlJc w:val="left"/>
      <w:pPr>
        <w:tabs>
          <w:tab w:val="num" w:pos="2880"/>
        </w:tabs>
        <w:ind w:left="2880" w:hanging="360"/>
      </w:pPr>
      <w:rPr>
        <w:rFonts w:ascii="Arial" w:hAnsi="Arial" w:hint="default"/>
      </w:rPr>
    </w:lvl>
    <w:lvl w:ilvl="4" w:tplc="358EEF68" w:tentative="1">
      <w:start w:val="1"/>
      <w:numFmt w:val="bullet"/>
      <w:lvlText w:val="•"/>
      <w:lvlJc w:val="left"/>
      <w:pPr>
        <w:tabs>
          <w:tab w:val="num" w:pos="3600"/>
        </w:tabs>
        <w:ind w:left="3600" w:hanging="360"/>
      </w:pPr>
      <w:rPr>
        <w:rFonts w:ascii="Arial" w:hAnsi="Arial" w:hint="default"/>
      </w:rPr>
    </w:lvl>
    <w:lvl w:ilvl="5" w:tplc="31B8E2E0" w:tentative="1">
      <w:start w:val="1"/>
      <w:numFmt w:val="bullet"/>
      <w:lvlText w:val="•"/>
      <w:lvlJc w:val="left"/>
      <w:pPr>
        <w:tabs>
          <w:tab w:val="num" w:pos="4320"/>
        </w:tabs>
        <w:ind w:left="4320" w:hanging="360"/>
      </w:pPr>
      <w:rPr>
        <w:rFonts w:ascii="Arial" w:hAnsi="Arial" w:hint="default"/>
      </w:rPr>
    </w:lvl>
    <w:lvl w:ilvl="6" w:tplc="4EDCBF92" w:tentative="1">
      <w:start w:val="1"/>
      <w:numFmt w:val="bullet"/>
      <w:lvlText w:val="•"/>
      <w:lvlJc w:val="left"/>
      <w:pPr>
        <w:tabs>
          <w:tab w:val="num" w:pos="5040"/>
        </w:tabs>
        <w:ind w:left="5040" w:hanging="360"/>
      </w:pPr>
      <w:rPr>
        <w:rFonts w:ascii="Arial" w:hAnsi="Arial" w:hint="default"/>
      </w:rPr>
    </w:lvl>
    <w:lvl w:ilvl="7" w:tplc="FF805A30" w:tentative="1">
      <w:start w:val="1"/>
      <w:numFmt w:val="bullet"/>
      <w:lvlText w:val="•"/>
      <w:lvlJc w:val="left"/>
      <w:pPr>
        <w:tabs>
          <w:tab w:val="num" w:pos="5760"/>
        </w:tabs>
        <w:ind w:left="5760" w:hanging="360"/>
      </w:pPr>
      <w:rPr>
        <w:rFonts w:ascii="Arial" w:hAnsi="Arial" w:hint="default"/>
      </w:rPr>
    </w:lvl>
    <w:lvl w:ilvl="8" w:tplc="4AA299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32085C3"/>
    <w:multiLevelType w:val="hybridMultilevel"/>
    <w:tmpl w:val="17B60750"/>
    <w:lvl w:ilvl="0" w:tplc="E4E495EE">
      <w:start w:val="1"/>
      <w:numFmt w:val="bullet"/>
      <w:lvlText w:val="·"/>
      <w:lvlJc w:val="left"/>
      <w:pPr>
        <w:ind w:left="720" w:hanging="360"/>
      </w:pPr>
      <w:rPr>
        <w:rFonts w:ascii="Symbol" w:hAnsi="Symbol" w:hint="default"/>
      </w:rPr>
    </w:lvl>
    <w:lvl w:ilvl="1" w:tplc="51E29BEE">
      <w:start w:val="1"/>
      <w:numFmt w:val="bullet"/>
      <w:lvlText w:val="o"/>
      <w:lvlJc w:val="left"/>
      <w:pPr>
        <w:ind w:left="1440" w:hanging="360"/>
      </w:pPr>
      <w:rPr>
        <w:rFonts w:ascii="Courier New" w:hAnsi="Courier New" w:hint="default"/>
      </w:rPr>
    </w:lvl>
    <w:lvl w:ilvl="2" w:tplc="80663BB6">
      <w:start w:val="1"/>
      <w:numFmt w:val="bullet"/>
      <w:lvlText w:val=""/>
      <w:lvlJc w:val="left"/>
      <w:pPr>
        <w:ind w:left="2160" w:hanging="360"/>
      </w:pPr>
      <w:rPr>
        <w:rFonts w:ascii="Wingdings" w:hAnsi="Wingdings" w:hint="default"/>
      </w:rPr>
    </w:lvl>
    <w:lvl w:ilvl="3" w:tplc="41AE27C2">
      <w:start w:val="1"/>
      <w:numFmt w:val="bullet"/>
      <w:lvlText w:val=""/>
      <w:lvlJc w:val="left"/>
      <w:pPr>
        <w:ind w:left="2880" w:hanging="360"/>
      </w:pPr>
      <w:rPr>
        <w:rFonts w:ascii="Symbol" w:hAnsi="Symbol" w:hint="default"/>
      </w:rPr>
    </w:lvl>
    <w:lvl w:ilvl="4" w:tplc="C428C978">
      <w:start w:val="1"/>
      <w:numFmt w:val="bullet"/>
      <w:lvlText w:val="o"/>
      <w:lvlJc w:val="left"/>
      <w:pPr>
        <w:ind w:left="3600" w:hanging="360"/>
      </w:pPr>
      <w:rPr>
        <w:rFonts w:ascii="Courier New" w:hAnsi="Courier New" w:hint="default"/>
      </w:rPr>
    </w:lvl>
    <w:lvl w:ilvl="5" w:tplc="BE602336">
      <w:start w:val="1"/>
      <w:numFmt w:val="bullet"/>
      <w:lvlText w:val=""/>
      <w:lvlJc w:val="left"/>
      <w:pPr>
        <w:ind w:left="4320" w:hanging="360"/>
      </w:pPr>
      <w:rPr>
        <w:rFonts w:ascii="Wingdings" w:hAnsi="Wingdings" w:hint="default"/>
      </w:rPr>
    </w:lvl>
    <w:lvl w:ilvl="6" w:tplc="1A021FF4">
      <w:start w:val="1"/>
      <w:numFmt w:val="bullet"/>
      <w:lvlText w:val=""/>
      <w:lvlJc w:val="left"/>
      <w:pPr>
        <w:ind w:left="5040" w:hanging="360"/>
      </w:pPr>
      <w:rPr>
        <w:rFonts w:ascii="Symbol" w:hAnsi="Symbol" w:hint="default"/>
      </w:rPr>
    </w:lvl>
    <w:lvl w:ilvl="7" w:tplc="5AB661CA">
      <w:start w:val="1"/>
      <w:numFmt w:val="bullet"/>
      <w:lvlText w:val="o"/>
      <w:lvlJc w:val="left"/>
      <w:pPr>
        <w:ind w:left="5760" w:hanging="360"/>
      </w:pPr>
      <w:rPr>
        <w:rFonts w:ascii="Courier New" w:hAnsi="Courier New" w:hint="default"/>
      </w:rPr>
    </w:lvl>
    <w:lvl w:ilvl="8" w:tplc="F10A9C86">
      <w:start w:val="1"/>
      <w:numFmt w:val="bullet"/>
      <w:lvlText w:val=""/>
      <w:lvlJc w:val="left"/>
      <w:pPr>
        <w:ind w:left="6480" w:hanging="360"/>
      </w:pPr>
      <w:rPr>
        <w:rFonts w:ascii="Wingdings" w:hAnsi="Wingdings" w:hint="default"/>
      </w:rPr>
    </w:lvl>
  </w:abstractNum>
  <w:abstractNum w:abstractNumId="29" w15:restartNumberingAfterBreak="0">
    <w:nsid w:val="757F53ED"/>
    <w:multiLevelType w:val="multilevel"/>
    <w:tmpl w:val="DD3A80AE"/>
    <w:lvl w:ilvl="0">
      <w:start w:val="1"/>
      <w:numFmt w:val="decimal"/>
      <w:pStyle w:val="Heading1"/>
      <w:lvlText w:val="%1."/>
      <w:lvlJc w:val="left"/>
      <w:pPr>
        <w:ind w:left="1080" w:hanging="360"/>
      </w:pPr>
    </w:lvl>
    <w:lvl w:ilvl="1">
      <w:start w:val="1"/>
      <w:numFmt w:val="decimal"/>
      <w:pStyle w:val="Heading2"/>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75D0796E"/>
    <w:multiLevelType w:val="hybridMultilevel"/>
    <w:tmpl w:val="6D12CB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C477CC"/>
    <w:multiLevelType w:val="hybridMultilevel"/>
    <w:tmpl w:val="1A1AACE8"/>
    <w:lvl w:ilvl="0" w:tplc="F1BAFE2E">
      <w:start w:val="1"/>
      <w:numFmt w:val="bullet"/>
      <w:lvlText w:val="•"/>
      <w:lvlJc w:val="left"/>
      <w:pPr>
        <w:tabs>
          <w:tab w:val="num" w:pos="720"/>
        </w:tabs>
        <w:ind w:left="720" w:hanging="360"/>
      </w:pPr>
      <w:rPr>
        <w:rFonts w:ascii="Arial" w:hAnsi="Arial" w:hint="default"/>
      </w:rPr>
    </w:lvl>
    <w:lvl w:ilvl="1" w:tplc="E08E4992" w:tentative="1">
      <w:start w:val="1"/>
      <w:numFmt w:val="bullet"/>
      <w:lvlText w:val="•"/>
      <w:lvlJc w:val="left"/>
      <w:pPr>
        <w:tabs>
          <w:tab w:val="num" w:pos="1440"/>
        </w:tabs>
        <w:ind w:left="1440" w:hanging="360"/>
      </w:pPr>
      <w:rPr>
        <w:rFonts w:ascii="Arial" w:hAnsi="Arial" w:hint="default"/>
      </w:rPr>
    </w:lvl>
    <w:lvl w:ilvl="2" w:tplc="F72E4C66" w:tentative="1">
      <w:start w:val="1"/>
      <w:numFmt w:val="bullet"/>
      <w:lvlText w:val="•"/>
      <w:lvlJc w:val="left"/>
      <w:pPr>
        <w:tabs>
          <w:tab w:val="num" w:pos="2160"/>
        </w:tabs>
        <w:ind w:left="2160" w:hanging="360"/>
      </w:pPr>
      <w:rPr>
        <w:rFonts w:ascii="Arial" w:hAnsi="Arial" w:hint="default"/>
      </w:rPr>
    </w:lvl>
    <w:lvl w:ilvl="3" w:tplc="4EB03496" w:tentative="1">
      <w:start w:val="1"/>
      <w:numFmt w:val="bullet"/>
      <w:lvlText w:val="•"/>
      <w:lvlJc w:val="left"/>
      <w:pPr>
        <w:tabs>
          <w:tab w:val="num" w:pos="2880"/>
        </w:tabs>
        <w:ind w:left="2880" w:hanging="360"/>
      </w:pPr>
      <w:rPr>
        <w:rFonts w:ascii="Arial" w:hAnsi="Arial" w:hint="default"/>
      </w:rPr>
    </w:lvl>
    <w:lvl w:ilvl="4" w:tplc="D32AADAA" w:tentative="1">
      <w:start w:val="1"/>
      <w:numFmt w:val="bullet"/>
      <w:lvlText w:val="•"/>
      <w:lvlJc w:val="left"/>
      <w:pPr>
        <w:tabs>
          <w:tab w:val="num" w:pos="3600"/>
        </w:tabs>
        <w:ind w:left="3600" w:hanging="360"/>
      </w:pPr>
      <w:rPr>
        <w:rFonts w:ascii="Arial" w:hAnsi="Arial" w:hint="default"/>
      </w:rPr>
    </w:lvl>
    <w:lvl w:ilvl="5" w:tplc="F1C4930E" w:tentative="1">
      <w:start w:val="1"/>
      <w:numFmt w:val="bullet"/>
      <w:lvlText w:val="•"/>
      <w:lvlJc w:val="left"/>
      <w:pPr>
        <w:tabs>
          <w:tab w:val="num" w:pos="4320"/>
        </w:tabs>
        <w:ind w:left="4320" w:hanging="360"/>
      </w:pPr>
      <w:rPr>
        <w:rFonts w:ascii="Arial" w:hAnsi="Arial" w:hint="default"/>
      </w:rPr>
    </w:lvl>
    <w:lvl w:ilvl="6" w:tplc="22765140" w:tentative="1">
      <w:start w:val="1"/>
      <w:numFmt w:val="bullet"/>
      <w:lvlText w:val="•"/>
      <w:lvlJc w:val="left"/>
      <w:pPr>
        <w:tabs>
          <w:tab w:val="num" w:pos="5040"/>
        </w:tabs>
        <w:ind w:left="5040" w:hanging="360"/>
      </w:pPr>
      <w:rPr>
        <w:rFonts w:ascii="Arial" w:hAnsi="Arial" w:hint="default"/>
      </w:rPr>
    </w:lvl>
    <w:lvl w:ilvl="7" w:tplc="913ADD64" w:tentative="1">
      <w:start w:val="1"/>
      <w:numFmt w:val="bullet"/>
      <w:lvlText w:val="•"/>
      <w:lvlJc w:val="left"/>
      <w:pPr>
        <w:tabs>
          <w:tab w:val="num" w:pos="5760"/>
        </w:tabs>
        <w:ind w:left="5760" w:hanging="360"/>
      </w:pPr>
      <w:rPr>
        <w:rFonts w:ascii="Arial" w:hAnsi="Arial" w:hint="default"/>
      </w:rPr>
    </w:lvl>
    <w:lvl w:ilvl="8" w:tplc="D37A96E2" w:tentative="1">
      <w:start w:val="1"/>
      <w:numFmt w:val="bullet"/>
      <w:lvlText w:val="•"/>
      <w:lvlJc w:val="left"/>
      <w:pPr>
        <w:tabs>
          <w:tab w:val="num" w:pos="6480"/>
        </w:tabs>
        <w:ind w:left="6480" w:hanging="360"/>
      </w:pPr>
      <w:rPr>
        <w:rFonts w:ascii="Arial" w:hAnsi="Arial" w:hint="default"/>
      </w:rPr>
    </w:lvl>
  </w:abstractNum>
  <w:num w:numId="1" w16cid:durableId="1375622916">
    <w:abstractNumId w:val="2"/>
  </w:num>
  <w:num w:numId="2" w16cid:durableId="29108023">
    <w:abstractNumId w:val="23"/>
  </w:num>
  <w:num w:numId="3" w16cid:durableId="581649416">
    <w:abstractNumId w:val="7"/>
  </w:num>
  <w:num w:numId="4" w16cid:durableId="757868235">
    <w:abstractNumId w:val="28"/>
  </w:num>
  <w:num w:numId="5" w16cid:durableId="1467623371">
    <w:abstractNumId w:val="19"/>
  </w:num>
  <w:num w:numId="6" w16cid:durableId="2000115482">
    <w:abstractNumId w:val="14"/>
  </w:num>
  <w:num w:numId="7" w16cid:durableId="1174492501">
    <w:abstractNumId w:val="0"/>
  </w:num>
  <w:num w:numId="8" w16cid:durableId="1427576233">
    <w:abstractNumId w:val="5"/>
  </w:num>
  <w:num w:numId="9" w16cid:durableId="810093106">
    <w:abstractNumId w:val="10"/>
  </w:num>
  <w:num w:numId="10" w16cid:durableId="522943108">
    <w:abstractNumId w:val="29"/>
  </w:num>
  <w:num w:numId="11" w16cid:durableId="848907987">
    <w:abstractNumId w:val="27"/>
  </w:num>
  <w:num w:numId="12" w16cid:durableId="1175536354">
    <w:abstractNumId w:val="17"/>
  </w:num>
  <w:num w:numId="13" w16cid:durableId="1088886406">
    <w:abstractNumId w:val="25"/>
  </w:num>
  <w:num w:numId="14" w16cid:durableId="1003976748">
    <w:abstractNumId w:val="22"/>
  </w:num>
  <w:num w:numId="15" w16cid:durableId="1930118466">
    <w:abstractNumId w:val="31"/>
  </w:num>
  <w:num w:numId="16" w16cid:durableId="104928916">
    <w:abstractNumId w:val="4"/>
  </w:num>
  <w:num w:numId="17" w16cid:durableId="786200337">
    <w:abstractNumId w:val="3"/>
  </w:num>
  <w:num w:numId="18" w16cid:durableId="1450122703">
    <w:abstractNumId w:val="9"/>
  </w:num>
  <w:num w:numId="19" w16cid:durableId="1260985593">
    <w:abstractNumId w:val="12"/>
  </w:num>
  <w:num w:numId="20" w16cid:durableId="978610283">
    <w:abstractNumId w:val="13"/>
  </w:num>
  <w:num w:numId="21" w16cid:durableId="560991524">
    <w:abstractNumId w:val="26"/>
  </w:num>
  <w:num w:numId="22" w16cid:durableId="2043289298">
    <w:abstractNumId w:val="1"/>
  </w:num>
  <w:num w:numId="23" w16cid:durableId="604726527">
    <w:abstractNumId w:val="24"/>
  </w:num>
  <w:num w:numId="24" w16cid:durableId="1817182913">
    <w:abstractNumId w:val="20"/>
  </w:num>
  <w:num w:numId="25" w16cid:durableId="2032492559">
    <w:abstractNumId w:val="30"/>
  </w:num>
  <w:num w:numId="26" w16cid:durableId="2049719287">
    <w:abstractNumId w:val="15"/>
  </w:num>
  <w:num w:numId="27" w16cid:durableId="695034772">
    <w:abstractNumId w:val="11"/>
  </w:num>
  <w:num w:numId="28" w16cid:durableId="776561234">
    <w:abstractNumId w:val="16"/>
  </w:num>
  <w:num w:numId="29" w16cid:durableId="115370912">
    <w:abstractNumId w:val="6"/>
  </w:num>
  <w:num w:numId="30" w16cid:durableId="1280796971">
    <w:abstractNumId w:val="18"/>
  </w:num>
  <w:num w:numId="31" w16cid:durableId="550189230">
    <w:abstractNumId w:val="8"/>
  </w:num>
  <w:num w:numId="32" w16cid:durableId="2036223012">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9A"/>
    <w:rsid w:val="000041FF"/>
    <w:rsid w:val="00005566"/>
    <w:rsid w:val="00005D81"/>
    <w:rsid w:val="00010427"/>
    <w:rsid w:val="00010814"/>
    <w:rsid w:val="00013201"/>
    <w:rsid w:val="00014220"/>
    <w:rsid w:val="00027EC6"/>
    <w:rsid w:val="00036FA4"/>
    <w:rsid w:val="00037554"/>
    <w:rsid w:val="0004195E"/>
    <w:rsid w:val="00042F51"/>
    <w:rsid w:val="00043FA6"/>
    <w:rsid w:val="000454D6"/>
    <w:rsid w:val="00045C0E"/>
    <w:rsid w:val="00046FC9"/>
    <w:rsid w:val="00047092"/>
    <w:rsid w:val="000471B5"/>
    <w:rsid w:val="000504E9"/>
    <w:rsid w:val="0005191B"/>
    <w:rsid w:val="00051A16"/>
    <w:rsid w:val="000556E0"/>
    <w:rsid w:val="00063F5D"/>
    <w:rsid w:val="000643B3"/>
    <w:rsid w:val="00064947"/>
    <w:rsid w:val="00065A26"/>
    <w:rsid w:val="00066592"/>
    <w:rsid w:val="00070253"/>
    <w:rsid w:val="000719D7"/>
    <w:rsid w:val="0007326F"/>
    <w:rsid w:val="00074F30"/>
    <w:rsid w:val="0007677A"/>
    <w:rsid w:val="00077EBA"/>
    <w:rsid w:val="00080E6A"/>
    <w:rsid w:val="000813CC"/>
    <w:rsid w:val="00082F4B"/>
    <w:rsid w:val="00083AA0"/>
    <w:rsid w:val="00084EC7"/>
    <w:rsid w:val="000855BF"/>
    <w:rsid w:val="00086127"/>
    <w:rsid w:val="00086566"/>
    <w:rsid w:val="00087A84"/>
    <w:rsid w:val="00087E97"/>
    <w:rsid w:val="00090A33"/>
    <w:rsid w:val="00094457"/>
    <w:rsid w:val="000969EB"/>
    <w:rsid w:val="000A0A51"/>
    <w:rsid w:val="000A1B6A"/>
    <w:rsid w:val="000A2849"/>
    <w:rsid w:val="000A72D2"/>
    <w:rsid w:val="000A7E25"/>
    <w:rsid w:val="000B1956"/>
    <w:rsid w:val="000B32EA"/>
    <w:rsid w:val="000B4322"/>
    <w:rsid w:val="000B71D4"/>
    <w:rsid w:val="000B72B5"/>
    <w:rsid w:val="000B7D9A"/>
    <w:rsid w:val="000C0163"/>
    <w:rsid w:val="000C05CF"/>
    <w:rsid w:val="000C0B0B"/>
    <w:rsid w:val="000C358E"/>
    <w:rsid w:val="000C3A81"/>
    <w:rsid w:val="000C3E25"/>
    <w:rsid w:val="000C3EA2"/>
    <w:rsid w:val="000C4604"/>
    <w:rsid w:val="000C76E1"/>
    <w:rsid w:val="000D1890"/>
    <w:rsid w:val="000D2937"/>
    <w:rsid w:val="000D2FB1"/>
    <w:rsid w:val="000D339F"/>
    <w:rsid w:val="000D344F"/>
    <w:rsid w:val="000D4462"/>
    <w:rsid w:val="000D5674"/>
    <w:rsid w:val="000D7A26"/>
    <w:rsid w:val="000E20A1"/>
    <w:rsid w:val="000E229A"/>
    <w:rsid w:val="000E36AC"/>
    <w:rsid w:val="000E5801"/>
    <w:rsid w:val="000E64E2"/>
    <w:rsid w:val="000E6814"/>
    <w:rsid w:val="000E7097"/>
    <w:rsid w:val="000E74BF"/>
    <w:rsid w:val="000E761A"/>
    <w:rsid w:val="000E79AC"/>
    <w:rsid w:val="000F1F50"/>
    <w:rsid w:val="000F39EE"/>
    <w:rsid w:val="000F55F7"/>
    <w:rsid w:val="000F5860"/>
    <w:rsid w:val="000F59A0"/>
    <w:rsid w:val="00100A9C"/>
    <w:rsid w:val="00100C08"/>
    <w:rsid w:val="001032AB"/>
    <w:rsid w:val="00103830"/>
    <w:rsid w:val="00104C96"/>
    <w:rsid w:val="001064F0"/>
    <w:rsid w:val="00107C7B"/>
    <w:rsid w:val="00110444"/>
    <w:rsid w:val="00114FE3"/>
    <w:rsid w:val="00115739"/>
    <w:rsid w:val="0011620C"/>
    <w:rsid w:val="001164BA"/>
    <w:rsid w:val="00116E73"/>
    <w:rsid w:val="00116F57"/>
    <w:rsid w:val="00117823"/>
    <w:rsid w:val="001258DB"/>
    <w:rsid w:val="00125AF4"/>
    <w:rsid w:val="00126916"/>
    <w:rsid w:val="00126BEC"/>
    <w:rsid w:val="001275EC"/>
    <w:rsid w:val="001314EB"/>
    <w:rsid w:val="001421F6"/>
    <w:rsid w:val="00144BE2"/>
    <w:rsid w:val="001451BC"/>
    <w:rsid w:val="0014545D"/>
    <w:rsid w:val="0014745F"/>
    <w:rsid w:val="00150FA4"/>
    <w:rsid w:val="00152157"/>
    <w:rsid w:val="00153284"/>
    <w:rsid w:val="00153719"/>
    <w:rsid w:val="001543BE"/>
    <w:rsid w:val="0015445A"/>
    <w:rsid w:val="00155CB3"/>
    <w:rsid w:val="00156C73"/>
    <w:rsid w:val="00157D40"/>
    <w:rsid w:val="001605B6"/>
    <w:rsid w:val="00161843"/>
    <w:rsid w:val="001663E0"/>
    <w:rsid w:val="00167514"/>
    <w:rsid w:val="001679A2"/>
    <w:rsid w:val="00167BC5"/>
    <w:rsid w:val="001746CE"/>
    <w:rsid w:val="00175AE7"/>
    <w:rsid w:val="001818BD"/>
    <w:rsid w:val="00186675"/>
    <w:rsid w:val="0018691E"/>
    <w:rsid w:val="0018763F"/>
    <w:rsid w:val="00190418"/>
    <w:rsid w:val="00191363"/>
    <w:rsid w:val="0019421D"/>
    <w:rsid w:val="00194475"/>
    <w:rsid w:val="0019512D"/>
    <w:rsid w:val="00195AFE"/>
    <w:rsid w:val="00195D2F"/>
    <w:rsid w:val="001975E6"/>
    <w:rsid w:val="001A04FF"/>
    <w:rsid w:val="001A09F4"/>
    <w:rsid w:val="001A1F38"/>
    <w:rsid w:val="001A3475"/>
    <w:rsid w:val="001A47EF"/>
    <w:rsid w:val="001A5DE7"/>
    <w:rsid w:val="001A60DF"/>
    <w:rsid w:val="001A645B"/>
    <w:rsid w:val="001A6A52"/>
    <w:rsid w:val="001A6F83"/>
    <w:rsid w:val="001B220C"/>
    <w:rsid w:val="001B2ABC"/>
    <w:rsid w:val="001B55A8"/>
    <w:rsid w:val="001B63EF"/>
    <w:rsid w:val="001C0E03"/>
    <w:rsid w:val="001C1D27"/>
    <w:rsid w:val="001C3064"/>
    <w:rsid w:val="001C3A5D"/>
    <w:rsid w:val="001C4EFE"/>
    <w:rsid w:val="001C72CE"/>
    <w:rsid w:val="001C7454"/>
    <w:rsid w:val="001D1FCD"/>
    <w:rsid w:val="001D2587"/>
    <w:rsid w:val="001D44A6"/>
    <w:rsid w:val="001D4C8E"/>
    <w:rsid w:val="001E102B"/>
    <w:rsid w:val="001E28C9"/>
    <w:rsid w:val="001E3E86"/>
    <w:rsid w:val="001E3F41"/>
    <w:rsid w:val="001E4068"/>
    <w:rsid w:val="001F073D"/>
    <w:rsid w:val="001F0A20"/>
    <w:rsid w:val="001F100F"/>
    <w:rsid w:val="001F14BB"/>
    <w:rsid w:val="001F5125"/>
    <w:rsid w:val="001F690C"/>
    <w:rsid w:val="001F6A50"/>
    <w:rsid w:val="001F6CB6"/>
    <w:rsid w:val="001F77C9"/>
    <w:rsid w:val="00202A6D"/>
    <w:rsid w:val="00203AB3"/>
    <w:rsid w:val="00204BE1"/>
    <w:rsid w:val="002054C2"/>
    <w:rsid w:val="00206646"/>
    <w:rsid w:val="00206B9E"/>
    <w:rsid w:val="00210897"/>
    <w:rsid w:val="00214FBC"/>
    <w:rsid w:val="00217D38"/>
    <w:rsid w:val="002214F0"/>
    <w:rsid w:val="002239E7"/>
    <w:rsid w:val="00225101"/>
    <w:rsid w:val="0023133D"/>
    <w:rsid w:val="002336A8"/>
    <w:rsid w:val="00233BF0"/>
    <w:rsid w:val="00234F9B"/>
    <w:rsid w:val="00236208"/>
    <w:rsid w:val="002368C9"/>
    <w:rsid w:val="0023726E"/>
    <w:rsid w:val="00240B61"/>
    <w:rsid w:val="00241908"/>
    <w:rsid w:val="00242D40"/>
    <w:rsid w:val="002461A5"/>
    <w:rsid w:val="00247954"/>
    <w:rsid w:val="00250CC5"/>
    <w:rsid w:val="002520C1"/>
    <w:rsid w:val="00253424"/>
    <w:rsid w:val="00253E29"/>
    <w:rsid w:val="0025561E"/>
    <w:rsid w:val="002557ED"/>
    <w:rsid w:val="00255ACE"/>
    <w:rsid w:val="002561CF"/>
    <w:rsid w:val="002616CB"/>
    <w:rsid w:val="00262A39"/>
    <w:rsid w:val="00262C3E"/>
    <w:rsid w:val="002633EA"/>
    <w:rsid w:val="0026393A"/>
    <w:rsid w:val="002647C9"/>
    <w:rsid w:val="0026671B"/>
    <w:rsid w:val="002705F0"/>
    <w:rsid w:val="002717D5"/>
    <w:rsid w:val="002717E7"/>
    <w:rsid w:val="00272537"/>
    <w:rsid w:val="002733B5"/>
    <w:rsid w:val="00273974"/>
    <w:rsid w:val="002745A2"/>
    <w:rsid w:val="00275955"/>
    <w:rsid w:val="002762EC"/>
    <w:rsid w:val="00276661"/>
    <w:rsid w:val="0027712F"/>
    <w:rsid w:val="002774BC"/>
    <w:rsid w:val="0028071E"/>
    <w:rsid w:val="0028121F"/>
    <w:rsid w:val="00281F21"/>
    <w:rsid w:val="00282860"/>
    <w:rsid w:val="0028435E"/>
    <w:rsid w:val="0028440B"/>
    <w:rsid w:val="00285E42"/>
    <w:rsid w:val="0028825C"/>
    <w:rsid w:val="002907A3"/>
    <w:rsid w:val="00295181"/>
    <w:rsid w:val="00296717"/>
    <w:rsid w:val="002A07FA"/>
    <w:rsid w:val="002A123D"/>
    <w:rsid w:val="002A1666"/>
    <w:rsid w:val="002A2B7D"/>
    <w:rsid w:val="002A2FB3"/>
    <w:rsid w:val="002A572F"/>
    <w:rsid w:val="002B236C"/>
    <w:rsid w:val="002B3079"/>
    <w:rsid w:val="002B5BC2"/>
    <w:rsid w:val="002B6B59"/>
    <w:rsid w:val="002B7560"/>
    <w:rsid w:val="002C0DD8"/>
    <w:rsid w:val="002C1ABD"/>
    <w:rsid w:val="002C2DFC"/>
    <w:rsid w:val="002C58D9"/>
    <w:rsid w:val="002C6DD9"/>
    <w:rsid w:val="002C7449"/>
    <w:rsid w:val="002C745D"/>
    <w:rsid w:val="002C7EDE"/>
    <w:rsid w:val="002D16FB"/>
    <w:rsid w:val="002D2276"/>
    <w:rsid w:val="002D3576"/>
    <w:rsid w:val="002D37CA"/>
    <w:rsid w:val="002D3E1D"/>
    <w:rsid w:val="002D5D39"/>
    <w:rsid w:val="002E0B99"/>
    <w:rsid w:val="002E10EA"/>
    <w:rsid w:val="002E1E8A"/>
    <w:rsid w:val="002E27B8"/>
    <w:rsid w:val="002E41B2"/>
    <w:rsid w:val="002E46AF"/>
    <w:rsid w:val="002E5A8D"/>
    <w:rsid w:val="002E661D"/>
    <w:rsid w:val="002E71FC"/>
    <w:rsid w:val="002E729A"/>
    <w:rsid w:val="002E7BC3"/>
    <w:rsid w:val="002E7BFF"/>
    <w:rsid w:val="002F0670"/>
    <w:rsid w:val="002F17CE"/>
    <w:rsid w:val="002F1A0F"/>
    <w:rsid w:val="002F22B8"/>
    <w:rsid w:val="002F6F81"/>
    <w:rsid w:val="00300321"/>
    <w:rsid w:val="00300E72"/>
    <w:rsid w:val="00301F05"/>
    <w:rsid w:val="00304C65"/>
    <w:rsid w:val="00305E09"/>
    <w:rsid w:val="00315417"/>
    <w:rsid w:val="00317482"/>
    <w:rsid w:val="003208C2"/>
    <w:rsid w:val="00323419"/>
    <w:rsid w:val="003253C6"/>
    <w:rsid w:val="003256DA"/>
    <w:rsid w:val="00330940"/>
    <w:rsid w:val="00334300"/>
    <w:rsid w:val="003348BF"/>
    <w:rsid w:val="00335B2A"/>
    <w:rsid w:val="00335D21"/>
    <w:rsid w:val="00340286"/>
    <w:rsid w:val="0034338D"/>
    <w:rsid w:val="00344B6F"/>
    <w:rsid w:val="003452B1"/>
    <w:rsid w:val="00345960"/>
    <w:rsid w:val="003467E3"/>
    <w:rsid w:val="00347018"/>
    <w:rsid w:val="003518DE"/>
    <w:rsid w:val="0035283D"/>
    <w:rsid w:val="00354D22"/>
    <w:rsid w:val="00356F0D"/>
    <w:rsid w:val="00361A81"/>
    <w:rsid w:val="00362BD7"/>
    <w:rsid w:val="00365CC0"/>
    <w:rsid w:val="00366095"/>
    <w:rsid w:val="00366607"/>
    <w:rsid w:val="00366673"/>
    <w:rsid w:val="00366A36"/>
    <w:rsid w:val="003675B2"/>
    <w:rsid w:val="0036B2DC"/>
    <w:rsid w:val="00370E14"/>
    <w:rsid w:val="00372C60"/>
    <w:rsid w:val="003757A9"/>
    <w:rsid w:val="0037623E"/>
    <w:rsid w:val="00376A0A"/>
    <w:rsid w:val="0038201D"/>
    <w:rsid w:val="0038259E"/>
    <w:rsid w:val="00382CCB"/>
    <w:rsid w:val="00382FEC"/>
    <w:rsid w:val="00384510"/>
    <w:rsid w:val="00385334"/>
    <w:rsid w:val="00387807"/>
    <w:rsid w:val="0039339C"/>
    <w:rsid w:val="00393558"/>
    <w:rsid w:val="003943DA"/>
    <w:rsid w:val="00394F5A"/>
    <w:rsid w:val="0039531E"/>
    <w:rsid w:val="00396870"/>
    <w:rsid w:val="003973DF"/>
    <w:rsid w:val="003A0327"/>
    <w:rsid w:val="003A2C98"/>
    <w:rsid w:val="003A3E2E"/>
    <w:rsid w:val="003A41C1"/>
    <w:rsid w:val="003A4737"/>
    <w:rsid w:val="003A4CFC"/>
    <w:rsid w:val="003A6B8D"/>
    <w:rsid w:val="003B12D1"/>
    <w:rsid w:val="003B1A67"/>
    <w:rsid w:val="003B2717"/>
    <w:rsid w:val="003B7F8A"/>
    <w:rsid w:val="003C0EE6"/>
    <w:rsid w:val="003C3318"/>
    <w:rsid w:val="003C494B"/>
    <w:rsid w:val="003C4FE7"/>
    <w:rsid w:val="003C56FC"/>
    <w:rsid w:val="003C5B1F"/>
    <w:rsid w:val="003C5F59"/>
    <w:rsid w:val="003C6CF6"/>
    <w:rsid w:val="003C6D86"/>
    <w:rsid w:val="003C7077"/>
    <w:rsid w:val="003D08F2"/>
    <w:rsid w:val="003D3073"/>
    <w:rsid w:val="003D51E7"/>
    <w:rsid w:val="003D547F"/>
    <w:rsid w:val="003D60CA"/>
    <w:rsid w:val="003D620A"/>
    <w:rsid w:val="003D75ED"/>
    <w:rsid w:val="003E06DD"/>
    <w:rsid w:val="003E1114"/>
    <w:rsid w:val="003E3AB1"/>
    <w:rsid w:val="003E59FE"/>
    <w:rsid w:val="003E5B61"/>
    <w:rsid w:val="003E5F19"/>
    <w:rsid w:val="003E6D63"/>
    <w:rsid w:val="003E7AA9"/>
    <w:rsid w:val="003F0132"/>
    <w:rsid w:val="003F05F4"/>
    <w:rsid w:val="003F2870"/>
    <w:rsid w:val="003F2D17"/>
    <w:rsid w:val="003F305B"/>
    <w:rsid w:val="003F3DDB"/>
    <w:rsid w:val="003F4628"/>
    <w:rsid w:val="003F64DA"/>
    <w:rsid w:val="003F7C9E"/>
    <w:rsid w:val="00400BCF"/>
    <w:rsid w:val="00403F90"/>
    <w:rsid w:val="004043C9"/>
    <w:rsid w:val="00405BA4"/>
    <w:rsid w:val="00406D06"/>
    <w:rsid w:val="00407642"/>
    <w:rsid w:val="0040770B"/>
    <w:rsid w:val="00407C01"/>
    <w:rsid w:val="00412845"/>
    <w:rsid w:val="004135E2"/>
    <w:rsid w:val="00413971"/>
    <w:rsid w:val="0041543D"/>
    <w:rsid w:val="00415AE8"/>
    <w:rsid w:val="00416DEE"/>
    <w:rsid w:val="00416E89"/>
    <w:rsid w:val="00417DEE"/>
    <w:rsid w:val="00425067"/>
    <w:rsid w:val="00426535"/>
    <w:rsid w:val="00426DB8"/>
    <w:rsid w:val="00426E44"/>
    <w:rsid w:val="004274E6"/>
    <w:rsid w:val="0043078D"/>
    <w:rsid w:val="004311EC"/>
    <w:rsid w:val="004316C2"/>
    <w:rsid w:val="00431B1F"/>
    <w:rsid w:val="00432DD8"/>
    <w:rsid w:val="00432F8E"/>
    <w:rsid w:val="00433938"/>
    <w:rsid w:val="0043481F"/>
    <w:rsid w:val="00435A47"/>
    <w:rsid w:val="00436CE2"/>
    <w:rsid w:val="0043716A"/>
    <w:rsid w:val="004371C6"/>
    <w:rsid w:val="0044030D"/>
    <w:rsid w:val="004441D8"/>
    <w:rsid w:val="00445C5A"/>
    <w:rsid w:val="00446CAF"/>
    <w:rsid w:val="00450502"/>
    <w:rsid w:val="0045175E"/>
    <w:rsid w:val="00452BC0"/>
    <w:rsid w:val="00453BDE"/>
    <w:rsid w:val="00454A16"/>
    <w:rsid w:val="00454B8A"/>
    <w:rsid w:val="0045515A"/>
    <w:rsid w:val="00456A41"/>
    <w:rsid w:val="00457176"/>
    <w:rsid w:val="004578CA"/>
    <w:rsid w:val="0046044E"/>
    <w:rsid w:val="004627A3"/>
    <w:rsid w:val="0046319C"/>
    <w:rsid w:val="004634CF"/>
    <w:rsid w:val="00466107"/>
    <w:rsid w:val="00472133"/>
    <w:rsid w:val="00472310"/>
    <w:rsid w:val="004724B4"/>
    <w:rsid w:val="0047269D"/>
    <w:rsid w:val="0047372D"/>
    <w:rsid w:val="004743C7"/>
    <w:rsid w:val="004812DC"/>
    <w:rsid w:val="00481F6E"/>
    <w:rsid w:val="00483459"/>
    <w:rsid w:val="0048575A"/>
    <w:rsid w:val="0048672F"/>
    <w:rsid w:val="00490229"/>
    <w:rsid w:val="00490950"/>
    <w:rsid w:val="00490C2F"/>
    <w:rsid w:val="00493417"/>
    <w:rsid w:val="0049344D"/>
    <w:rsid w:val="00495F58"/>
    <w:rsid w:val="0049677F"/>
    <w:rsid w:val="00496892"/>
    <w:rsid w:val="00497ED1"/>
    <w:rsid w:val="004A0908"/>
    <w:rsid w:val="004A2605"/>
    <w:rsid w:val="004A27C7"/>
    <w:rsid w:val="004A28C2"/>
    <w:rsid w:val="004A3A16"/>
    <w:rsid w:val="004A44EB"/>
    <w:rsid w:val="004A5FC9"/>
    <w:rsid w:val="004A60B4"/>
    <w:rsid w:val="004A6D2D"/>
    <w:rsid w:val="004A76A1"/>
    <w:rsid w:val="004B440B"/>
    <w:rsid w:val="004B7A98"/>
    <w:rsid w:val="004C016B"/>
    <w:rsid w:val="004C0528"/>
    <w:rsid w:val="004C095C"/>
    <w:rsid w:val="004C0B9C"/>
    <w:rsid w:val="004C1392"/>
    <w:rsid w:val="004C4F0F"/>
    <w:rsid w:val="004C5634"/>
    <w:rsid w:val="004C5A42"/>
    <w:rsid w:val="004C652F"/>
    <w:rsid w:val="004C6632"/>
    <w:rsid w:val="004D008D"/>
    <w:rsid w:val="004D159B"/>
    <w:rsid w:val="004D6890"/>
    <w:rsid w:val="004D7678"/>
    <w:rsid w:val="004D7760"/>
    <w:rsid w:val="004E0D0D"/>
    <w:rsid w:val="004E1065"/>
    <w:rsid w:val="004E1A8C"/>
    <w:rsid w:val="004E20B2"/>
    <w:rsid w:val="004E4301"/>
    <w:rsid w:val="004E5B3D"/>
    <w:rsid w:val="004E7015"/>
    <w:rsid w:val="004F1642"/>
    <w:rsid w:val="004F38C3"/>
    <w:rsid w:val="004F3FC5"/>
    <w:rsid w:val="0050009F"/>
    <w:rsid w:val="00500D54"/>
    <w:rsid w:val="00501D13"/>
    <w:rsid w:val="005042C2"/>
    <w:rsid w:val="005048B6"/>
    <w:rsid w:val="00504970"/>
    <w:rsid w:val="00504AB2"/>
    <w:rsid w:val="00504C9B"/>
    <w:rsid w:val="00504CC6"/>
    <w:rsid w:val="00505810"/>
    <w:rsid w:val="00506669"/>
    <w:rsid w:val="00510592"/>
    <w:rsid w:val="00511771"/>
    <w:rsid w:val="00511C38"/>
    <w:rsid w:val="00512C53"/>
    <w:rsid w:val="00513A3A"/>
    <w:rsid w:val="0051500E"/>
    <w:rsid w:val="005150A5"/>
    <w:rsid w:val="00515887"/>
    <w:rsid w:val="00516CD0"/>
    <w:rsid w:val="00517AE6"/>
    <w:rsid w:val="0052052D"/>
    <w:rsid w:val="00520E03"/>
    <w:rsid w:val="00521172"/>
    <w:rsid w:val="0052118C"/>
    <w:rsid w:val="005212B5"/>
    <w:rsid w:val="00521A59"/>
    <w:rsid w:val="005251D2"/>
    <w:rsid w:val="00525521"/>
    <w:rsid w:val="00526C5A"/>
    <w:rsid w:val="00530A9E"/>
    <w:rsid w:val="005310E6"/>
    <w:rsid w:val="00533FD0"/>
    <w:rsid w:val="00534B19"/>
    <w:rsid w:val="0053567F"/>
    <w:rsid w:val="00535692"/>
    <w:rsid w:val="00536046"/>
    <w:rsid w:val="00540097"/>
    <w:rsid w:val="005439EA"/>
    <w:rsid w:val="005446EB"/>
    <w:rsid w:val="00544D7B"/>
    <w:rsid w:val="00544E6E"/>
    <w:rsid w:val="00545EE1"/>
    <w:rsid w:val="005460BF"/>
    <w:rsid w:val="005465D9"/>
    <w:rsid w:val="005477B7"/>
    <w:rsid w:val="00550380"/>
    <w:rsid w:val="005522E0"/>
    <w:rsid w:val="00553C38"/>
    <w:rsid w:val="005540D7"/>
    <w:rsid w:val="0055610B"/>
    <w:rsid w:val="00556786"/>
    <w:rsid w:val="00556889"/>
    <w:rsid w:val="00557425"/>
    <w:rsid w:val="0056199F"/>
    <w:rsid w:val="00562066"/>
    <w:rsid w:val="00565DA9"/>
    <w:rsid w:val="005674D5"/>
    <w:rsid w:val="00567EB2"/>
    <w:rsid w:val="00570C13"/>
    <w:rsid w:val="00574421"/>
    <w:rsid w:val="00575430"/>
    <w:rsid w:val="00575701"/>
    <w:rsid w:val="00575F12"/>
    <w:rsid w:val="00576876"/>
    <w:rsid w:val="005778C3"/>
    <w:rsid w:val="00577D69"/>
    <w:rsid w:val="00583366"/>
    <w:rsid w:val="00583520"/>
    <w:rsid w:val="00584125"/>
    <w:rsid w:val="00584AC8"/>
    <w:rsid w:val="00584AE2"/>
    <w:rsid w:val="00586AE6"/>
    <w:rsid w:val="00586FB4"/>
    <w:rsid w:val="0058774D"/>
    <w:rsid w:val="00590147"/>
    <w:rsid w:val="005906F0"/>
    <w:rsid w:val="005936E2"/>
    <w:rsid w:val="005A0055"/>
    <w:rsid w:val="005A04A3"/>
    <w:rsid w:val="005A2F9F"/>
    <w:rsid w:val="005A476C"/>
    <w:rsid w:val="005A62D0"/>
    <w:rsid w:val="005A7BFF"/>
    <w:rsid w:val="005B01A7"/>
    <w:rsid w:val="005B17F7"/>
    <w:rsid w:val="005B2710"/>
    <w:rsid w:val="005B4164"/>
    <w:rsid w:val="005B4C60"/>
    <w:rsid w:val="005B5964"/>
    <w:rsid w:val="005B63EE"/>
    <w:rsid w:val="005B7E24"/>
    <w:rsid w:val="005C2FCF"/>
    <w:rsid w:val="005C439F"/>
    <w:rsid w:val="005C4C9A"/>
    <w:rsid w:val="005C54B9"/>
    <w:rsid w:val="005C66C4"/>
    <w:rsid w:val="005C754F"/>
    <w:rsid w:val="005D026A"/>
    <w:rsid w:val="005D1CE3"/>
    <w:rsid w:val="005D242E"/>
    <w:rsid w:val="005D2748"/>
    <w:rsid w:val="005D53CD"/>
    <w:rsid w:val="005D5AB9"/>
    <w:rsid w:val="005D61D6"/>
    <w:rsid w:val="005D747A"/>
    <w:rsid w:val="005D7B4F"/>
    <w:rsid w:val="005D7BBB"/>
    <w:rsid w:val="005E00A9"/>
    <w:rsid w:val="005E0575"/>
    <w:rsid w:val="005E0848"/>
    <w:rsid w:val="005E2743"/>
    <w:rsid w:val="005E367E"/>
    <w:rsid w:val="005E3FA5"/>
    <w:rsid w:val="005E6755"/>
    <w:rsid w:val="005F0491"/>
    <w:rsid w:val="005F297A"/>
    <w:rsid w:val="005F3F65"/>
    <w:rsid w:val="005F4CEC"/>
    <w:rsid w:val="005F624E"/>
    <w:rsid w:val="005F783D"/>
    <w:rsid w:val="005F7DB6"/>
    <w:rsid w:val="006009B0"/>
    <w:rsid w:val="0060178A"/>
    <w:rsid w:val="00604D3A"/>
    <w:rsid w:val="006054E7"/>
    <w:rsid w:val="006065C7"/>
    <w:rsid w:val="00610536"/>
    <w:rsid w:val="006119A8"/>
    <w:rsid w:val="0061313F"/>
    <w:rsid w:val="0061356C"/>
    <w:rsid w:val="0061437D"/>
    <w:rsid w:val="0061462C"/>
    <w:rsid w:val="00615A94"/>
    <w:rsid w:val="00615B6B"/>
    <w:rsid w:val="00616D4E"/>
    <w:rsid w:val="00616EDE"/>
    <w:rsid w:val="00617900"/>
    <w:rsid w:val="00622218"/>
    <w:rsid w:val="00624128"/>
    <w:rsid w:val="00625468"/>
    <w:rsid w:val="00626AB2"/>
    <w:rsid w:val="00626AE7"/>
    <w:rsid w:val="00632F9A"/>
    <w:rsid w:val="00635A81"/>
    <w:rsid w:val="0063600C"/>
    <w:rsid w:val="00637319"/>
    <w:rsid w:val="00637A93"/>
    <w:rsid w:val="00637DD9"/>
    <w:rsid w:val="0064041F"/>
    <w:rsid w:val="0064090D"/>
    <w:rsid w:val="0064238E"/>
    <w:rsid w:val="00645BFA"/>
    <w:rsid w:val="00645CBE"/>
    <w:rsid w:val="006464E9"/>
    <w:rsid w:val="00646D0A"/>
    <w:rsid w:val="006525FD"/>
    <w:rsid w:val="00652730"/>
    <w:rsid w:val="00662422"/>
    <w:rsid w:val="00662832"/>
    <w:rsid w:val="00662A3B"/>
    <w:rsid w:val="00662DB6"/>
    <w:rsid w:val="006656E7"/>
    <w:rsid w:val="00667750"/>
    <w:rsid w:val="00672E6C"/>
    <w:rsid w:val="006740F8"/>
    <w:rsid w:val="00674750"/>
    <w:rsid w:val="00674F18"/>
    <w:rsid w:val="00676C74"/>
    <w:rsid w:val="0067702B"/>
    <w:rsid w:val="006778DD"/>
    <w:rsid w:val="00681E66"/>
    <w:rsid w:val="0068536B"/>
    <w:rsid w:val="00687395"/>
    <w:rsid w:val="006917D9"/>
    <w:rsid w:val="006931B8"/>
    <w:rsid w:val="00694428"/>
    <w:rsid w:val="0069627F"/>
    <w:rsid w:val="006A11BE"/>
    <w:rsid w:val="006A150E"/>
    <w:rsid w:val="006A5202"/>
    <w:rsid w:val="006B0F20"/>
    <w:rsid w:val="006B0F4A"/>
    <w:rsid w:val="006B4881"/>
    <w:rsid w:val="006B503D"/>
    <w:rsid w:val="006B6D89"/>
    <w:rsid w:val="006B78C5"/>
    <w:rsid w:val="006C09BD"/>
    <w:rsid w:val="006C2E7C"/>
    <w:rsid w:val="006C2F25"/>
    <w:rsid w:val="006C7603"/>
    <w:rsid w:val="006C7A0E"/>
    <w:rsid w:val="006D2FBF"/>
    <w:rsid w:val="006D4156"/>
    <w:rsid w:val="006D49C9"/>
    <w:rsid w:val="006D4B02"/>
    <w:rsid w:val="006D55BE"/>
    <w:rsid w:val="006D70AC"/>
    <w:rsid w:val="006E0719"/>
    <w:rsid w:val="006E362B"/>
    <w:rsid w:val="006E3A07"/>
    <w:rsid w:val="006E426A"/>
    <w:rsid w:val="006E6817"/>
    <w:rsid w:val="006E768D"/>
    <w:rsid w:val="007008B4"/>
    <w:rsid w:val="007008CA"/>
    <w:rsid w:val="00701924"/>
    <w:rsid w:val="007020C2"/>
    <w:rsid w:val="00702446"/>
    <w:rsid w:val="00702C73"/>
    <w:rsid w:val="0070309E"/>
    <w:rsid w:val="00704889"/>
    <w:rsid w:val="0070494B"/>
    <w:rsid w:val="00706D83"/>
    <w:rsid w:val="00707248"/>
    <w:rsid w:val="00713A89"/>
    <w:rsid w:val="00714644"/>
    <w:rsid w:val="00714873"/>
    <w:rsid w:val="007171A9"/>
    <w:rsid w:val="007171AD"/>
    <w:rsid w:val="00717D06"/>
    <w:rsid w:val="00721385"/>
    <w:rsid w:val="007220B7"/>
    <w:rsid w:val="0072773F"/>
    <w:rsid w:val="00730D7C"/>
    <w:rsid w:val="00730E59"/>
    <w:rsid w:val="007402C6"/>
    <w:rsid w:val="0074037F"/>
    <w:rsid w:val="0074038E"/>
    <w:rsid w:val="00743466"/>
    <w:rsid w:val="00743B4F"/>
    <w:rsid w:val="00745640"/>
    <w:rsid w:val="00747510"/>
    <w:rsid w:val="00747FF6"/>
    <w:rsid w:val="007502FC"/>
    <w:rsid w:val="00750F70"/>
    <w:rsid w:val="0075183F"/>
    <w:rsid w:val="00751EA2"/>
    <w:rsid w:val="0075550D"/>
    <w:rsid w:val="007558DD"/>
    <w:rsid w:val="00756B56"/>
    <w:rsid w:val="00757AA9"/>
    <w:rsid w:val="007601CA"/>
    <w:rsid w:val="00760FE4"/>
    <w:rsid w:val="00762DF3"/>
    <w:rsid w:val="00764144"/>
    <w:rsid w:val="007648FA"/>
    <w:rsid w:val="00764985"/>
    <w:rsid w:val="00765824"/>
    <w:rsid w:val="00767690"/>
    <w:rsid w:val="00770366"/>
    <w:rsid w:val="00771872"/>
    <w:rsid w:val="007727CA"/>
    <w:rsid w:val="00772AC4"/>
    <w:rsid w:val="00773931"/>
    <w:rsid w:val="00773979"/>
    <w:rsid w:val="0077549A"/>
    <w:rsid w:val="0077697D"/>
    <w:rsid w:val="00776A08"/>
    <w:rsid w:val="00777BFE"/>
    <w:rsid w:val="00783B19"/>
    <w:rsid w:val="007848B3"/>
    <w:rsid w:val="0078558E"/>
    <w:rsid w:val="007862A2"/>
    <w:rsid w:val="00786B02"/>
    <w:rsid w:val="00787B72"/>
    <w:rsid w:val="00790404"/>
    <w:rsid w:val="00790EE3"/>
    <w:rsid w:val="00792666"/>
    <w:rsid w:val="00792983"/>
    <w:rsid w:val="00793F6A"/>
    <w:rsid w:val="00794106"/>
    <w:rsid w:val="00794BA1"/>
    <w:rsid w:val="007970D6"/>
    <w:rsid w:val="007A140B"/>
    <w:rsid w:val="007A1E92"/>
    <w:rsid w:val="007A215D"/>
    <w:rsid w:val="007A3DA2"/>
    <w:rsid w:val="007A6867"/>
    <w:rsid w:val="007A6BA4"/>
    <w:rsid w:val="007A734E"/>
    <w:rsid w:val="007A7CDC"/>
    <w:rsid w:val="007B08B6"/>
    <w:rsid w:val="007B1F68"/>
    <w:rsid w:val="007B2B2B"/>
    <w:rsid w:val="007B2B61"/>
    <w:rsid w:val="007C0042"/>
    <w:rsid w:val="007C0D64"/>
    <w:rsid w:val="007C30AB"/>
    <w:rsid w:val="007C3C19"/>
    <w:rsid w:val="007C4B83"/>
    <w:rsid w:val="007C4CB3"/>
    <w:rsid w:val="007C4F9B"/>
    <w:rsid w:val="007C4FDB"/>
    <w:rsid w:val="007C521F"/>
    <w:rsid w:val="007C5651"/>
    <w:rsid w:val="007C78E2"/>
    <w:rsid w:val="007D0B9C"/>
    <w:rsid w:val="007D20BB"/>
    <w:rsid w:val="007D3422"/>
    <w:rsid w:val="007D6096"/>
    <w:rsid w:val="007D63CA"/>
    <w:rsid w:val="007D6CC4"/>
    <w:rsid w:val="007E15E0"/>
    <w:rsid w:val="007E2063"/>
    <w:rsid w:val="007E2445"/>
    <w:rsid w:val="007E54EB"/>
    <w:rsid w:val="007E6744"/>
    <w:rsid w:val="007E7F99"/>
    <w:rsid w:val="007F0E91"/>
    <w:rsid w:val="007F13A5"/>
    <w:rsid w:val="007F1699"/>
    <w:rsid w:val="007F1CC2"/>
    <w:rsid w:val="007F2889"/>
    <w:rsid w:val="007F3018"/>
    <w:rsid w:val="007F3E77"/>
    <w:rsid w:val="007F4363"/>
    <w:rsid w:val="007F62FD"/>
    <w:rsid w:val="0080164C"/>
    <w:rsid w:val="00801A6D"/>
    <w:rsid w:val="00801F19"/>
    <w:rsid w:val="00801FBA"/>
    <w:rsid w:val="0080204B"/>
    <w:rsid w:val="0080263E"/>
    <w:rsid w:val="00802B85"/>
    <w:rsid w:val="00803CAC"/>
    <w:rsid w:val="0080597A"/>
    <w:rsid w:val="00805DC1"/>
    <w:rsid w:val="00806F48"/>
    <w:rsid w:val="00811D97"/>
    <w:rsid w:val="00811DD1"/>
    <w:rsid w:val="00811F9E"/>
    <w:rsid w:val="0081244C"/>
    <w:rsid w:val="008124F0"/>
    <w:rsid w:val="00812796"/>
    <w:rsid w:val="00812CD1"/>
    <w:rsid w:val="00812FB7"/>
    <w:rsid w:val="008150FC"/>
    <w:rsid w:val="0081516E"/>
    <w:rsid w:val="008156B5"/>
    <w:rsid w:val="00816434"/>
    <w:rsid w:val="0081697E"/>
    <w:rsid w:val="00820355"/>
    <w:rsid w:val="00821054"/>
    <w:rsid w:val="00821368"/>
    <w:rsid w:val="0082513A"/>
    <w:rsid w:val="00825B4D"/>
    <w:rsid w:val="00825F20"/>
    <w:rsid w:val="008261E6"/>
    <w:rsid w:val="00826837"/>
    <w:rsid w:val="00832737"/>
    <w:rsid w:val="008335DC"/>
    <w:rsid w:val="00834092"/>
    <w:rsid w:val="00835B73"/>
    <w:rsid w:val="00835CF0"/>
    <w:rsid w:val="0083707C"/>
    <w:rsid w:val="00840319"/>
    <w:rsid w:val="00843D61"/>
    <w:rsid w:val="00845135"/>
    <w:rsid w:val="008463BD"/>
    <w:rsid w:val="00846548"/>
    <w:rsid w:val="00846957"/>
    <w:rsid w:val="00850BE8"/>
    <w:rsid w:val="0085130D"/>
    <w:rsid w:val="00851AB4"/>
    <w:rsid w:val="008529D9"/>
    <w:rsid w:val="00852B30"/>
    <w:rsid w:val="0085343B"/>
    <w:rsid w:val="00853526"/>
    <w:rsid w:val="008538C9"/>
    <w:rsid w:val="0085549C"/>
    <w:rsid w:val="00855AF0"/>
    <w:rsid w:val="008560F0"/>
    <w:rsid w:val="00856788"/>
    <w:rsid w:val="00857ED6"/>
    <w:rsid w:val="00861500"/>
    <w:rsid w:val="0086161B"/>
    <w:rsid w:val="00862224"/>
    <w:rsid w:val="00863472"/>
    <w:rsid w:val="00864294"/>
    <w:rsid w:val="00864DBF"/>
    <w:rsid w:val="0086636D"/>
    <w:rsid w:val="00867AD4"/>
    <w:rsid w:val="00871EDF"/>
    <w:rsid w:val="00872D09"/>
    <w:rsid w:val="0087393A"/>
    <w:rsid w:val="00875231"/>
    <w:rsid w:val="008770A2"/>
    <w:rsid w:val="008823AE"/>
    <w:rsid w:val="0088249E"/>
    <w:rsid w:val="00883B20"/>
    <w:rsid w:val="00885A55"/>
    <w:rsid w:val="008866CB"/>
    <w:rsid w:val="008904CE"/>
    <w:rsid w:val="00890B16"/>
    <w:rsid w:val="008925F9"/>
    <w:rsid w:val="00893F98"/>
    <w:rsid w:val="00894301"/>
    <w:rsid w:val="008953D2"/>
    <w:rsid w:val="008960BD"/>
    <w:rsid w:val="0089698E"/>
    <w:rsid w:val="008A1450"/>
    <w:rsid w:val="008A264D"/>
    <w:rsid w:val="008A31F4"/>
    <w:rsid w:val="008A7697"/>
    <w:rsid w:val="008B00D0"/>
    <w:rsid w:val="008B0432"/>
    <w:rsid w:val="008B0CD1"/>
    <w:rsid w:val="008B0E9E"/>
    <w:rsid w:val="008B2EC4"/>
    <w:rsid w:val="008B3514"/>
    <w:rsid w:val="008B3F87"/>
    <w:rsid w:val="008B41DC"/>
    <w:rsid w:val="008B57A4"/>
    <w:rsid w:val="008B6386"/>
    <w:rsid w:val="008B6472"/>
    <w:rsid w:val="008B72A9"/>
    <w:rsid w:val="008C1327"/>
    <w:rsid w:val="008C26E8"/>
    <w:rsid w:val="008C3CAE"/>
    <w:rsid w:val="008C5167"/>
    <w:rsid w:val="008C7839"/>
    <w:rsid w:val="008C7AC2"/>
    <w:rsid w:val="008D040A"/>
    <w:rsid w:val="008D1870"/>
    <w:rsid w:val="008D224E"/>
    <w:rsid w:val="008D4300"/>
    <w:rsid w:val="008D513C"/>
    <w:rsid w:val="008D7462"/>
    <w:rsid w:val="008D78BF"/>
    <w:rsid w:val="008D7FB3"/>
    <w:rsid w:val="008E04CA"/>
    <w:rsid w:val="008E1D71"/>
    <w:rsid w:val="008E205F"/>
    <w:rsid w:val="008E4E6E"/>
    <w:rsid w:val="008E52DA"/>
    <w:rsid w:val="008E6EF6"/>
    <w:rsid w:val="008E718D"/>
    <w:rsid w:val="008E7E9E"/>
    <w:rsid w:val="008F1931"/>
    <w:rsid w:val="008F240E"/>
    <w:rsid w:val="008F51A2"/>
    <w:rsid w:val="008F571B"/>
    <w:rsid w:val="008F6C0F"/>
    <w:rsid w:val="008F6E5A"/>
    <w:rsid w:val="009005BA"/>
    <w:rsid w:val="00904405"/>
    <w:rsid w:val="009060EB"/>
    <w:rsid w:val="0090774C"/>
    <w:rsid w:val="0091001E"/>
    <w:rsid w:val="00911A7A"/>
    <w:rsid w:val="00912CBC"/>
    <w:rsid w:val="009141DC"/>
    <w:rsid w:val="00914720"/>
    <w:rsid w:val="00917E7B"/>
    <w:rsid w:val="009209A1"/>
    <w:rsid w:val="00924246"/>
    <w:rsid w:val="0092447E"/>
    <w:rsid w:val="00924896"/>
    <w:rsid w:val="0092499F"/>
    <w:rsid w:val="0092718B"/>
    <w:rsid w:val="00927269"/>
    <w:rsid w:val="00927313"/>
    <w:rsid w:val="00930609"/>
    <w:rsid w:val="0093092A"/>
    <w:rsid w:val="00932A74"/>
    <w:rsid w:val="00934BED"/>
    <w:rsid w:val="00935137"/>
    <w:rsid w:val="00936084"/>
    <w:rsid w:val="00936AEA"/>
    <w:rsid w:val="00936B89"/>
    <w:rsid w:val="00937EAA"/>
    <w:rsid w:val="00940789"/>
    <w:rsid w:val="00940A5B"/>
    <w:rsid w:val="00941428"/>
    <w:rsid w:val="009430FE"/>
    <w:rsid w:val="009437DF"/>
    <w:rsid w:val="009455AA"/>
    <w:rsid w:val="00946DA4"/>
    <w:rsid w:val="00951461"/>
    <w:rsid w:val="00951B2E"/>
    <w:rsid w:val="00951F9C"/>
    <w:rsid w:val="0095429F"/>
    <w:rsid w:val="00960250"/>
    <w:rsid w:val="009605F6"/>
    <w:rsid w:val="009618CA"/>
    <w:rsid w:val="00963474"/>
    <w:rsid w:val="009637CA"/>
    <w:rsid w:val="00963EEA"/>
    <w:rsid w:val="00964D94"/>
    <w:rsid w:val="0096610A"/>
    <w:rsid w:val="00970032"/>
    <w:rsid w:val="009719A8"/>
    <w:rsid w:val="009738EB"/>
    <w:rsid w:val="00975F47"/>
    <w:rsid w:val="00977C8B"/>
    <w:rsid w:val="00977E7D"/>
    <w:rsid w:val="0098074C"/>
    <w:rsid w:val="00981362"/>
    <w:rsid w:val="0098457D"/>
    <w:rsid w:val="00984745"/>
    <w:rsid w:val="00984ECA"/>
    <w:rsid w:val="009893F4"/>
    <w:rsid w:val="00995592"/>
    <w:rsid w:val="009A0E75"/>
    <w:rsid w:val="009A1C46"/>
    <w:rsid w:val="009A2C97"/>
    <w:rsid w:val="009A7626"/>
    <w:rsid w:val="009B1EFC"/>
    <w:rsid w:val="009B2869"/>
    <w:rsid w:val="009B2DE1"/>
    <w:rsid w:val="009B7C3B"/>
    <w:rsid w:val="009C0251"/>
    <w:rsid w:val="009C0E2C"/>
    <w:rsid w:val="009C17AA"/>
    <w:rsid w:val="009C2750"/>
    <w:rsid w:val="009C4717"/>
    <w:rsid w:val="009C5A2D"/>
    <w:rsid w:val="009D04B0"/>
    <w:rsid w:val="009D04B7"/>
    <w:rsid w:val="009D1C9A"/>
    <w:rsid w:val="009E1764"/>
    <w:rsid w:val="009E39D4"/>
    <w:rsid w:val="009E4CF6"/>
    <w:rsid w:val="009E5A7D"/>
    <w:rsid w:val="009E5E08"/>
    <w:rsid w:val="009E6A69"/>
    <w:rsid w:val="009E7D69"/>
    <w:rsid w:val="009F12E1"/>
    <w:rsid w:val="009F12FC"/>
    <w:rsid w:val="009F1985"/>
    <w:rsid w:val="009F1E20"/>
    <w:rsid w:val="009F2EB6"/>
    <w:rsid w:val="009F37A8"/>
    <w:rsid w:val="009F5D1B"/>
    <w:rsid w:val="009F66E9"/>
    <w:rsid w:val="00A005EF"/>
    <w:rsid w:val="00A02909"/>
    <w:rsid w:val="00A02E59"/>
    <w:rsid w:val="00A0325F"/>
    <w:rsid w:val="00A03B30"/>
    <w:rsid w:val="00A04126"/>
    <w:rsid w:val="00A04E18"/>
    <w:rsid w:val="00A07F22"/>
    <w:rsid w:val="00A11B9F"/>
    <w:rsid w:val="00A1432A"/>
    <w:rsid w:val="00A15670"/>
    <w:rsid w:val="00A204B7"/>
    <w:rsid w:val="00A2344F"/>
    <w:rsid w:val="00A2359B"/>
    <w:rsid w:val="00A2401E"/>
    <w:rsid w:val="00A25C48"/>
    <w:rsid w:val="00A261F1"/>
    <w:rsid w:val="00A26C45"/>
    <w:rsid w:val="00A2762D"/>
    <w:rsid w:val="00A279B3"/>
    <w:rsid w:val="00A3094C"/>
    <w:rsid w:val="00A30EAC"/>
    <w:rsid w:val="00A30ED1"/>
    <w:rsid w:val="00A3239E"/>
    <w:rsid w:val="00A33830"/>
    <w:rsid w:val="00A35884"/>
    <w:rsid w:val="00A363B0"/>
    <w:rsid w:val="00A365C0"/>
    <w:rsid w:val="00A40DF6"/>
    <w:rsid w:val="00A41EA3"/>
    <w:rsid w:val="00A42282"/>
    <w:rsid w:val="00A429A1"/>
    <w:rsid w:val="00A42E6E"/>
    <w:rsid w:val="00A44A96"/>
    <w:rsid w:val="00A45260"/>
    <w:rsid w:val="00A51814"/>
    <w:rsid w:val="00A5410B"/>
    <w:rsid w:val="00A55165"/>
    <w:rsid w:val="00A563C2"/>
    <w:rsid w:val="00A62052"/>
    <w:rsid w:val="00A62082"/>
    <w:rsid w:val="00A62ABD"/>
    <w:rsid w:val="00A66A0D"/>
    <w:rsid w:val="00A7267C"/>
    <w:rsid w:val="00A74630"/>
    <w:rsid w:val="00A753DB"/>
    <w:rsid w:val="00A760FF"/>
    <w:rsid w:val="00A77C28"/>
    <w:rsid w:val="00A81136"/>
    <w:rsid w:val="00A822D0"/>
    <w:rsid w:val="00A85123"/>
    <w:rsid w:val="00A85C47"/>
    <w:rsid w:val="00A91384"/>
    <w:rsid w:val="00A94F19"/>
    <w:rsid w:val="00A95AAA"/>
    <w:rsid w:val="00AA1331"/>
    <w:rsid w:val="00AA32F8"/>
    <w:rsid w:val="00AA4A62"/>
    <w:rsid w:val="00AA5134"/>
    <w:rsid w:val="00AA5FB9"/>
    <w:rsid w:val="00AB28E7"/>
    <w:rsid w:val="00AC286A"/>
    <w:rsid w:val="00AD2832"/>
    <w:rsid w:val="00AD3254"/>
    <w:rsid w:val="00AD5D9B"/>
    <w:rsid w:val="00AE0CB1"/>
    <w:rsid w:val="00AE188D"/>
    <w:rsid w:val="00AE2BE5"/>
    <w:rsid w:val="00AE2ED6"/>
    <w:rsid w:val="00AE48D4"/>
    <w:rsid w:val="00AE5109"/>
    <w:rsid w:val="00AE6232"/>
    <w:rsid w:val="00AF0207"/>
    <w:rsid w:val="00AF11D9"/>
    <w:rsid w:val="00AF11EC"/>
    <w:rsid w:val="00AF20AC"/>
    <w:rsid w:val="00AF2D81"/>
    <w:rsid w:val="00AF6A9C"/>
    <w:rsid w:val="00AF7244"/>
    <w:rsid w:val="00AF7C0E"/>
    <w:rsid w:val="00B00431"/>
    <w:rsid w:val="00B01601"/>
    <w:rsid w:val="00B03FB7"/>
    <w:rsid w:val="00B04BA1"/>
    <w:rsid w:val="00B051BC"/>
    <w:rsid w:val="00B05B0F"/>
    <w:rsid w:val="00B05FDA"/>
    <w:rsid w:val="00B07F03"/>
    <w:rsid w:val="00B10278"/>
    <w:rsid w:val="00B10F89"/>
    <w:rsid w:val="00B13DB8"/>
    <w:rsid w:val="00B141A9"/>
    <w:rsid w:val="00B14C54"/>
    <w:rsid w:val="00B14DDC"/>
    <w:rsid w:val="00B15034"/>
    <w:rsid w:val="00B15C32"/>
    <w:rsid w:val="00B17B7E"/>
    <w:rsid w:val="00B17F87"/>
    <w:rsid w:val="00B21B36"/>
    <w:rsid w:val="00B239AB"/>
    <w:rsid w:val="00B30B08"/>
    <w:rsid w:val="00B31FDF"/>
    <w:rsid w:val="00B3288C"/>
    <w:rsid w:val="00B3360C"/>
    <w:rsid w:val="00B34EEA"/>
    <w:rsid w:val="00B351E7"/>
    <w:rsid w:val="00B364C6"/>
    <w:rsid w:val="00B376F8"/>
    <w:rsid w:val="00B37BDE"/>
    <w:rsid w:val="00B4067E"/>
    <w:rsid w:val="00B414BD"/>
    <w:rsid w:val="00B4330B"/>
    <w:rsid w:val="00B43DD0"/>
    <w:rsid w:val="00B45BEB"/>
    <w:rsid w:val="00B45CEC"/>
    <w:rsid w:val="00B460AF"/>
    <w:rsid w:val="00B46C73"/>
    <w:rsid w:val="00B46FD0"/>
    <w:rsid w:val="00B479EF"/>
    <w:rsid w:val="00B50DE0"/>
    <w:rsid w:val="00B532A1"/>
    <w:rsid w:val="00B5373D"/>
    <w:rsid w:val="00B53B5C"/>
    <w:rsid w:val="00B5475F"/>
    <w:rsid w:val="00B54DB5"/>
    <w:rsid w:val="00B56DA0"/>
    <w:rsid w:val="00B56F4B"/>
    <w:rsid w:val="00B57C23"/>
    <w:rsid w:val="00B57E1F"/>
    <w:rsid w:val="00B607BA"/>
    <w:rsid w:val="00B61D25"/>
    <w:rsid w:val="00B630E9"/>
    <w:rsid w:val="00B63508"/>
    <w:rsid w:val="00B66073"/>
    <w:rsid w:val="00B66D7D"/>
    <w:rsid w:val="00B66EFE"/>
    <w:rsid w:val="00B67B99"/>
    <w:rsid w:val="00B705DA"/>
    <w:rsid w:val="00B7225A"/>
    <w:rsid w:val="00B72651"/>
    <w:rsid w:val="00B72B82"/>
    <w:rsid w:val="00B72BCE"/>
    <w:rsid w:val="00B72C59"/>
    <w:rsid w:val="00B7310B"/>
    <w:rsid w:val="00B74809"/>
    <w:rsid w:val="00B7562B"/>
    <w:rsid w:val="00B76220"/>
    <w:rsid w:val="00B80EFC"/>
    <w:rsid w:val="00B81A4E"/>
    <w:rsid w:val="00B844B8"/>
    <w:rsid w:val="00B86837"/>
    <w:rsid w:val="00B869A7"/>
    <w:rsid w:val="00B86E85"/>
    <w:rsid w:val="00B87603"/>
    <w:rsid w:val="00B925A7"/>
    <w:rsid w:val="00B9278E"/>
    <w:rsid w:val="00B9452A"/>
    <w:rsid w:val="00B94C89"/>
    <w:rsid w:val="00B955BA"/>
    <w:rsid w:val="00B96539"/>
    <w:rsid w:val="00B96BBF"/>
    <w:rsid w:val="00BA2EE7"/>
    <w:rsid w:val="00BA356F"/>
    <w:rsid w:val="00BA3CE1"/>
    <w:rsid w:val="00BA3D90"/>
    <w:rsid w:val="00BA5B93"/>
    <w:rsid w:val="00BA6C56"/>
    <w:rsid w:val="00BB2970"/>
    <w:rsid w:val="00BB40C5"/>
    <w:rsid w:val="00BB49CB"/>
    <w:rsid w:val="00BB4C96"/>
    <w:rsid w:val="00BB5401"/>
    <w:rsid w:val="00BB681C"/>
    <w:rsid w:val="00BB6DEC"/>
    <w:rsid w:val="00BC091A"/>
    <w:rsid w:val="00BC17B1"/>
    <w:rsid w:val="00BC3370"/>
    <w:rsid w:val="00BC3EDB"/>
    <w:rsid w:val="00BC48E4"/>
    <w:rsid w:val="00BC526A"/>
    <w:rsid w:val="00BC573E"/>
    <w:rsid w:val="00BC6112"/>
    <w:rsid w:val="00BC6563"/>
    <w:rsid w:val="00BC6627"/>
    <w:rsid w:val="00BC685A"/>
    <w:rsid w:val="00BC69EB"/>
    <w:rsid w:val="00BC73BC"/>
    <w:rsid w:val="00BD00E2"/>
    <w:rsid w:val="00BD0DD8"/>
    <w:rsid w:val="00BD4121"/>
    <w:rsid w:val="00BD6B47"/>
    <w:rsid w:val="00BD705A"/>
    <w:rsid w:val="00BD7F18"/>
    <w:rsid w:val="00BD7F6A"/>
    <w:rsid w:val="00BE1498"/>
    <w:rsid w:val="00BE1ADD"/>
    <w:rsid w:val="00BE37C1"/>
    <w:rsid w:val="00BE394A"/>
    <w:rsid w:val="00BF023E"/>
    <w:rsid w:val="00BF0665"/>
    <w:rsid w:val="00BF14B3"/>
    <w:rsid w:val="00BF2443"/>
    <w:rsid w:val="00BF2854"/>
    <w:rsid w:val="00BF42CF"/>
    <w:rsid w:val="00BF4F36"/>
    <w:rsid w:val="00C025F3"/>
    <w:rsid w:val="00C04851"/>
    <w:rsid w:val="00C04A33"/>
    <w:rsid w:val="00C07CE1"/>
    <w:rsid w:val="00C07FBA"/>
    <w:rsid w:val="00C10183"/>
    <w:rsid w:val="00C105E6"/>
    <w:rsid w:val="00C1150F"/>
    <w:rsid w:val="00C13558"/>
    <w:rsid w:val="00C1398E"/>
    <w:rsid w:val="00C14058"/>
    <w:rsid w:val="00C15BFA"/>
    <w:rsid w:val="00C15C4C"/>
    <w:rsid w:val="00C15D38"/>
    <w:rsid w:val="00C15DE0"/>
    <w:rsid w:val="00C1785A"/>
    <w:rsid w:val="00C17A98"/>
    <w:rsid w:val="00C209DE"/>
    <w:rsid w:val="00C20A6D"/>
    <w:rsid w:val="00C2376E"/>
    <w:rsid w:val="00C247C9"/>
    <w:rsid w:val="00C33AA2"/>
    <w:rsid w:val="00C33C79"/>
    <w:rsid w:val="00C34AE2"/>
    <w:rsid w:val="00C35419"/>
    <w:rsid w:val="00C37F8C"/>
    <w:rsid w:val="00C41D10"/>
    <w:rsid w:val="00C428B8"/>
    <w:rsid w:val="00C4319F"/>
    <w:rsid w:val="00C44C0E"/>
    <w:rsid w:val="00C46E8D"/>
    <w:rsid w:val="00C47034"/>
    <w:rsid w:val="00C50B4C"/>
    <w:rsid w:val="00C5287D"/>
    <w:rsid w:val="00C54625"/>
    <w:rsid w:val="00C547BD"/>
    <w:rsid w:val="00C56B0D"/>
    <w:rsid w:val="00C6065D"/>
    <w:rsid w:val="00C6198D"/>
    <w:rsid w:val="00C622C1"/>
    <w:rsid w:val="00C6552A"/>
    <w:rsid w:val="00C65DC3"/>
    <w:rsid w:val="00C6647D"/>
    <w:rsid w:val="00C73C94"/>
    <w:rsid w:val="00C74A4F"/>
    <w:rsid w:val="00C7682B"/>
    <w:rsid w:val="00C76857"/>
    <w:rsid w:val="00C77709"/>
    <w:rsid w:val="00C77900"/>
    <w:rsid w:val="00C80676"/>
    <w:rsid w:val="00C8103D"/>
    <w:rsid w:val="00C81419"/>
    <w:rsid w:val="00C8181B"/>
    <w:rsid w:val="00C81997"/>
    <w:rsid w:val="00C82AED"/>
    <w:rsid w:val="00C8665C"/>
    <w:rsid w:val="00C87068"/>
    <w:rsid w:val="00C8742C"/>
    <w:rsid w:val="00C901B2"/>
    <w:rsid w:val="00C90861"/>
    <w:rsid w:val="00C93069"/>
    <w:rsid w:val="00C93FF9"/>
    <w:rsid w:val="00C959DA"/>
    <w:rsid w:val="00C96122"/>
    <w:rsid w:val="00C97BE6"/>
    <w:rsid w:val="00CA0963"/>
    <w:rsid w:val="00CA0B1B"/>
    <w:rsid w:val="00CA213B"/>
    <w:rsid w:val="00CA2984"/>
    <w:rsid w:val="00CA460B"/>
    <w:rsid w:val="00CA4AA4"/>
    <w:rsid w:val="00CA644C"/>
    <w:rsid w:val="00CB1877"/>
    <w:rsid w:val="00CB486F"/>
    <w:rsid w:val="00CB641E"/>
    <w:rsid w:val="00CB7D41"/>
    <w:rsid w:val="00CC4022"/>
    <w:rsid w:val="00CC42FE"/>
    <w:rsid w:val="00CC4A14"/>
    <w:rsid w:val="00CC6383"/>
    <w:rsid w:val="00CC7F52"/>
    <w:rsid w:val="00CD0641"/>
    <w:rsid w:val="00CD1F02"/>
    <w:rsid w:val="00CD271F"/>
    <w:rsid w:val="00CD3082"/>
    <w:rsid w:val="00CD63FB"/>
    <w:rsid w:val="00CD69BC"/>
    <w:rsid w:val="00CD6DEC"/>
    <w:rsid w:val="00CD7E00"/>
    <w:rsid w:val="00CE2361"/>
    <w:rsid w:val="00CE27DF"/>
    <w:rsid w:val="00CE2AF9"/>
    <w:rsid w:val="00CF222A"/>
    <w:rsid w:val="00CF4E89"/>
    <w:rsid w:val="00CF616E"/>
    <w:rsid w:val="00CF66D2"/>
    <w:rsid w:val="00CF6849"/>
    <w:rsid w:val="00D00601"/>
    <w:rsid w:val="00D01139"/>
    <w:rsid w:val="00D0248F"/>
    <w:rsid w:val="00D0314E"/>
    <w:rsid w:val="00D03492"/>
    <w:rsid w:val="00D04CBE"/>
    <w:rsid w:val="00D07D4C"/>
    <w:rsid w:val="00D10167"/>
    <w:rsid w:val="00D10B3F"/>
    <w:rsid w:val="00D14E9A"/>
    <w:rsid w:val="00D15F9C"/>
    <w:rsid w:val="00D17917"/>
    <w:rsid w:val="00D17D8B"/>
    <w:rsid w:val="00D2058D"/>
    <w:rsid w:val="00D20C81"/>
    <w:rsid w:val="00D20FEA"/>
    <w:rsid w:val="00D2260D"/>
    <w:rsid w:val="00D240C1"/>
    <w:rsid w:val="00D2480F"/>
    <w:rsid w:val="00D251C2"/>
    <w:rsid w:val="00D31AEC"/>
    <w:rsid w:val="00D34444"/>
    <w:rsid w:val="00D3563A"/>
    <w:rsid w:val="00D35FBD"/>
    <w:rsid w:val="00D42A86"/>
    <w:rsid w:val="00D434D6"/>
    <w:rsid w:val="00D44788"/>
    <w:rsid w:val="00D47338"/>
    <w:rsid w:val="00D47465"/>
    <w:rsid w:val="00D47802"/>
    <w:rsid w:val="00D50517"/>
    <w:rsid w:val="00D50961"/>
    <w:rsid w:val="00D53D40"/>
    <w:rsid w:val="00D53D72"/>
    <w:rsid w:val="00D54EA8"/>
    <w:rsid w:val="00D54F7B"/>
    <w:rsid w:val="00D60A4F"/>
    <w:rsid w:val="00D61FD7"/>
    <w:rsid w:val="00D62106"/>
    <w:rsid w:val="00D62DCE"/>
    <w:rsid w:val="00D642C2"/>
    <w:rsid w:val="00D64CD6"/>
    <w:rsid w:val="00D67FA4"/>
    <w:rsid w:val="00D71463"/>
    <w:rsid w:val="00D71722"/>
    <w:rsid w:val="00D71EC6"/>
    <w:rsid w:val="00D72268"/>
    <w:rsid w:val="00D745AA"/>
    <w:rsid w:val="00D76D4F"/>
    <w:rsid w:val="00D776A0"/>
    <w:rsid w:val="00D8079A"/>
    <w:rsid w:val="00D85AA7"/>
    <w:rsid w:val="00D877B2"/>
    <w:rsid w:val="00D95583"/>
    <w:rsid w:val="00D97395"/>
    <w:rsid w:val="00DA4338"/>
    <w:rsid w:val="00DA6E0B"/>
    <w:rsid w:val="00DA7F0B"/>
    <w:rsid w:val="00DB0A66"/>
    <w:rsid w:val="00DB28EE"/>
    <w:rsid w:val="00DB4138"/>
    <w:rsid w:val="00DB457C"/>
    <w:rsid w:val="00DB4F30"/>
    <w:rsid w:val="00DB717C"/>
    <w:rsid w:val="00DC0D88"/>
    <w:rsid w:val="00DC197C"/>
    <w:rsid w:val="00DC1D33"/>
    <w:rsid w:val="00DC1F2C"/>
    <w:rsid w:val="00DC577C"/>
    <w:rsid w:val="00DC5DE7"/>
    <w:rsid w:val="00DC6462"/>
    <w:rsid w:val="00DC69BE"/>
    <w:rsid w:val="00DC7B71"/>
    <w:rsid w:val="00DD0D42"/>
    <w:rsid w:val="00DD1AD5"/>
    <w:rsid w:val="00DD3869"/>
    <w:rsid w:val="00DD48C5"/>
    <w:rsid w:val="00DD5137"/>
    <w:rsid w:val="00DD6EEA"/>
    <w:rsid w:val="00DD7938"/>
    <w:rsid w:val="00DD7CEA"/>
    <w:rsid w:val="00DE2D14"/>
    <w:rsid w:val="00DE3E05"/>
    <w:rsid w:val="00DE3FA0"/>
    <w:rsid w:val="00DE5AF3"/>
    <w:rsid w:val="00DE6984"/>
    <w:rsid w:val="00DE78F4"/>
    <w:rsid w:val="00DF10F0"/>
    <w:rsid w:val="00DF117B"/>
    <w:rsid w:val="00DF1AC4"/>
    <w:rsid w:val="00DF1D74"/>
    <w:rsid w:val="00DF259B"/>
    <w:rsid w:val="00DF38F2"/>
    <w:rsid w:val="00DF5546"/>
    <w:rsid w:val="00DF57D4"/>
    <w:rsid w:val="00DF7D7C"/>
    <w:rsid w:val="00E01B7A"/>
    <w:rsid w:val="00E0492F"/>
    <w:rsid w:val="00E05262"/>
    <w:rsid w:val="00E0694D"/>
    <w:rsid w:val="00E10542"/>
    <w:rsid w:val="00E11E51"/>
    <w:rsid w:val="00E11FF3"/>
    <w:rsid w:val="00E14F90"/>
    <w:rsid w:val="00E176F6"/>
    <w:rsid w:val="00E200B3"/>
    <w:rsid w:val="00E21A60"/>
    <w:rsid w:val="00E223AA"/>
    <w:rsid w:val="00E24DA9"/>
    <w:rsid w:val="00E31C55"/>
    <w:rsid w:val="00E31CD6"/>
    <w:rsid w:val="00E31E6A"/>
    <w:rsid w:val="00E343D0"/>
    <w:rsid w:val="00E344AF"/>
    <w:rsid w:val="00E34E7C"/>
    <w:rsid w:val="00E36885"/>
    <w:rsid w:val="00E36986"/>
    <w:rsid w:val="00E36B8D"/>
    <w:rsid w:val="00E36D69"/>
    <w:rsid w:val="00E37F81"/>
    <w:rsid w:val="00E41F50"/>
    <w:rsid w:val="00E4458A"/>
    <w:rsid w:val="00E44909"/>
    <w:rsid w:val="00E45462"/>
    <w:rsid w:val="00E45499"/>
    <w:rsid w:val="00E47E4F"/>
    <w:rsid w:val="00E5110E"/>
    <w:rsid w:val="00E512DC"/>
    <w:rsid w:val="00E5174B"/>
    <w:rsid w:val="00E52495"/>
    <w:rsid w:val="00E5427E"/>
    <w:rsid w:val="00E5537C"/>
    <w:rsid w:val="00E561E1"/>
    <w:rsid w:val="00E60E40"/>
    <w:rsid w:val="00E622D7"/>
    <w:rsid w:val="00E62C19"/>
    <w:rsid w:val="00E649B6"/>
    <w:rsid w:val="00E64EE2"/>
    <w:rsid w:val="00E673D0"/>
    <w:rsid w:val="00E67C13"/>
    <w:rsid w:val="00E71112"/>
    <w:rsid w:val="00E74DE8"/>
    <w:rsid w:val="00E7526A"/>
    <w:rsid w:val="00E7741A"/>
    <w:rsid w:val="00E80749"/>
    <w:rsid w:val="00E8357B"/>
    <w:rsid w:val="00E83F5A"/>
    <w:rsid w:val="00E8538F"/>
    <w:rsid w:val="00E8719B"/>
    <w:rsid w:val="00E90306"/>
    <w:rsid w:val="00E907D1"/>
    <w:rsid w:val="00E90A03"/>
    <w:rsid w:val="00E91593"/>
    <w:rsid w:val="00E9297D"/>
    <w:rsid w:val="00E93A98"/>
    <w:rsid w:val="00E9528B"/>
    <w:rsid w:val="00EA2B3A"/>
    <w:rsid w:val="00EA3300"/>
    <w:rsid w:val="00EA473A"/>
    <w:rsid w:val="00EA7FF1"/>
    <w:rsid w:val="00EB0672"/>
    <w:rsid w:val="00EB2589"/>
    <w:rsid w:val="00EB3066"/>
    <w:rsid w:val="00EB4973"/>
    <w:rsid w:val="00EB5A55"/>
    <w:rsid w:val="00EB5AE1"/>
    <w:rsid w:val="00EB682C"/>
    <w:rsid w:val="00EC1648"/>
    <w:rsid w:val="00EC31C8"/>
    <w:rsid w:val="00EC50B7"/>
    <w:rsid w:val="00EC6264"/>
    <w:rsid w:val="00EC6CD4"/>
    <w:rsid w:val="00EC73AA"/>
    <w:rsid w:val="00EC7ABF"/>
    <w:rsid w:val="00ED145B"/>
    <w:rsid w:val="00ED29AB"/>
    <w:rsid w:val="00ED2ACF"/>
    <w:rsid w:val="00ED6770"/>
    <w:rsid w:val="00ED72C9"/>
    <w:rsid w:val="00EE13A7"/>
    <w:rsid w:val="00EE14BB"/>
    <w:rsid w:val="00EE48C5"/>
    <w:rsid w:val="00EE4AB5"/>
    <w:rsid w:val="00EE4DD6"/>
    <w:rsid w:val="00EE4F18"/>
    <w:rsid w:val="00EE6A79"/>
    <w:rsid w:val="00EE71C9"/>
    <w:rsid w:val="00EF090E"/>
    <w:rsid w:val="00EF182B"/>
    <w:rsid w:val="00EF1D62"/>
    <w:rsid w:val="00EF2243"/>
    <w:rsid w:val="00EF36B9"/>
    <w:rsid w:val="00EF377C"/>
    <w:rsid w:val="00EF6E50"/>
    <w:rsid w:val="00EF7E20"/>
    <w:rsid w:val="00F0013E"/>
    <w:rsid w:val="00F014FC"/>
    <w:rsid w:val="00F01F0C"/>
    <w:rsid w:val="00F04BDE"/>
    <w:rsid w:val="00F069DD"/>
    <w:rsid w:val="00F07A3B"/>
    <w:rsid w:val="00F07E69"/>
    <w:rsid w:val="00F1087D"/>
    <w:rsid w:val="00F109ED"/>
    <w:rsid w:val="00F10C26"/>
    <w:rsid w:val="00F12259"/>
    <w:rsid w:val="00F12A67"/>
    <w:rsid w:val="00F14673"/>
    <w:rsid w:val="00F15F8B"/>
    <w:rsid w:val="00F20C9B"/>
    <w:rsid w:val="00F22AC9"/>
    <w:rsid w:val="00F230B6"/>
    <w:rsid w:val="00F2364B"/>
    <w:rsid w:val="00F247D1"/>
    <w:rsid w:val="00F24B9D"/>
    <w:rsid w:val="00F25AF1"/>
    <w:rsid w:val="00F266C8"/>
    <w:rsid w:val="00F31775"/>
    <w:rsid w:val="00F32C7B"/>
    <w:rsid w:val="00F3441F"/>
    <w:rsid w:val="00F35BD7"/>
    <w:rsid w:val="00F40878"/>
    <w:rsid w:val="00F40AE9"/>
    <w:rsid w:val="00F4142C"/>
    <w:rsid w:val="00F426C1"/>
    <w:rsid w:val="00F42897"/>
    <w:rsid w:val="00F44006"/>
    <w:rsid w:val="00F4476F"/>
    <w:rsid w:val="00F44AC4"/>
    <w:rsid w:val="00F477C1"/>
    <w:rsid w:val="00F50540"/>
    <w:rsid w:val="00F51098"/>
    <w:rsid w:val="00F527A3"/>
    <w:rsid w:val="00F53705"/>
    <w:rsid w:val="00F542E7"/>
    <w:rsid w:val="00F54896"/>
    <w:rsid w:val="00F54F36"/>
    <w:rsid w:val="00F56E2D"/>
    <w:rsid w:val="00F579F0"/>
    <w:rsid w:val="00F62797"/>
    <w:rsid w:val="00F64E24"/>
    <w:rsid w:val="00F64EA6"/>
    <w:rsid w:val="00F6526D"/>
    <w:rsid w:val="00F701F3"/>
    <w:rsid w:val="00F71064"/>
    <w:rsid w:val="00F7119A"/>
    <w:rsid w:val="00F73306"/>
    <w:rsid w:val="00F75B1F"/>
    <w:rsid w:val="00F77384"/>
    <w:rsid w:val="00F86982"/>
    <w:rsid w:val="00F90345"/>
    <w:rsid w:val="00F912B5"/>
    <w:rsid w:val="00F9198A"/>
    <w:rsid w:val="00F9301B"/>
    <w:rsid w:val="00F93B4D"/>
    <w:rsid w:val="00F94E27"/>
    <w:rsid w:val="00F9537B"/>
    <w:rsid w:val="00F9654E"/>
    <w:rsid w:val="00F97614"/>
    <w:rsid w:val="00FA0793"/>
    <w:rsid w:val="00FA1AEE"/>
    <w:rsid w:val="00FA1D32"/>
    <w:rsid w:val="00FA3233"/>
    <w:rsid w:val="00FA3DBD"/>
    <w:rsid w:val="00FA4BD8"/>
    <w:rsid w:val="00FA671C"/>
    <w:rsid w:val="00FA7023"/>
    <w:rsid w:val="00FA7C05"/>
    <w:rsid w:val="00FA7E5B"/>
    <w:rsid w:val="00FB0402"/>
    <w:rsid w:val="00FB0B33"/>
    <w:rsid w:val="00FB19B5"/>
    <w:rsid w:val="00FB1A27"/>
    <w:rsid w:val="00FB34FE"/>
    <w:rsid w:val="00FB3971"/>
    <w:rsid w:val="00FB4D96"/>
    <w:rsid w:val="00FB7093"/>
    <w:rsid w:val="00FC19E6"/>
    <w:rsid w:val="00FC2C35"/>
    <w:rsid w:val="00FC4C16"/>
    <w:rsid w:val="00FC695F"/>
    <w:rsid w:val="00FC6AF4"/>
    <w:rsid w:val="00FC77FC"/>
    <w:rsid w:val="00FD0711"/>
    <w:rsid w:val="00FD0CF5"/>
    <w:rsid w:val="00FD15FA"/>
    <w:rsid w:val="00FD4514"/>
    <w:rsid w:val="00FD483B"/>
    <w:rsid w:val="00FD4EEB"/>
    <w:rsid w:val="00FD580E"/>
    <w:rsid w:val="00FD73C9"/>
    <w:rsid w:val="00FD7863"/>
    <w:rsid w:val="00FD7B43"/>
    <w:rsid w:val="00FE01E2"/>
    <w:rsid w:val="00FE09E8"/>
    <w:rsid w:val="00FE0A76"/>
    <w:rsid w:val="00FE1757"/>
    <w:rsid w:val="00FE18C2"/>
    <w:rsid w:val="00FE3037"/>
    <w:rsid w:val="00FE3175"/>
    <w:rsid w:val="00FE325D"/>
    <w:rsid w:val="00FE5294"/>
    <w:rsid w:val="00FE55F7"/>
    <w:rsid w:val="00FE6015"/>
    <w:rsid w:val="00FE697F"/>
    <w:rsid w:val="00FE725C"/>
    <w:rsid w:val="00FE75E2"/>
    <w:rsid w:val="00FF0B86"/>
    <w:rsid w:val="00FF0E69"/>
    <w:rsid w:val="00FF1869"/>
    <w:rsid w:val="00FF3266"/>
    <w:rsid w:val="00FF3AA7"/>
    <w:rsid w:val="00FF58FF"/>
    <w:rsid w:val="00FF6430"/>
    <w:rsid w:val="01084B14"/>
    <w:rsid w:val="010AABFC"/>
    <w:rsid w:val="0111569D"/>
    <w:rsid w:val="013641C3"/>
    <w:rsid w:val="01535633"/>
    <w:rsid w:val="01898640"/>
    <w:rsid w:val="019B9924"/>
    <w:rsid w:val="01A4C237"/>
    <w:rsid w:val="01A65076"/>
    <w:rsid w:val="01B4D031"/>
    <w:rsid w:val="01E5ABF1"/>
    <w:rsid w:val="0237EA6E"/>
    <w:rsid w:val="026470B2"/>
    <w:rsid w:val="026DE708"/>
    <w:rsid w:val="02945BAD"/>
    <w:rsid w:val="029EA467"/>
    <w:rsid w:val="02A243E8"/>
    <w:rsid w:val="02B289D7"/>
    <w:rsid w:val="02E400C8"/>
    <w:rsid w:val="032E4DD1"/>
    <w:rsid w:val="032FD853"/>
    <w:rsid w:val="0356F3CA"/>
    <w:rsid w:val="037D8AB6"/>
    <w:rsid w:val="03850D40"/>
    <w:rsid w:val="039177B8"/>
    <w:rsid w:val="039BB770"/>
    <w:rsid w:val="03A2371D"/>
    <w:rsid w:val="03A6B4B8"/>
    <w:rsid w:val="03C8FC8C"/>
    <w:rsid w:val="04028823"/>
    <w:rsid w:val="0416183B"/>
    <w:rsid w:val="043798DF"/>
    <w:rsid w:val="04463080"/>
    <w:rsid w:val="045E2BCA"/>
    <w:rsid w:val="045F7AC1"/>
    <w:rsid w:val="04687E42"/>
    <w:rsid w:val="046FCB65"/>
    <w:rsid w:val="0474EEAF"/>
    <w:rsid w:val="0478694A"/>
    <w:rsid w:val="04830CAD"/>
    <w:rsid w:val="04864373"/>
    <w:rsid w:val="049AF19F"/>
    <w:rsid w:val="049BA118"/>
    <w:rsid w:val="049C9D15"/>
    <w:rsid w:val="04C0D5D8"/>
    <w:rsid w:val="0506F239"/>
    <w:rsid w:val="050D9E2C"/>
    <w:rsid w:val="054ABCE5"/>
    <w:rsid w:val="05601D4F"/>
    <w:rsid w:val="05606A11"/>
    <w:rsid w:val="057664EC"/>
    <w:rsid w:val="057C5CB3"/>
    <w:rsid w:val="0597EF2E"/>
    <w:rsid w:val="059C8FD6"/>
    <w:rsid w:val="05D8BDDD"/>
    <w:rsid w:val="0626E855"/>
    <w:rsid w:val="06414A80"/>
    <w:rsid w:val="0662F416"/>
    <w:rsid w:val="06864E6D"/>
    <w:rsid w:val="06B5CCC9"/>
    <w:rsid w:val="06E41343"/>
    <w:rsid w:val="06F894C2"/>
    <w:rsid w:val="06FFE1B8"/>
    <w:rsid w:val="070A8A31"/>
    <w:rsid w:val="070C66CE"/>
    <w:rsid w:val="0719DCEB"/>
    <w:rsid w:val="0734C17F"/>
    <w:rsid w:val="0789DB7D"/>
    <w:rsid w:val="078E51D4"/>
    <w:rsid w:val="07A6AB7E"/>
    <w:rsid w:val="07AE9381"/>
    <w:rsid w:val="07AFB020"/>
    <w:rsid w:val="07BC061D"/>
    <w:rsid w:val="07EA5220"/>
    <w:rsid w:val="080CF727"/>
    <w:rsid w:val="087D43F3"/>
    <w:rsid w:val="088E8AEE"/>
    <w:rsid w:val="08CDA853"/>
    <w:rsid w:val="08D68527"/>
    <w:rsid w:val="08E1FADC"/>
    <w:rsid w:val="08E57DCB"/>
    <w:rsid w:val="08F81F17"/>
    <w:rsid w:val="08FD6379"/>
    <w:rsid w:val="09050414"/>
    <w:rsid w:val="090E60DA"/>
    <w:rsid w:val="0925DBF3"/>
    <w:rsid w:val="094C3337"/>
    <w:rsid w:val="0955D6B1"/>
    <w:rsid w:val="09586BA7"/>
    <w:rsid w:val="095F120B"/>
    <w:rsid w:val="097259BE"/>
    <w:rsid w:val="09944108"/>
    <w:rsid w:val="09B12ECA"/>
    <w:rsid w:val="09E1E4A1"/>
    <w:rsid w:val="09EDDD6F"/>
    <w:rsid w:val="0A07ECCA"/>
    <w:rsid w:val="0A0F235C"/>
    <w:rsid w:val="0A524DA2"/>
    <w:rsid w:val="0A663277"/>
    <w:rsid w:val="0A73725E"/>
    <w:rsid w:val="0A7CD6B7"/>
    <w:rsid w:val="0AA1D90E"/>
    <w:rsid w:val="0AC2F86A"/>
    <w:rsid w:val="0B2F06F6"/>
    <w:rsid w:val="0B4A017F"/>
    <w:rsid w:val="0B55A650"/>
    <w:rsid w:val="0BAF5C04"/>
    <w:rsid w:val="0BB25B89"/>
    <w:rsid w:val="0BB5FBC4"/>
    <w:rsid w:val="0BBF59F8"/>
    <w:rsid w:val="0BC5BB6B"/>
    <w:rsid w:val="0BCDCC4E"/>
    <w:rsid w:val="0BDD64DD"/>
    <w:rsid w:val="0C7B381D"/>
    <w:rsid w:val="0C95C2FE"/>
    <w:rsid w:val="0CD24907"/>
    <w:rsid w:val="0D26B233"/>
    <w:rsid w:val="0D781FC1"/>
    <w:rsid w:val="0D7B5E45"/>
    <w:rsid w:val="0DC05E4B"/>
    <w:rsid w:val="0DE12B87"/>
    <w:rsid w:val="0DE39413"/>
    <w:rsid w:val="0E0F2B4F"/>
    <w:rsid w:val="0E0FD664"/>
    <w:rsid w:val="0E1454E6"/>
    <w:rsid w:val="0E24876E"/>
    <w:rsid w:val="0E3BA112"/>
    <w:rsid w:val="0E61AB1B"/>
    <w:rsid w:val="0E6AFAB4"/>
    <w:rsid w:val="0E7C9D40"/>
    <w:rsid w:val="0E88E20A"/>
    <w:rsid w:val="0EF0F000"/>
    <w:rsid w:val="0EF51488"/>
    <w:rsid w:val="0EF8F506"/>
    <w:rsid w:val="0F3EA54B"/>
    <w:rsid w:val="0F88E550"/>
    <w:rsid w:val="0FA68F9A"/>
    <w:rsid w:val="0FA8313D"/>
    <w:rsid w:val="0FB1DCC9"/>
    <w:rsid w:val="0FBA0FC6"/>
    <w:rsid w:val="0FC52FD9"/>
    <w:rsid w:val="0FCA10DC"/>
    <w:rsid w:val="0FE899FE"/>
    <w:rsid w:val="0FEFC1C8"/>
    <w:rsid w:val="100AE127"/>
    <w:rsid w:val="10272973"/>
    <w:rsid w:val="102C4797"/>
    <w:rsid w:val="102E16F3"/>
    <w:rsid w:val="1060EB6E"/>
    <w:rsid w:val="10611011"/>
    <w:rsid w:val="10B35A49"/>
    <w:rsid w:val="10CB829A"/>
    <w:rsid w:val="10D2D5F0"/>
    <w:rsid w:val="10D3F28B"/>
    <w:rsid w:val="110211D6"/>
    <w:rsid w:val="110FF841"/>
    <w:rsid w:val="111A65C7"/>
    <w:rsid w:val="1147B534"/>
    <w:rsid w:val="114E4973"/>
    <w:rsid w:val="1165F7BE"/>
    <w:rsid w:val="11A8117E"/>
    <w:rsid w:val="11B6C12A"/>
    <w:rsid w:val="11D8577C"/>
    <w:rsid w:val="11F7CE45"/>
    <w:rsid w:val="120A028C"/>
    <w:rsid w:val="121166C9"/>
    <w:rsid w:val="12654A6F"/>
    <w:rsid w:val="126B2310"/>
    <w:rsid w:val="12904AEC"/>
    <w:rsid w:val="12A8DC5D"/>
    <w:rsid w:val="12CC68B5"/>
    <w:rsid w:val="132C0A46"/>
    <w:rsid w:val="1363DC54"/>
    <w:rsid w:val="1399DF61"/>
    <w:rsid w:val="139DBFB3"/>
    <w:rsid w:val="13B5533A"/>
    <w:rsid w:val="13C5DD7F"/>
    <w:rsid w:val="1402D5A9"/>
    <w:rsid w:val="1433215C"/>
    <w:rsid w:val="1440B539"/>
    <w:rsid w:val="14500BEF"/>
    <w:rsid w:val="145386C8"/>
    <w:rsid w:val="148DE9AA"/>
    <w:rsid w:val="14A6DDDE"/>
    <w:rsid w:val="14BC4558"/>
    <w:rsid w:val="14BDE4FC"/>
    <w:rsid w:val="14C489EE"/>
    <w:rsid w:val="14D1410D"/>
    <w:rsid w:val="14E3AA68"/>
    <w:rsid w:val="14F6CAED"/>
    <w:rsid w:val="14F97640"/>
    <w:rsid w:val="151DF487"/>
    <w:rsid w:val="152C28C2"/>
    <w:rsid w:val="15554017"/>
    <w:rsid w:val="15663C3C"/>
    <w:rsid w:val="1585D319"/>
    <w:rsid w:val="15A50DA1"/>
    <w:rsid w:val="15B17B7E"/>
    <w:rsid w:val="15B693EB"/>
    <w:rsid w:val="15C25137"/>
    <w:rsid w:val="15C60939"/>
    <w:rsid w:val="15F9554F"/>
    <w:rsid w:val="1602116F"/>
    <w:rsid w:val="16284904"/>
    <w:rsid w:val="1654017F"/>
    <w:rsid w:val="1676927C"/>
    <w:rsid w:val="16D4BA1D"/>
    <w:rsid w:val="16D9069A"/>
    <w:rsid w:val="16DD92AE"/>
    <w:rsid w:val="17085BC8"/>
    <w:rsid w:val="172C4341"/>
    <w:rsid w:val="173D2869"/>
    <w:rsid w:val="1745F3C3"/>
    <w:rsid w:val="17D297FD"/>
    <w:rsid w:val="17D94088"/>
    <w:rsid w:val="17DBBE60"/>
    <w:rsid w:val="17DDD657"/>
    <w:rsid w:val="17E70F34"/>
    <w:rsid w:val="17E74349"/>
    <w:rsid w:val="180B51EB"/>
    <w:rsid w:val="1810AF4E"/>
    <w:rsid w:val="1816C572"/>
    <w:rsid w:val="1883A5C7"/>
    <w:rsid w:val="1907E524"/>
    <w:rsid w:val="198D7756"/>
    <w:rsid w:val="19925AB5"/>
    <w:rsid w:val="19BBF497"/>
    <w:rsid w:val="19EBDFB7"/>
    <w:rsid w:val="19EEEE05"/>
    <w:rsid w:val="19F2A0AE"/>
    <w:rsid w:val="19F3B8C3"/>
    <w:rsid w:val="19FB5311"/>
    <w:rsid w:val="1A01EEDC"/>
    <w:rsid w:val="1A094258"/>
    <w:rsid w:val="1A0DCD32"/>
    <w:rsid w:val="1A1BBC38"/>
    <w:rsid w:val="1A25041C"/>
    <w:rsid w:val="1A2B4718"/>
    <w:rsid w:val="1A44D03A"/>
    <w:rsid w:val="1A53363F"/>
    <w:rsid w:val="1A542643"/>
    <w:rsid w:val="1A57D8A2"/>
    <w:rsid w:val="1A613D81"/>
    <w:rsid w:val="1A9897BA"/>
    <w:rsid w:val="1ADC3E92"/>
    <w:rsid w:val="1AE4A1CD"/>
    <w:rsid w:val="1B105273"/>
    <w:rsid w:val="1B51DC20"/>
    <w:rsid w:val="1B5EBF4A"/>
    <w:rsid w:val="1BC6D7F8"/>
    <w:rsid w:val="1BF2379C"/>
    <w:rsid w:val="1BFEE1B9"/>
    <w:rsid w:val="1C08466B"/>
    <w:rsid w:val="1C118856"/>
    <w:rsid w:val="1C124ED8"/>
    <w:rsid w:val="1C1BC1D1"/>
    <w:rsid w:val="1C1BE3E0"/>
    <w:rsid w:val="1C3D0344"/>
    <w:rsid w:val="1C8F2EB1"/>
    <w:rsid w:val="1C957780"/>
    <w:rsid w:val="1CB5D5EA"/>
    <w:rsid w:val="1CB7E81F"/>
    <w:rsid w:val="1CCFC4CC"/>
    <w:rsid w:val="1CF43895"/>
    <w:rsid w:val="1D1B2F1A"/>
    <w:rsid w:val="1D209191"/>
    <w:rsid w:val="1D22F06D"/>
    <w:rsid w:val="1D250BF8"/>
    <w:rsid w:val="1D427AE6"/>
    <w:rsid w:val="1D84B67A"/>
    <w:rsid w:val="1D88F3B6"/>
    <w:rsid w:val="1DF71890"/>
    <w:rsid w:val="1DF9B417"/>
    <w:rsid w:val="1E2B8A71"/>
    <w:rsid w:val="1E3BA4CE"/>
    <w:rsid w:val="1E78B1DE"/>
    <w:rsid w:val="1E93E14B"/>
    <w:rsid w:val="1EAB96AD"/>
    <w:rsid w:val="1F021126"/>
    <w:rsid w:val="1F05C84E"/>
    <w:rsid w:val="1F1D6304"/>
    <w:rsid w:val="1F2655BD"/>
    <w:rsid w:val="1F2D50AF"/>
    <w:rsid w:val="1F30ADAE"/>
    <w:rsid w:val="1F5F9E22"/>
    <w:rsid w:val="1F63147D"/>
    <w:rsid w:val="1FAA02C0"/>
    <w:rsid w:val="1FAA5980"/>
    <w:rsid w:val="1FAD3C2B"/>
    <w:rsid w:val="1FC18092"/>
    <w:rsid w:val="1FC6A49F"/>
    <w:rsid w:val="1FC98660"/>
    <w:rsid w:val="1FCB8E21"/>
    <w:rsid w:val="1FE16956"/>
    <w:rsid w:val="201CF70D"/>
    <w:rsid w:val="201ECF8D"/>
    <w:rsid w:val="2021F80A"/>
    <w:rsid w:val="20420C95"/>
    <w:rsid w:val="2044518C"/>
    <w:rsid w:val="205FDD1F"/>
    <w:rsid w:val="209A8968"/>
    <w:rsid w:val="20BAECC7"/>
    <w:rsid w:val="20E12092"/>
    <w:rsid w:val="21001AC3"/>
    <w:rsid w:val="212ED899"/>
    <w:rsid w:val="21544BED"/>
    <w:rsid w:val="216CCAE8"/>
    <w:rsid w:val="217B34B5"/>
    <w:rsid w:val="218E675C"/>
    <w:rsid w:val="21E9D89F"/>
    <w:rsid w:val="21EF1762"/>
    <w:rsid w:val="21F396D7"/>
    <w:rsid w:val="222E2585"/>
    <w:rsid w:val="22774385"/>
    <w:rsid w:val="2283B756"/>
    <w:rsid w:val="2299594E"/>
    <w:rsid w:val="22A462C9"/>
    <w:rsid w:val="22A60038"/>
    <w:rsid w:val="22FBD898"/>
    <w:rsid w:val="231C996F"/>
    <w:rsid w:val="23245823"/>
    <w:rsid w:val="234136A8"/>
    <w:rsid w:val="23439D6C"/>
    <w:rsid w:val="234D3021"/>
    <w:rsid w:val="236DEF94"/>
    <w:rsid w:val="237733BF"/>
    <w:rsid w:val="239ADDED"/>
    <w:rsid w:val="23AD5621"/>
    <w:rsid w:val="24150C12"/>
    <w:rsid w:val="24211C4C"/>
    <w:rsid w:val="24309752"/>
    <w:rsid w:val="2495DFF1"/>
    <w:rsid w:val="249BBDE3"/>
    <w:rsid w:val="24AB61C5"/>
    <w:rsid w:val="24B39C69"/>
    <w:rsid w:val="24BD2998"/>
    <w:rsid w:val="24CDD9EF"/>
    <w:rsid w:val="24D2DA2E"/>
    <w:rsid w:val="24D388E9"/>
    <w:rsid w:val="250DF971"/>
    <w:rsid w:val="252361E6"/>
    <w:rsid w:val="255E7D5B"/>
    <w:rsid w:val="2583E00D"/>
    <w:rsid w:val="25878CAD"/>
    <w:rsid w:val="2590CFC1"/>
    <w:rsid w:val="25BB093C"/>
    <w:rsid w:val="25CF7796"/>
    <w:rsid w:val="25DE1759"/>
    <w:rsid w:val="25E52511"/>
    <w:rsid w:val="25EC14BB"/>
    <w:rsid w:val="25ECE70A"/>
    <w:rsid w:val="2601FA68"/>
    <w:rsid w:val="264656D7"/>
    <w:rsid w:val="26682FE3"/>
    <w:rsid w:val="266A2BCF"/>
    <w:rsid w:val="26742C80"/>
    <w:rsid w:val="268690D6"/>
    <w:rsid w:val="2696C3E6"/>
    <w:rsid w:val="26B0A714"/>
    <w:rsid w:val="2703A043"/>
    <w:rsid w:val="2707BCFD"/>
    <w:rsid w:val="270B72A6"/>
    <w:rsid w:val="271773EA"/>
    <w:rsid w:val="271B6166"/>
    <w:rsid w:val="2787DE2C"/>
    <w:rsid w:val="27903037"/>
    <w:rsid w:val="279FA1AB"/>
    <w:rsid w:val="27A3BFF2"/>
    <w:rsid w:val="27BF2406"/>
    <w:rsid w:val="27FE4E78"/>
    <w:rsid w:val="28010833"/>
    <w:rsid w:val="281EC3C2"/>
    <w:rsid w:val="286667FB"/>
    <w:rsid w:val="28703AB2"/>
    <w:rsid w:val="289947D3"/>
    <w:rsid w:val="28C0F44E"/>
    <w:rsid w:val="291A16BF"/>
    <w:rsid w:val="2936F736"/>
    <w:rsid w:val="293C06C8"/>
    <w:rsid w:val="2978DDBF"/>
    <w:rsid w:val="297E7226"/>
    <w:rsid w:val="29A8E300"/>
    <w:rsid w:val="29BE9491"/>
    <w:rsid w:val="29D54937"/>
    <w:rsid w:val="29E8EA66"/>
    <w:rsid w:val="2A0570BA"/>
    <w:rsid w:val="2A20D7F4"/>
    <w:rsid w:val="2A428F2A"/>
    <w:rsid w:val="2A52E555"/>
    <w:rsid w:val="2A53072C"/>
    <w:rsid w:val="2A77D681"/>
    <w:rsid w:val="2A8B1527"/>
    <w:rsid w:val="2A92863F"/>
    <w:rsid w:val="2A9F3C7F"/>
    <w:rsid w:val="2ABC2316"/>
    <w:rsid w:val="2AD7DAE0"/>
    <w:rsid w:val="2ADE58E4"/>
    <w:rsid w:val="2AE1CA64"/>
    <w:rsid w:val="2AEFB5BE"/>
    <w:rsid w:val="2AF50C88"/>
    <w:rsid w:val="2AFCC345"/>
    <w:rsid w:val="2B0F0955"/>
    <w:rsid w:val="2B41CF08"/>
    <w:rsid w:val="2B4FB080"/>
    <w:rsid w:val="2B54155A"/>
    <w:rsid w:val="2B6497A9"/>
    <w:rsid w:val="2BB7A39D"/>
    <w:rsid w:val="2BD040E5"/>
    <w:rsid w:val="2BF9F0C7"/>
    <w:rsid w:val="2C13C9A6"/>
    <w:rsid w:val="2C1C8ACC"/>
    <w:rsid w:val="2C7255C5"/>
    <w:rsid w:val="2C76D727"/>
    <w:rsid w:val="2C84F8FD"/>
    <w:rsid w:val="2C92FAE3"/>
    <w:rsid w:val="2CA0CDB6"/>
    <w:rsid w:val="2CBEC8B6"/>
    <w:rsid w:val="2CC58AC1"/>
    <w:rsid w:val="2CD35264"/>
    <w:rsid w:val="2CE8B668"/>
    <w:rsid w:val="2CEBF410"/>
    <w:rsid w:val="2D124D8C"/>
    <w:rsid w:val="2D14F343"/>
    <w:rsid w:val="2D224F99"/>
    <w:rsid w:val="2D3F6EC1"/>
    <w:rsid w:val="2D580369"/>
    <w:rsid w:val="2D6A3E5E"/>
    <w:rsid w:val="2D7522BF"/>
    <w:rsid w:val="2D80E396"/>
    <w:rsid w:val="2D8849D1"/>
    <w:rsid w:val="2DDA135E"/>
    <w:rsid w:val="2E14577A"/>
    <w:rsid w:val="2E19756B"/>
    <w:rsid w:val="2E3A373C"/>
    <w:rsid w:val="2E51AE84"/>
    <w:rsid w:val="2E51B0F3"/>
    <w:rsid w:val="2E6C851B"/>
    <w:rsid w:val="2E800065"/>
    <w:rsid w:val="2E8DDA0F"/>
    <w:rsid w:val="2E9E2CCF"/>
    <w:rsid w:val="2E9EEAD5"/>
    <w:rsid w:val="2EAA1708"/>
    <w:rsid w:val="2EAB4A13"/>
    <w:rsid w:val="2EBAC393"/>
    <w:rsid w:val="2EE46BF7"/>
    <w:rsid w:val="2EE5B302"/>
    <w:rsid w:val="2EE658EC"/>
    <w:rsid w:val="2F10208E"/>
    <w:rsid w:val="2F1489B5"/>
    <w:rsid w:val="2F48FBF3"/>
    <w:rsid w:val="2F65C36E"/>
    <w:rsid w:val="2F71ABF2"/>
    <w:rsid w:val="2FE71791"/>
    <w:rsid w:val="2FE97C23"/>
    <w:rsid w:val="3018E368"/>
    <w:rsid w:val="301F1743"/>
    <w:rsid w:val="304E864E"/>
    <w:rsid w:val="30638839"/>
    <w:rsid w:val="3099EE9E"/>
    <w:rsid w:val="30AE250B"/>
    <w:rsid w:val="30BEBA86"/>
    <w:rsid w:val="30E3AB17"/>
    <w:rsid w:val="30EB4FFC"/>
    <w:rsid w:val="30F0A5DE"/>
    <w:rsid w:val="3106722F"/>
    <w:rsid w:val="3111D5EC"/>
    <w:rsid w:val="3143C9A2"/>
    <w:rsid w:val="3151350E"/>
    <w:rsid w:val="3173568C"/>
    <w:rsid w:val="3175DA66"/>
    <w:rsid w:val="319C67FE"/>
    <w:rsid w:val="31AEBE1B"/>
    <w:rsid w:val="31BA2C2A"/>
    <w:rsid w:val="31BAC63E"/>
    <w:rsid w:val="31C19ACC"/>
    <w:rsid w:val="31C5E83B"/>
    <w:rsid w:val="321A38A1"/>
    <w:rsid w:val="32345A56"/>
    <w:rsid w:val="32625468"/>
    <w:rsid w:val="328A934F"/>
    <w:rsid w:val="328EB083"/>
    <w:rsid w:val="32A4FD5B"/>
    <w:rsid w:val="32BF1241"/>
    <w:rsid w:val="32E4558E"/>
    <w:rsid w:val="3318E49A"/>
    <w:rsid w:val="331D85FD"/>
    <w:rsid w:val="3349DF78"/>
    <w:rsid w:val="334BBAEC"/>
    <w:rsid w:val="3359B67A"/>
    <w:rsid w:val="33688200"/>
    <w:rsid w:val="33916067"/>
    <w:rsid w:val="3394A043"/>
    <w:rsid w:val="33A29FCF"/>
    <w:rsid w:val="33C0CA75"/>
    <w:rsid w:val="33FE4B45"/>
    <w:rsid w:val="345CCA55"/>
    <w:rsid w:val="34644D95"/>
    <w:rsid w:val="346D3238"/>
    <w:rsid w:val="348D9D0F"/>
    <w:rsid w:val="349B90C4"/>
    <w:rsid w:val="34BAACE6"/>
    <w:rsid w:val="34BFE279"/>
    <w:rsid w:val="34CE32A7"/>
    <w:rsid w:val="34E457C0"/>
    <w:rsid w:val="35010B70"/>
    <w:rsid w:val="3515C8EC"/>
    <w:rsid w:val="353D9FA6"/>
    <w:rsid w:val="3552F5EF"/>
    <w:rsid w:val="356FAF83"/>
    <w:rsid w:val="3570604A"/>
    <w:rsid w:val="35832F53"/>
    <w:rsid w:val="35B0B12D"/>
    <w:rsid w:val="35B327FC"/>
    <w:rsid w:val="35FAD8FD"/>
    <w:rsid w:val="36150AB4"/>
    <w:rsid w:val="36369578"/>
    <w:rsid w:val="363A2168"/>
    <w:rsid w:val="363B713F"/>
    <w:rsid w:val="368738F1"/>
    <w:rsid w:val="36A4EACE"/>
    <w:rsid w:val="36A7A831"/>
    <w:rsid w:val="36C03EC4"/>
    <w:rsid w:val="36E3E015"/>
    <w:rsid w:val="37013FC2"/>
    <w:rsid w:val="370E7F9F"/>
    <w:rsid w:val="371EFE40"/>
    <w:rsid w:val="374CEB5D"/>
    <w:rsid w:val="375AB6B7"/>
    <w:rsid w:val="37665DBD"/>
    <w:rsid w:val="37A8AA56"/>
    <w:rsid w:val="37D4D7A0"/>
    <w:rsid w:val="38098FE9"/>
    <w:rsid w:val="380FCA91"/>
    <w:rsid w:val="382CE12E"/>
    <w:rsid w:val="382EF822"/>
    <w:rsid w:val="383F5BE4"/>
    <w:rsid w:val="384425BE"/>
    <w:rsid w:val="387AFD6E"/>
    <w:rsid w:val="387B6520"/>
    <w:rsid w:val="38BEA564"/>
    <w:rsid w:val="38C91EA8"/>
    <w:rsid w:val="38CC3BB4"/>
    <w:rsid w:val="38E64775"/>
    <w:rsid w:val="390906F9"/>
    <w:rsid w:val="3914704B"/>
    <w:rsid w:val="392D55F2"/>
    <w:rsid w:val="39327D05"/>
    <w:rsid w:val="394A9698"/>
    <w:rsid w:val="395CE277"/>
    <w:rsid w:val="3960B2B4"/>
    <w:rsid w:val="398AC86A"/>
    <w:rsid w:val="39BF3389"/>
    <w:rsid w:val="3A09F9CF"/>
    <w:rsid w:val="3A1A2D2D"/>
    <w:rsid w:val="3A2DA9DA"/>
    <w:rsid w:val="3A37E13C"/>
    <w:rsid w:val="3A44F0D9"/>
    <w:rsid w:val="3A4855EE"/>
    <w:rsid w:val="3A534F4B"/>
    <w:rsid w:val="3A6B48A4"/>
    <w:rsid w:val="3A8EB6D2"/>
    <w:rsid w:val="3AA6428F"/>
    <w:rsid w:val="3AB4A6C9"/>
    <w:rsid w:val="3AB82371"/>
    <w:rsid w:val="3ACC88D2"/>
    <w:rsid w:val="3AEF21DF"/>
    <w:rsid w:val="3B0BA520"/>
    <w:rsid w:val="3B2D6C0A"/>
    <w:rsid w:val="3B353140"/>
    <w:rsid w:val="3B373572"/>
    <w:rsid w:val="3B3C7B57"/>
    <w:rsid w:val="3B3E400B"/>
    <w:rsid w:val="3B3F6343"/>
    <w:rsid w:val="3B5598D4"/>
    <w:rsid w:val="3B675D21"/>
    <w:rsid w:val="3B814EF1"/>
    <w:rsid w:val="3B8BB1BE"/>
    <w:rsid w:val="3B917ECD"/>
    <w:rsid w:val="3BCD605C"/>
    <w:rsid w:val="3BDED376"/>
    <w:rsid w:val="3C0EED76"/>
    <w:rsid w:val="3C18B41E"/>
    <w:rsid w:val="3C266099"/>
    <w:rsid w:val="3C3A79DC"/>
    <w:rsid w:val="3C3D14B7"/>
    <w:rsid w:val="3C497172"/>
    <w:rsid w:val="3C58A396"/>
    <w:rsid w:val="3C67E8C8"/>
    <w:rsid w:val="3C6920AC"/>
    <w:rsid w:val="3C6C7210"/>
    <w:rsid w:val="3CABEF92"/>
    <w:rsid w:val="3CC30375"/>
    <w:rsid w:val="3CD15268"/>
    <w:rsid w:val="3CD95BAA"/>
    <w:rsid w:val="3CE93DC2"/>
    <w:rsid w:val="3CF55B72"/>
    <w:rsid w:val="3D03FDEF"/>
    <w:rsid w:val="3D0B2F8A"/>
    <w:rsid w:val="3D3739AF"/>
    <w:rsid w:val="3D8996A2"/>
    <w:rsid w:val="3DD51297"/>
    <w:rsid w:val="3DF73AEF"/>
    <w:rsid w:val="3E173031"/>
    <w:rsid w:val="3E30B57F"/>
    <w:rsid w:val="3E33A073"/>
    <w:rsid w:val="3E62D14C"/>
    <w:rsid w:val="3E898C4F"/>
    <w:rsid w:val="3EA6B1F4"/>
    <w:rsid w:val="3EC9443E"/>
    <w:rsid w:val="3F183709"/>
    <w:rsid w:val="3F35DB66"/>
    <w:rsid w:val="3F61A8E3"/>
    <w:rsid w:val="3F623665"/>
    <w:rsid w:val="3F731499"/>
    <w:rsid w:val="3F805675"/>
    <w:rsid w:val="3FA50A1F"/>
    <w:rsid w:val="3FC6FEFA"/>
    <w:rsid w:val="3FCA66C9"/>
    <w:rsid w:val="3FFF599A"/>
    <w:rsid w:val="40387DD7"/>
    <w:rsid w:val="40583C97"/>
    <w:rsid w:val="405CDF43"/>
    <w:rsid w:val="406CED45"/>
    <w:rsid w:val="4072E488"/>
    <w:rsid w:val="40A67DCC"/>
    <w:rsid w:val="40B09AC4"/>
    <w:rsid w:val="40C676FC"/>
    <w:rsid w:val="40CE724D"/>
    <w:rsid w:val="40DF93E6"/>
    <w:rsid w:val="4104496A"/>
    <w:rsid w:val="415413E3"/>
    <w:rsid w:val="4193529F"/>
    <w:rsid w:val="41953483"/>
    <w:rsid w:val="41D7A52E"/>
    <w:rsid w:val="41F41C2C"/>
    <w:rsid w:val="4203BB9E"/>
    <w:rsid w:val="423A10A9"/>
    <w:rsid w:val="4248F073"/>
    <w:rsid w:val="425D73B1"/>
    <w:rsid w:val="429457BA"/>
    <w:rsid w:val="429BFD36"/>
    <w:rsid w:val="429CBF74"/>
    <w:rsid w:val="429E4FB3"/>
    <w:rsid w:val="42AE0D2C"/>
    <w:rsid w:val="42B866D6"/>
    <w:rsid w:val="42C15467"/>
    <w:rsid w:val="42C82F2F"/>
    <w:rsid w:val="42D0B189"/>
    <w:rsid w:val="42E5A800"/>
    <w:rsid w:val="4346941B"/>
    <w:rsid w:val="43691AC0"/>
    <w:rsid w:val="4380B03C"/>
    <w:rsid w:val="43880227"/>
    <w:rsid w:val="439BF457"/>
    <w:rsid w:val="43AC000A"/>
    <w:rsid w:val="43B17A30"/>
    <w:rsid w:val="43F98943"/>
    <w:rsid w:val="44011A68"/>
    <w:rsid w:val="44232B9E"/>
    <w:rsid w:val="4423489B"/>
    <w:rsid w:val="44389FFC"/>
    <w:rsid w:val="44420EDC"/>
    <w:rsid w:val="4446509C"/>
    <w:rsid w:val="445B00ED"/>
    <w:rsid w:val="445BB3E0"/>
    <w:rsid w:val="4467D9AF"/>
    <w:rsid w:val="446AE3E4"/>
    <w:rsid w:val="446D0172"/>
    <w:rsid w:val="446F83DD"/>
    <w:rsid w:val="44837FC8"/>
    <w:rsid w:val="4496295F"/>
    <w:rsid w:val="44A058AB"/>
    <w:rsid w:val="44AB0E77"/>
    <w:rsid w:val="44C421B3"/>
    <w:rsid w:val="44EA2451"/>
    <w:rsid w:val="44F9B867"/>
    <w:rsid w:val="44FC485D"/>
    <w:rsid w:val="451485D8"/>
    <w:rsid w:val="4530B59E"/>
    <w:rsid w:val="4539A315"/>
    <w:rsid w:val="454F29A3"/>
    <w:rsid w:val="45588D6B"/>
    <w:rsid w:val="458EA884"/>
    <w:rsid w:val="458F4FE6"/>
    <w:rsid w:val="45A9BD17"/>
    <w:rsid w:val="46064591"/>
    <w:rsid w:val="460E2B63"/>
    <w:rsid w:val="46132EF4"/>
    <w:rsid w:val="4631A905"/>
    <w:rsid w:val="463B2B73"/>
    <w:rsid w:val="4645C5F5"/>
    <w:rsid w:val="46802050"/>
    <w:rsid w:val="4696CAE6"/>
    <w:rsid w:val="46A88A30"/>
    <w:rsid w:val="46D4B39E"/>
    <w:rsid w:val="46D67B6E"/>
    <w:rsid w:val="46FA5585"/>
    <w:rsid w:val="4701F8F9"/>
    <w:rsid w:val="471A05B0"/>
    <w:rsid w:val="471A8948"/>
    <w:rsid w:val="472311F9"/>
    <w:rsid w:val="4731D399"/>
    <w:rsid w:val="4756CBA5"/>
    <w:rsid w:val="4761549B"/>
    <w:rsid w:val="47698EAC"/>
    <w:rsid w:val="4783A640"/>
    <w:rsid w:val="47972F7C"/>
    <w:rsid w:val="479C6560"/>
    <w:rsid w:val="47AEB4FF"/>
    <w:rsid w:val="47E39C91"/>
    <w:rsid w:val="4848DD95"/>
    <w:rsid w:val="4854FC32"/>
    <w:rsid w:val="48682261"/>
    <w:rsid w:val="488B46D2"/>
    <w:rsid w:val="488B9FB5"/>
    <w:rsid w:val="48A29AAC"/>
    <w:rsid w:val="48AAB849"/>
    <w:rsid w:val="48B3B975"/>
    <w:rsid w:val="48B829C0"/>
    <w:rsid w:val="48C334D6"/>
    <w:rsid w:val="48DB3A81"/>
    <w:rsid w:val="490558F3"/>
    <w:rsid w:val="4907232B"/>
    <w:rsid w:val="490F1700"/>
    <w:rsid w:val="4910CCDB"/>
    <w:rsid w:val="491DE5AD"/>
    <w:rsid w:val="4925D53F"/>
    <w:rsid w:val="49472C42"/>
    <w:rsid w:val="4958197F"/>
    <w:rsid w:val="495D3098"/>
    <w:rsid w:val="496327D9"/>
    <w:rsid w:val="49729E9C"/>
    <w:rsid w:val="49A31941"/>
    <w:rsid w:val="49AC4E7A"/>
    <w:rsid w:val="49CCC14F"/>
    <w:rsid w:val="4A02F771"/>
    <w:rsid w:val="4A0DEF37"/>
    <w:rsid w:val="4A338C86"/>
    <w:rsid w:val="4A42E09E"/>
    <w:rsid w:val="4A634A07"/>
    <w:rsid w:val="4A9BB76C"/>
    <w:rsid w:val="4ADEB8BD"/>
    <w:rsid w:val="4B0D95A8"/>
    <w:rsid w:val="4B29FD71"/>
    <w:rsid w:val="4B2E5C0C"/>
    <w:rsid w:val="4B33104B"/>
    <w:rsid w:val="4B35C92E"/>
    <w:rsid w:val="4B37433D"/>
    <w:rsid w:val="4B7EFD62"/>
    <w:rsid w:val="4B82EFBD"/>
    <w:rsid w:val="4B97852B"/>
    <w:rsid w:val="4BC4DAFE"/>
    <w:rsid w:val="4C40DA64"/>
    <w:rsid w:val="4C5A7EB5"/>
    <w:rsid w:val="4C8A1EFA"/>
    <w:rsid w:val="4C95330C"/>
    <w:rsid w:val="4C9919CA"/>
    <w:rsid w:val="4C99265D"/>
    <w:rsid w:val="4CD0BF24"/>
    <w:rsid w:val="4CE22650"/>
    <w:rsid w:val="4CE527F0"/>
    <w:rsid w:val="4D043F65"/>
    <w:rsid w:val="4D0DE929"/>
    <w:rsid w:val="4D1BF36E"/>
    <w:rsid w:val="4D335C11"/>
    <w:rsid w:val="4D6BC44B"/>
    <w:rsid w:val="4DB608B4"/>
    <w:rsid w:val="4DB78D92"/>
    <w:rsid w:val="4DDE693C"/>
    <w:rsid w:val="4DE8076B"/>
    <w:rsid w:val="4DFCE99A"/>
    <w:rsid w:val="4E096F1D"/>
    <w:rsid w:val="4E26FF79"/>
    <w:rsid w:val="4E5C5A82"/>
    <w:rsid w:val="4E6DBC59"/>
    <w:rsid w:val="4E7F40FF"/>
    <w:rsid w:val="4EA78CBF"/>
    <w:rsid w:val="4ED8129C"/>
    <w:rsid w:val="4EDD827F"/>
    <w:rsid w:val="4F1483B9"/>
    <w:rsid w:val="4F155645"/>
    <w:rsid w:val="4F1A0394"/>
    <w:rsid w:val="4F1F382B"/>
    <w:rsid w:val="4F271D0E"/>
    <w:rsid w:val="4F3D8B46"/>
    <w:rsid w:val="4F3E8D09"/>
    <w:rsid w:val="4F45066D"/>
    <w:rsid w:val="4F9687FB"/>
    <w:rsid w:val="4FA5CDB3"/>
    <w:rsid w:val="4FB12A65"/>
    <w:rsid w:val="4FCAB4DB"/>
    <w:rsid w:val="4FDE1E09"/>
    <w:rsid w:val="50214FBE"/>
    <w:rsid w:val="50576849"/>
    <w:rsid w:val="506BBACD"/>
    <w:rsid w:val="508C91FA"/>
    <w:rsid w:val="50942BBD"/>
    <w:rsid w:val="50947B64"/>
    <w:rsid w:val="50A98AC0"/>
    <w:rsid w:val="50C9165E"/>
    <w:rsid w:val="50E0A519"/>
    <w:rsid w:val="50F470E9"/>
    <w:rsid w:val="511239D8"/>
    <w:rsid w:val="5121AC09"/>
    <w:rsid w:val="5123B0EE"/>
    <w:rsid w:val="514FCD48"/>
    <w:rsid w:val="515D7DA6"/>
    <w:rsid w:val="5166AF97"/>
    <w:rsid w:val="5167EA7E"/>
    <w:rsid w:val="516D856B"/>
    <w:rsid w:val="517600A3"/>
    <w:rsid w:val="518009E6"/>
    <w:rsid w:val="518D7B8C"/>
    <w:rsid w:val="518F422A"/>
    <w:rsid w:val="51B42C32"/>
    <w:rsid w:val="51C078C6"/>
    <w:rsid w:val="51D43AC5"/>
    <w:rsid w:val="51DA9A6A"/>
    <w:rsid w:val="52122A89"/>
    <w:rsid w:val="524209F4"/>
    <w:rsid w:val="524886B8"/>
    <w:rsid w:val="52ACBF78"/>
    <w:rsid w:val="52B6E777"/>
    <w:rsid w:val="52D9654E"/>
    <w:rsid w:val="52DB05D7"/>
    <w:rsid w:val="52E88242"/>
    <w:rsid w:val="52F6135D"/>
    <w:rsid w:val="52F74906"/>
    <w:rsid w:val="53112824"/>
    <w:rsid w:val="531F72C8"/>
    <w:rsid w:val="53250BEF"/>
    <w:rsid w:val="5344E703"/>
    <w:rsid w:val="53656CD0"/>
    <w:rsid w:val="536C673E"/>
    <w:rsid w:val="53F2D8D8"/>
    <w:rsid w:val="53FBE94A"/>
    <w:rsid w:val="54070C24"/>
    <w:rsid w:val="54272742"/>
    <w:rsid w:val="54303F7B"/>
    <w:rsid w:val="547288F9"/>
    <w:rsid w:val="54771D17"/>
    <w:rsid w:val="549E9702"/>
    <w:rsid w:val="54C22854"/>
    <w:rsid w:val="54EED849"/>
    <w:rsid w:val="54F22975"/>
    <w:rsid w:val="54F9560A"/>
    <w:rsid w:val="552282A6"/>
    <w:rsid w:val="552FDE00"/>
    <w:rsid w:val="555D1D69"/>
    <w:rsid w:val="555ED174"/>
    <w:rsid w:val="55609C56"/>
    <w:rsid w:val="556E3BB7"/>
    <w:rsid w:val="55AE39BE"/>
    <w:rsid w:val="55C894C3"/>
    <w:rsid w:val="55D2FF64"/>
    <w:rsid w:val="55F72211"/>
    <w:rsid w:val="561CEF8E"/>
    <w:rsid w:val="562AB9E4"/>
    <w:rsid w:val="564D7FA6"/>
    <w:rsid w:val="56809675"/>
    <w:rsid w:val="56886469"/>
    <w:rsid w:val="568E0A42"/>
    <w:rsid w:val="56D5C03D"/>
    <w:rsid w:val="57037359"/>
    <w:rsid w:val="571C7748"/>
    <w:rsid w:val="572B78AF"/>
    <w:rsid w:val="573A1D79"/>
    <w:rsid w:val="579BC51C"/>
    <w:rsid w:val="57A2E35B"/>
    <w:rsid w:val="57D02C3F"/>
    <w:rsid w:val="57D50798"/>
    <w:rsid w:val="57F2ECA7"/>
    <w:rsid w:val="58207D03"/>
    <w:rsid w:val="585A2338"/>
    <w:rsid w:val="58851D52"/>
    <w:rsid w:val="5889D8C4"/>
    <w:rsid w:val="58B24B6A"/>
    <w:rsid w:val="58B9D512"/>
    <w:rsid w:val="58BDACB2"/>
    <w:rsid w:val="58C21968"/>
    <w:rsid w:val="58CD59C0"/>
    <w:rsid w:val="58E80AAB"/>
    <w:rsid w:val="59007689"/>
    <w:rsid w:val="592FF5C9"/>
    <w:rsid w:val="594EEAA7"/>
    <w:rsid w:val="595C9FBF"/>
    <w:rsid w:val="59606870"/>
    <w:rsid w:val="596B1DA8"/>
    <w:rsid w:val="599D576C"/>
    <w:rsid w:val="59A83D07"/>
    <w:rsid w:val="59B6C9A2"/>
    <w:rsid w:val="59E8FFC6"/>
    <w:rsid w:val="5A2B9C1A"/>
    <w:rsid w:val="5A330F46"/>
    <w:rsid w:val="5A5C801F"/>
    <w:rsid w:val="5A5ED570"/>
    <w:rsid w:val="5A7D1757"/>
    <w:rsid w:val="5A97EF2E"/>
    <w:rsid w:val="5A9D90D2"/>
    <w:rsid w:val="5AB3C149"/>
    <w:rsid w:val="5AD5543D"/>
    <w:rsid w:val="5AEB8AC8"/>
    <w:rsid w:val="5B028161"/>
    <w:rsid w:val="5B064BE3"/>
    <w:rsid w:val="5B5C2B04"/>
    <w:rsid w:val="5B808434"/>
    <w:rsid w:val="5BAF78F5"/>
    <w:rsid w:val="5BBB3953"/>
    <w:rsid w:val="5BC806DE"/>
    <w:rsid w:val="5C206C06"/>
    <w:rsid w:val="5C22CFF5"/>
    <w:rsid w:val="5C51BA2E"/>
    <w:rsid w:val="5C5EADCC"/>
    <w:rsid w:val="5C825264"/>
    <w:rsid w:val="5CA4117C"/>
    <w:rsid w:val="5CA6601A"/>
    <w:rsid w:val="5CB3E3E5"/>
    <w:rsid w:val="5CB63A6F"/>
    <w:rsid w:val="5CC6546B"/>
    <w:rsid w:val="5CD0EB67"/>
    <w:rsid w:val="5CDE3E4E"/>
    <w:rsid w:val="5CE2DC61"/>
    <w:rsid w:val="5CEAEB63"/>
    <w:rsid w:val="5CF56AB7"/>
    <w:rsid w:val="5D15DCB4"/>
    <w:rsid w:val="5D4F1923"/>
    <w:rsid w:val="5DBB8892"/>
    <w:rsid w:val="5DBBACBC"/>
    <w:rsid w:val="5DCBCE21"/>
    <w:rsid w:val="5DDA3879"/>
    <w:rsid w:val="5DEB866C"/>
    <w:rsid w:val="5E2F883D"/>
    <w:rsid w:val="5E60EF59"/>
    <w:rsid w:val="5EB90620"/>
    <w:rsid w:val="5EBACCDD"/>
    <w:rsid w:val="5EBFEE12"/>
    <w:rsid w:val="5EC16257"/>
    <w:rsid w:val="5ED08F75"/>
    <w:rsid w:val="5EF2BDAB"/>
    <w:rsid w:val="5F16B677"/>
    <w:rsid w:val="5F2552F4"/>
    <w:rsid w:val="5F326742"/>
    <w:rsid w:val="5F5172AB"/>
    <w:rsid w:val="5F9B39E9"/>
    <w:rsid w:val="5FBB58E5"/>
    <w:rsid w:val="5FEA3C1F"/>
    <w:rsid w:val="5FEDDA68"/>
    <w:rsid w:val="5FFDC2AB"/>
    <w:rsid w:val="5FFFAA57"/>
    <w:rsid w:val="60164BC0"/>
    <w:rsid w:val="602166BE"/>
    <w:rsid w:val="602CD07F"/>
    <w:rsid w:val="6053A7C5"/>
    <w:rsid w:val="6058036A"/>
    <w:rsid w:val="606173DB"/>
    <w:rsid w:val="607E64C4"/>
    <w:rsid w:val="608B72D3"/>
    <w:rsid w:val="60AAE581"/>
    <w:rsid w:val="60B2B522"/>
    <w:rsid w:val="60BC1ACC"/>
    <w:rsid w:val="60CAD4D0"/>
    <w:rsid w:val="60E1D79C"/>
    <w:rsid w:val="60E21FE6"/>
    <w:rsid w:val="60EEC275"/>
    <w:rsid w:val="60F7EC4A"/>
    <w:rsid w:val="6127AFB3"/>
    <w:rsid w:val="616F2DAF"/>
    <w:rsid w:val="61957BC3"/>
    <w:rsid w:val="619BECA3"/>
    <w:rsid w:val="61BE258A"/>
    <w:rsid w:val="61C40AFE"/>
    <w:rsid w:val="61CA2F5F"/>
    <w:rsid w:val="61CBB08A"/>
    <w:rsid w:val="61D05E5F"/>
    <w:rsid w:val="61D84F7F"/>
    <w:rsid w:val="61DB79DA"/>
    <w:rsid w:val="62120154"/>
    <w:rsid w:val="628443F4"/>
    <w:rsid w:val="629924CC"/>
    <w:rsid w:val="629E9831"/>
    <w:rsid w:val="62A5717E"/>
    <w:rsid w:val="62BC33FD"/>
    <w:rsid w:val="62D3EFDC"/>
    <w:rsid w:val="62ED8649"/>
    <w:rsid w:val="63116F57"/>
    <w:rsid w:val="633EF53E"/>
    <w:rsid w:val="635147C5"/>
    <w:rsid w:val="636013D1"/>
    <w:rsid w:val="636291DB"/>
    <w:rsid w:val="63C4083B"/>
    <w:rsid w:val="63D31107"/>
    <w:rsid w:val="6418485C"/>
    <w:rsid w:val="6429B6C9"/>
    <w:rsid w:val="64492926"/>
    <w:rsid w:val="647110FC"/>
    <w:rsid w:val="6480B089"/>
    <w:rsid w:val="64813365"/>
    <w:rsid w:val="648E0714"/>
    <w:rsid w:val="64CA980C"/>
    <w:rsid w:val="64F579D1"/>
    <w:rsid w:val="650B2216"/>
    <w:rsid w:val="651C2C23"/>
    <w:rsid w:val="6525E59B"/>
    <w:rsid w:val="652965E1"/>
    <w:rsid w:val="652CF172"/>
    <w:rsid w:val="656602A8"/>
    <w:rsid w:val="658A42EC"/>
    <w:rsid w:val="65A70753"/>
    <w:rsid w:val="65BB3705"/>
    <w:rsid w:val="65E3F669"/>
    <w:rsid w:val="65F36622"/>
    <w:rsid w:val="66063FE4"/>
    <w:rsid w:val="661F5D0A"/>
    <w:rsid w:val="664086BA"/>
    <w:rsid w:val="6646859A"/>
    <w:rsid w:val="668BFE4E"/>
    <w:rsid w:val="66A427FD"/>
    <w:rsid w:val="66BCEF8A"/>
    <w:rsid w:val="66DBA2D2"/>
    <w:rsid w:val="66DBB5B3"/>
    <w:rsid w:val="66DE5BF8"/>
    <w:rsid w:val="66E7FFE0"/>
    <w:rsid w:val="66F212A1"/>
    <w:rsid w:val="6707E41C"/>
    <w:rsid w:val="67195AD2"/>
    <w:rsid w:val="6730AD04"/>
    <w:rsid w:val="675AF56B"/>
    <w:rsid w:val="6767CBBF"/>
    <w:rsid w:val="678F7A23"/>
    <w:rsid w:val="67ADD97F"/>
    <w:rsid w:val="680F1F47"/>
    <w:rsid w:val="6812DF2D"/>
    <w:rsid w:val="6827E526"/>
    <w:rsid w:val="68397FCD"/>
    <w:rsid w:val="6839D192"/>
    <w:rsid w:val="6879A882"/>
    <w:rsid w:val="687E6EC4"/>
    <w:rsid w:val="68965660"/>
    <w:rsid w:val="68968209"/>
    <w:rsid w:val="68A13EBB"/>
    <w:rsid w:val="68A97AB2"/>
    <w:rsid w:val="68AE6F8D"/>
    <w:rsid w:val="68B700E6"/>
    <w:rsid w:val="68C637E4"/>
    <w:rsid w:val="68F80606"/>
    <w:rsid w:val="691BE05A"/>
    <w:rsid w:val="69299A65"/>
    <w:rsid w:val="693C46B6"/>
    <w:rsid w:val="6977205B"/>
    <w:rsid w:val="69983D85"/>
    <w:rsid w:val="699C18D0"/>
    <w:rsid w:val="699E13C6"/>
    <w:rsid w:val="69B1FAB7"/>
    <w:rsid w:val="69E33701"/>
    <w:rsid w:val="69E35CFD"/>
    <w:rsid w:val="6A113673"/>
    <w:rsid w:val="6A16BA2A"/>
    <w:rsid w:val="6A301515"/>
    <w:rsid w:val="6A4D6D0F"/>
    <w:rsid w:val="6A56EFEC"/>
    <w:rsid w:val="6A64919D"/>
    <w:rsid w:val="6A70424D"/>
    <w:rsid w:val="6A899D04"/>
    <w:rsid w:val="6A9668B0"/>
    <w:rsid w:val="6AB33AFB"/>
    <w:rsid w:val="6AE4B25B"/>
    <w:rsid w:val="6AE9E8DB"/>
    <w:rsid w:val="6AFB7826"/>
    <w:rsid w:val="6B00C2AA"/>
    <w:rsid w:val="6B08CA2C"/>
    <w:rsid w:val="6B0E19A0"/>
    <w:rsid w:val="6B17A1D4"/>
    <w:rsid w:val="6B1B9600"/>
    <w:rsid w:val="6B30B46E"/>
    <w:rsid w:val="6B7C84EE"/>
    <w:rsid w:val="6B8D65F9"/>
    <w:rsid w:val="6B9B5AC4"/>
    <w:rsid w:val="6BAFCBE2"/>
    <w:rsid w:val="6BD420A2"/>
    <w:rsid w:val="6BF237F6"/>
    <w:rsid w:val="6BFD60C0"/>
    <w:rsid w:val="6C01CF78"/>
    <w:rsid w:val="6C508438"/>
    <w:rsid w:val="6C6E396B"/>
    <w:rsid w:val="6C8BC72F"/>
    <w:rsid w:val="6D10756B"/>
    <w:rsid w:val="6D227B36"/>
    <w:rsid w:val="6D29686F"/>
    <w:rsid w:val="6D30363E"/>
    <w:rsid w:val="6D5721CB"/>
    <w:rsid w:val="6D578793"/>
    <w:rsid w:val="6D60748A"/>
    <w:rsid w:val="6D73C8CD"/>
    <w:rsid w:val="6D8D6419"/>
    <w:rsid w:val="6D91538A"/>
    <w:rsid w:val="6D9A22C6"/>
    <w:rsid w:val="6D9AF952"/>
    <w:rsid w:val="6DB54540"/>
    <w:rsid w:val="6DB6C47E"/>
    <w:rsid w:val="6DDFEE1B"/>
    <w:rsid w:val="6DE1277C"/>
    <w:rsid w:val="6E0196C8"/>
    <w:rsid w:val="6E07B5A8"/>
    <w:rsid w:val="6E1A6F22"/>
    <w:rsid w:val="6E4D546E"/>
    <w:rsid w:val="6E9A339F"/>
    <w:rsid w:val="6EB1FEC2"/>
    <w:rsid w:val="6EC3172E"/>
    <w:rsid w:val="6EC7FF72"/>
    <w:rsid w:val="6EF697E3"/>
    <w:rsid w:val="6EF784F7"/>
    <w:rsid w:val="6EFDA583"/>
    <w:rsid w:val="6F0FBA01"/>
    <w:rsid w:val="6F215F76"/>
    <w:rsid w:val="6F2A6A01"/>
    <w:rsid w:val="6F327F26"/>
    <w:rsid w:val="6F564B7E"/>
    <w:rsid w:val="6F69E1F0"/>
    <w:rsid w:val="6F837497"/>
    <w:rsid w:val="6F8C1493"/>
    <w:rsid w:val="6FA433D7"/>
    <w:rsid w:val="6FD25B1A"/>
    <w:rsid w:val="6FEEB553"/>
    <w:rsid w:val="6FFC440D"/>
    <w:rsid w:val="7012D6F9"/>
    <w:rsid w:val="703950E3"/>
    <w:rsid w:val="7049EE58"/>
    <w:rsid w:val="705517DD"/>
    <w:rsid w:val="70771A48"/>
    <w:rsid w:val="707810A0"/>
    <w:rsid w:val="7078CA3D"/>
    <w:rsid w:val="707BDA6E"/>
    <w:rsid w:val="709439D5"/>
    <w:rsid w:val="709AB5CD"/>
    <w:rsid w:val="70ACCB52"/>
    <w:rsid w:val="70BB4D00"/>
    <w:rsid w:val="70BEA6A7"/>
    <w:rsid w:val="70C2623C"/>
    <w:rsid w:val="70C77B04"/>
    <w:rsid w:val="7104D8EA"/>
    <w:rsid w:val="7121C4F6"/>
    <w:rsid w:val="7127C966"/>
    <w:rsid w:val="713A518A"/>
    <w:rsid w:val="714E3DEC"/>
    <w:rsid w:val="71664579"/>
    <w:rsid w:val="717059F1"/>
    <w:rsid w:val="7194F564"/>
    <w:rsid w:val="71A668CD"/>
    <w:rsid w:val="71BA75B8"/>
    <w:rsid w:val="71C6D249"/>
    <w:rsid w:val="71FA8AE0"/>
    <w:rsid w:val="7203C4E4"/>
    <w:rsid w:val="7205ABD4"/>
    <w:rsid w:val="7206AED9"/>
    <w:rsid w:val="7208B29B"/>
    <w:rsid w:val="7232B644"/>
    <w:rsid w:val="725B444D"/>
    <w:rsid w:val="726C71FD"/>
    <w:rsid w:val="72861AB7"/>
    <w:rsid w:val="7289C282"/>
    <w:rsid w:val="728F1464"/>
    <w:rsid w:val="72A00080"/>
    <w:rsid w:val="72E71BCE"/>
    <w:rsid w:val="72F8841E"/>
    <w:rsid w:val="7301BFAE"/>
    <w:rsid w:val="7328916A"/>
    <w:rsid w:val="732D0B34"/>
    <w:rsid w:val="7350CBAC"/>
    <w:rsid w:val="737DB0C8"/>
    <w:rsid w:val="73CC14A5"/>
    <w:rsid w:val="73D94A9D"/>
    <w:rsid w:val="73F4A83B"/>
    <w:rsid w:val="73F80C77"/>
    <w:rsid w:val="7406A2E5"/>
    <w:rsid w:val="741AC331"/>
    <w:rsid w:val="744EE15B"/>
    <w:rsid w:val="747975B0"/>
    <w:rsid w:val="749F75D6"/>
    <w:rsid w:val="74C0BEB3"/>
    <w:rsid w:val="74D0C48F"/>
    <w:rsid w:val="74D67BAF"/>
    <w:rsid w:val="74E198BA"/>
    <w:rsid w:val="7553C671"/>
    <w:rsid w:val="755644D7"/>
    <w:rsid w:val="757D5EA5"/>
    <w:rsid w:val="75A0DD9E"/>
    <w:rsid w:val="75E841BF"/>
    <w:rsid w:val="75F28D51"/>
    <w:rsid w:val="76165BB8"/>
    <w:rsid w:val="763A77A9"/>
    <w:rsid w:val="76400AC5"/>
    <w:rsid w:val="765C87E1"/>
    <w:rsid w:val="76740934"/>
    <w:rsid w:val="768CE50D"/>
    <w:rsid w:val="76997929"/>
    <w:rsid w:val="769B2E8C"/>
    <w:rsid w:val="76A3922E"/>
    <w:rsid w:val="76ACAD88"/>
    <w:rsid w:val="76B5AA54"/>
    <w:rsid w:val="76C807FA"/>
    <w:rsid w:val="76C9244D"/>
    <w:rsid w:val="76FDB451"/>
    <w:rsid w:val="77159DE6"/>
    <w:rsid w:val="77327858"/>
    <w:rsid w:val="77399AC2"/>
    <w:rsid w:val="774A92AD"/>
    <w:rsid w:val="776C8F0C"/>
    <w:rsid w:val="7797AF50"/>
    <w:rsid w:val="77B7A974"/>
    <w:rsid w:val="77BDFF15"/>
    <w:rsid w:val="77E7DC30"/>
    <w:rsid w:val="77E8C675"/>
    <w:rsid w:val="780F55B8"/>
    <w:rsid w:val="782769EB"/>
    <w:rsid w:val="783474E9"/>
    <w:rsid w:val="78360738"/>
    <w:rsid w:val="78496306"/>
    <w:rsid w:val="785E8314"/>
    <w:rsid w:val="787E96DE"/>
    <w:rsid w:val="7888D14D"/>
    <w:rsid w:val="78CC3DED"/>
    <w:rsid w:val="78E4F15C"/>
    <w:rsid w:val="79196B9C"/>
    <w:rsid w:val="794FA41D"/>
    <w:rsid w:val="795E791B"/>
    <w:rsid w:val="79A3B683"/>
    <w:rsid w:val="79AC791B"/>
    <w:rsid w:val="79DD336A"/>
    <w:rsid w:val="7A07AF66"/>
    <w:rsid w:val="7A07D6E3"/>
    <w:rsid w:val="7A1AA712"/>
    <w:rsid w:val="7A2E99E8"/>
    <w:rsid w:val="7A717047"/>
    <w:rsid w:val="7A80D153"/>
    <w:rsid w:val="7A8182D7"/>
    <w:rsid w:val="7AE4A0FD"/>
    <w:rsid w:val="7AFD5DA7"/>
    <w:rsid w:val="7AFF60E2"/>
    <w:rsid w:val="7B08D237"/>
    <w:rsid w:val="7B251377"/>
    <w:rsid w:val="7B3D5096"/>
    <w:rsid w:val="7B43F67A"/>
    <w:rsid w:val="7B45F033"/>
    <w:rsid w:val="7B4A9E82"/>
    <w:rsid w:val="7B574FD1"/>
    <w:rsid w:val="7B7F217C"/>
    <w:rsid w:val="7B992166"/>
    <w:rsid w:val="7BA787C1"/>
    <w:rsid w:val="7BB8DF1C"/>
    <w:rsid w:val="7BCF60D5"/>
    <w:rsid w:val="7BD9AE81"/>
    <w:rsid w:val="7BF28255"/>
    <w:rsid w:val="7C134586"/>
    <w:rsid w:val="7C382897"/>
    <w:rsid w:val="7C478378"/>
    <w:rsid w:val="7C54F387"/>
    <w:rsid w:val="7C7A5AE2"/>
    <w:rsid w:val="7C92D0FA"/>
    <w:rsid w:val="7C98A7FE"/>
    <w:rsid w:val="7CAA9DD9"/>
    <w:rsid w:val="7CB8B011"/>
    <w:rsid w:val="7D18C90E"/>
    <w:rsid w:val="7D19DEEE"/>
    <w:rsid w:val="7D1A9027"/>
    <w:rsid w:val="7D41E942"/>
    <w:rsid w:val="7D87138E"/>
    <w:rsid w:val="7DBC648F"/>
    <w:rsid w:val="7DD602A2"/>
    <w:rsid w:val="7DFE3585"/>
    <w:rsid w:val="7E14E99B"/>
    <w:rsid w:val="7E1E911E"/>
    <w:rsid w:val="7E328417"/>
    <w:rsid w:val="7E34972C"/>
    <w:rsid w:val="7E5DD379"/>
    <w:rsid w:val="7E7604D5"/>
    <w:rsid w:val="7E9DD42D"/>
    <w:rsid w:val="7EC626F0"/>
    <w:rsid w:val="7ECA526C"/>
    <w:rsid w:val="7ECDAAA1"/>
    <w:rsid w:val="7EEB5F9E"/>
    <w:rsid w:val="7EEE7C5D"/>
    <w:rsid w:val="7F136F92"/>
    <w:rsid w:val="7F137865"/>
    <w:rsid w:val="7F2D0874"/>
    <w:rsid w:val="7F2D09D8"/>
    <w:rsid w:val="7F78E839"/>
    <w:rsid w:val="7F99E384"/>
    <w:rsid w:val="7FB978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E0C81"/>
  <w15:chartTrackingRefBased/>
  <w15:docId w15:val="{D652A585-3AEF-47A0-88F1-5A4A7FC8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B9E"/>
  </w:style>
  <w:style w:type="paragraph" w:styleId="Heading1">
    <w:name w:val="heading 1"/>
    <w:basedOn w:val="HNAHeader1"/>
    <w:next w:val="Normal"/>
    <w:link w:val="Heading1Char"/>
    <w:uiPriority w:val="9"/>
    <w:qFormat/>
    <w:rsid w:val="000556E0"/>
    <w:pPr>
      <w:numPr>
        <w:numId w:val="10"/>
      </w:numPr>
      <w:ind w:left="360"/>
      <w:outlineLvl w:val="0"/>
    </w:pPr>
    <w:rPr>
      <w:b/>
      <w:bCs/>
      <w:sz w:val="28"/>
      <w:u w:val="single"/>
    </w:rPr>
  </w:style>
  <w:style w:type="paragraph" w:styleId="Heading2">
    <w:name w:val="heading 2"/>
    <w:basedOn w:val="Normal"/>
    <w:next w:val="Normal"/>
    <w:link w:val="Heading2Char"/>
    <w:uiPriority w:val="9"/>
    <w:unhideWhenUsed/>
    <w:qFormat/>
    <w:rsid w:val="00C93069"/>
    <w:pPr>
      <w:numPr>
        <w:ilvl w:val="1"/>
        <w:numId w:val="10"/>
      </w:numPr>
      <w:ind w:left="431" w:hanging="431"/>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unhideWhenUsed/>
    <w:qFormat/>
    <w:rsid w:val="00210897"/>
    <w:pPr>
      <w:keepNext/>
      <w:keepLines/>
      <w:spacing w:before="160" w:after="80"/>
      <w:outlineLvl w:val="2"/>
    </w:pPr>
    <w:rPr>
      <w:rFonts w:eastAsiaTheme="majorEastAsia" w:cstheme="majorBidi"/>
      <w:b/>
      <w:i/>
      <w:szCs w:val="28"/>
    </w:rPr>
  </w:style>
  <w:style w:type="paragraph" w:styleId="Heading4">
    <w:name w:val="heading 4"/>
    <w:aliases w:val="Summary heading"/>
    <w:basedOn w:val="Normal"/>
    <w:next w:val="Normal"/>
    <w:link w:val="Heading4Char"/>
    <w:uiPriority w:val="9"/>
    <w:unhideWhenUsed/>
    <w:qFormat/>
    <w:rsid w:val="00D14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E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E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E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E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E9A"/>
    <w:rPr>
      <w:b/>
      <w:bCs/>
      <w:sz w:val="28"/>
      <w:u w:val="single"/>
    </w:rPr>
  </w:style>
  <w:style w:type="character" w:customStyle="1" w:styleId="Heading2Char">
    <w:name w:val="Heading 2 Char"/>
    <w:basedOn w:val="DefaultParagraphFont"/>
    <w:link w:val="Heading2"/>
    <w:uiPriority w:val="9"/>
    <w:rsid w:val="00C93069"/>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rsid w:val="00D14E9A"/>
    <w:rPr>
      <w:rFonts w:eastAsiaTheme="majorEastAsia" w:cstheme="majorBidi"/>
      <w:b/>
      <w:i/>
      <w:szCs w:val="28"/>
    </w:rPr>
  </w:style>
  <w:style w:type="character" w:customStyle="1" w:styleId="Heading4Char">
    <w:name w:val="Heading 4 Char"/>
    <w:aliases w:val="Summary heading Char"/>
    <w:basedOn w:val="DefaultParagraphFont"/>
    <w:link w:val="Heading4"/>
    <w:uiPriority w:val="9"/>
    <w:rsid w:val="00D14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E9A"/>
    <w:rPr>
      <w:rFonts w:eastAsiaTheme="majorEastAsia" w:cstheme="majorBidi"/>
      <w:color w:val="272727" w:themeColor="text1" w:themeTint="D8"/>
    </w:rPr>
  </w:style>
  <w:style w:type="paragraph" w:styleId="Title">
    <w:name w:val="Title"/>
    <w:basedOn w:val="Normal"/>
    <w:next w:val="Normal"/>
    <w:link w:val="TitleChar"/>
    <w:uiPriority w:val="10"/>
    <w:qFormat/>
    <w:rsid w:val="00D14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E9A"/>
    <w:pPr>
      <w:spacing w:before="160"/>
      <w:jc w:val="center"/>
    </w:pPr>
    <w:rPr>
      <w:i/>
      <w:iCs/>
      <w:color w:val="404040" w:themeColor="text1" w:themeTint="BF"/>
    </w:rPr>
  </w:style>
  <w:style w:type="character" w:customStyle="1" w:styleId="QuoteChar">
    <w:name w:val="Quote Char"/>
    <w:basedOn w:val="DefaultParagraphFont"/>
    <w:link w:val="Quote"/>
    <w:uiPriority w:val="29"/>
    <w:rsid w:val="00D14E9A"/>
    <w:rPr>
      <w:i/>
      <w:iCs/>
      <w:color w:val="404040" w:themeColor="text1" w:themeTint="BF"/>
    </w:rPr>
  </w:style>
  <w:style w:type="paragraph" w:styleId="ListParagraph">
    <w:name w:val="List Paragraph"/>
    <w:basedOn w:val="Normal"/>
    <w:uiPriority w:val="34"/>
    <w:qFormat/>
    <w:rsid w:val="00D14E9A"/>
    <w:pPr>
      <w:ind w:left="720"/>
      <w:contextualSpacing/>
    </w:pPr>
  </w:style>
  <w:style w:type="character" w:styleId="IntenseEmphasis">
    <w:name w:val="Intense Emphasis"/>
    <w:basedOn w:val="DefaultParagraphFont"/>
    <w:uiPriority w:val="21"/>
    <w:qFormat/>
    <w:rsid w:val="00D14E9A"/>
    <w:rPr>
      <w:i/>
      <w:iCs/>
      <w:color w:val="0F4761" w:themeColor="accent1" w:themeShade="BF"/>
    </w:rPr>
  </w:style>
  <w:style w:type="paragraph" w:styleId="IntenseQuote">
    <w:name w:val="Intense Quote"/>
    <w:basedOn w:val="Normal"/>
    <w:next w:val="Normal"/>
    <w:link w:val="IntenseQuoteChar"/>
    <w:uiPriority w:val="30"/>
    <w:qFormat/>
    <w:rsid w:val="00D14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E9A"/>
    <w:rPr>
      <w:i/>
      <w:iCs/>
      <w:color w:val="0F4761" w:themeColor="accent1" w:themeShade="BF"/>
    </w:rPr>
  </w:style>
  <w:style w:type="character" w:styleId="IntenseReference">
    <w:name w:val="Intense Reference"/>
    <w:basedOn w:val="DefaultParagraphFont"/>
    <w:uiPriority w:val="32"/>
    <w:qFormat/>
    <w:rsid w:val="00D14E9A"/>
    <w:rPr>
      <w:b/>
      <w:bCs/>
      <w:smallCaps/>
      <w:color w:val="0F4761" w:themeColor="accent1" w:themeShade="BF"/>
      <w:spacing w:val="5"/>
    </w:rPr>
  </w:style>
  <w:style w:type="paragraph" w:customStyle="1" w:styleId="HNAHeader1">
    <w:name w:val="HNA Header 1"/>
    <w:basedOn w:val="Normal"/>
    <w:link w:val="HNAHeader1Char"/>
    <w:qFormat/>
    <w:rsid w:val="00D14E9A"/>
  </w:style>
  <w:style w:type="character" w:customStyle="1" w:styleId="HNAHeader1Char">
    <w:name w:val="HNA Header 1 Char"/>
    <w:basedOn w:val="DefaultParagraphFont"/>
    <w:link w:val="HNAHeader1"/>
    <w:rsid w:val="00D14E9A"/>
  </w:style>
  <w:style w:type="paragraph" w:styleId="Header">
    <w:name w:val="header"/>
    <w:basedOn w:val="Normal"/>
    <w:link w:val="HeaderChar"/>
    <w:uiPriority w:val="99"/>
    <w:unhideWhenUsed/>
    <w:rsid w:val="00D54EA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54EA8"/>
  </w:style>
  <w:style w:type="paragraph" w:styleId="Footer">
    <w:name w:val="footer"/>
    <w:basedOn w:val="Normal"/>
    <w:link w:val="FooterChar"/>
    <w:uiPriority w:val="99"/>
    <w:unhideWhenUsed/>
    <w:rsid w:val="00D54EA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4EA8"/>
  </w:style>
  <w:style w:type="table" w:styleId="TableGrid">
    <w:name w:val="Table Grid"/>
    <w:basedOn w:val="TableNormal"/>
    <w:uiPriority w:val="59"/>
    <w:rsid w:val="00C07FBA"/>
    <w:pPr>
      <w:spacing w:after="0" w:line="240" w:lineRule="auto"/>
    </w:pPr>
    <w:tblPr/>
  </w:style>
  <w:style w:type="character" w:styleId="Hyperlink">
    <w:name w:val="Hyperlink"/>
    <w:basedOn w:val="DefaultParagraphFont"/>
    <w:uiPriority w:val="99"/>
    <w:unhideWhenUsed/>
    <w:rsid w:val="00A0325F"/>
    <w:rPr>
      <w:color w:val="467886"/>
      <w:u w:val="single"/>
    </w:rPr>
  </w:style>
  <w:style w:type="paragraph" w:styleId="CommentText">
    <w:name w:val="annotation text"/>
    <w:basedOn w:val="Normal"/>
    <w:link w:val="CommentTextChar"/>
    <w:uiPriority w:val="99"/>
    <w:unhideWhenUsed/>
    <w:rsid w:val="00A0325F"/>
    <w:pPr>
      <w:spacing w:line="240" w:lineRule="auto"/>
    </w:pPr>
    <w:rPr>
      <w:sz w:val="20"/>
      <w:szCs w:val="20"/>
    </w:rPr>
  </w:style>
  <w:style w:type="character" w:customStyle="1" w:styleId="CommentTextChar">
    <w:name w:val="Comment Text Char"/>
    <w:basedOn w:val="DefaultParagraphFont"/>
    <w:link w:val="CommentText"/>
    <w:uiPriority w:val="99"/>
    <w:rsid w:val="00A0325F"/>
    <w:rPr>
      <w:sz w:val="20"/>
      <w:szCs w:val="20"/>
    </w:rPr>
  </w:style>
  <w:style w:type="character" w:styleId="CommentReference">
    <w:name w:val="annotation reference"/>
    <w:basedOn w:val="DefaultParagraphFont"/>
    <w:uiPriority w:val="99"/>
    <w:semiHidden/>
    <w:unhideWhenUsed/>
    <w:rsid w:val="00A0325F"/>
    <w:rPr>
      <w:sz w:val="16"/>
      <w:szCs w:val="16"/>
    </w:rPr>
  </w:style>
  <w:style w:type="paragraph" w:customStyle="1" w:styleId="paragraph">
    <w:name w:val="paragraph"/>
    <w:basedOn w:val="Normal"/>
    <w:rsid w:val="00A0325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0325F"/>
  </w:style>
  <w:style w:type="character" w:customStyle="1" w:styleId="eop">
    <w:name w:val="eop"/>
    <w:basedOn w:val="DefaultParagraphFont"/>
    <w:rsid w:val="00A0325F"/>
  </w:style>
  <w:style w:type="paragraph" w:styleId="CommentSubject">
    <w:name w:val="annotation subject"/>
    <w:basedOn w:val="CommentText"/>
    <w:next w:val="CommentText"/>
    <w:link w:val="CommentSubjectChar"/>
    <w:uiPriority w:val="99"/>
    <w:semiHidden/>
    <w:unhideWhenUsed/>
    <w:rsid w:val="00A0325F"/>
    <w:rPr>
      <w:b/>
      <w:bCs/>
    </w:rPr>
  </w:style>
  <w:style w:type="character" w:customStyle="1" w:styleId="CommentSubjectChar">
    <w:name w:val="Comment Subject Char"/>
    <w:basedOn w:val="CommentTextChar"/>
    <w:link w:val="CommentSubject"/>
    <w:uiPriority w:val="99"/>
    <w:semiHidden/>
    <w:rsid w:val="00A0325F"/>
    <w:rPr>
      <w:b/>
      <w:bCs/>
      <w:sz w:val="20"/>
      <w:szCs w:val="20"/>
    </w:rPr>
  </w:style>
  <w:style w:type="character" w:styleId="Mention">
    <w:name w:val="Mention"/>
    <w:basedOn w:val="DefaultParagraphFont"/>
    <w:uiPriority w:val="99"/>
    <w:unhideWhenUsed/>
    <w:rsid w:val="00A0325F"/>
    <w:rPr>
      <w:color w:val="2B579A"/>
      <w:shd w:val="clear" w:color="auto" w:fill="E1DFDD"/>
    </w:rPr>
  </w:style>
  <w:style w:type="paragraph" w:customStyle="1" w:styleId="Style1">
    <w:name w:val="Style1"/>
    <w:basedOn w:val="Normal"/>
    <w:link w:val="Style1Char"/>
    <w:qFormat/>
    <w:rsid w:val="00A0325F"/>
    <w:pPr>
      <w:outlineLvl w:val="0"/>
    </w:pPr>
    <w:rPr>
      <w:b/>
      <w:sz w:val="28"/>
    </w:rPr>
  </w:style>
  <w:style w:type="character" w:customStyle="1" w:styleId="Style1Char">
    <w:name w:val="Style1 Char"/>
    <w:basedOn w:val="DefaultParagraphFont"/>
    <w:link w:val="Style1"/>
    <w:rsid w:val="00A0325F"/>
    <w:rPr>
      <w:b/>
      <w:sz w:val="28"/>
    </w:rPr>
  </w:style>
  <w:style w:type="paragraph" w:styleId="FootnoteText">
    <w:name w:val="footnote text"/>
    <w:basedOn w:val="Normal"/>
    <w:link w:val="FootnoteTextChar"/>
    <w:uiPriority w:val="99"/>
    <w:semiHidden/>
    <w:unhideWhenUsed/>
    <w:rsid w:val="00D877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7B2"/>
    <w:rPr>
      <w:sz w:val="20"/>
      <w:szCs w:val="20"/>
    </w:rPr>
  </w:style>
  <w:style w:type="character" w:styleId="FootnoteReference">
    <w:name w:val="footnote reference"/>
    <w:basedOn w:val="DefaultParagraphFont"/>
    <w:uiPriority w:val="99"/>
    <w:semiHidden/>
    <w:unhideWhenUsed/>
    <w:rsid w:val="00D877B2"/>
    <w:rPr>
      <w:vertAlign w:val="superscript"/>
    </w:rPr>
  </w:style>
  <w:style w:type="character" w:styleId="BookTitle">
    <w:name w:val="Book Title"/>
    <w:basedOn w:val="DefaultParagraphFont"/>
    <w:uiPriority w:val="33"/>
    <w:qFormat/>
    <w:rsid w:val="004C4F0F"/>
    <w:rPr>
      <w:b/>
      <w:bCs/>
      <w:i/>
      <w:iCs/>
      <w:spacing w:val="5"/>
    </w:rPr>
  </w:style>
  <w:style w:type="character" w:styleId="UnresolvedMention">
    <w:name w:val="Unresolved Mention"/>
    <w:basedOn w:val="DefaultParagraphFont"/>
    <w:uiPriority w:val="99"/>
    <w:semiHidden/>
    <w:unhideWhenUsed/>
    <w:rsid w:val="00A62082"/>
    <w:rPr>
      <w:color w:val="605E5C"/>
      <w:shd w:val="clear" w:color="auto" w:fill="E1DFDD"/>
    </w:rPr>
  </w:style>
  <w:style w:type="paragraph" w:styleId="NormalWeb">
    <w:name w:val="Normal (Web)"/>
    <w:basedOn w:val="Normal"/>
    <w:uiPriority w:val="99"/>
    <w:semiHidden/>
    <w:unhideWhenUsed/>
    <w:rsid w:val="006C2E7C"/>
    <w:rPr>
      <w:rFonts w:ascii="Times New Roman" w:hAnsi="Times New Roman" w:cs="Times New Roman"/>
    </w:rPr>
  </w:style>
  <w:style w:type="paragraph" w:styleId="TOC1">
    <w:name w:val="toc 1"/>
    <w:basedOn w:val="Normal"/>
    <w:next w:val="Normal"/>
    <w:autoRedefine/>
    <w:uiPriority w:val="39"/>
    <w:unhideWhenUsed/>
    <w:rsid w:val="00A2762D"/>
    <w:pPr>
      <w:spacing w:after="100"/>
    </w:pPr>
  </w:style>
  <w:style w:type="paragraph" w:styleId="TOC2">
    <w:name w:val="toc 2"/>
    <w:basedOn w:val="Normal"/>
    <w:next w:val="Normal"/>
    <w:autoRedefine/>
    <w:uiPriority w:val="39"/>
    <w:unhideWhenUsed/>
    <w:rsid w:val="00036FA4"/>
    <w:pPr>
      <w:spacing w:after="100"/>
      <w:ind w:left="240"/>
    </w:pPr>
  </w:style>
  <w:style w:type="character" w:styleId="FollowedHyperlink">
    <w:name w:val="FollowedHyperlink"/>
    <w:basedOn w:val="DefaultParagraphFont"/>
    <w:uiPriority w:val="99"/>
    <w:semiHidden/>
    <w:unhideWhenUsed/>
    <w:rsid w:val="00504C9B"/>
    <w:rPr>
      <w:color w:val="96607D" w:themeColor="followedHyperlink"/>
      <w:u w:val="single"/>
    </w:rPr>
  </w:style>
  <w:style w:type="paragraph" w:styleId="TOCHeading">
    <w:name w:val="TOC Heading"/>
    <w:basedOn w:val="Heading1"/>
    <w:next w:val="Normal"/>
    <w:uiPriority w:val="39"/>
    <w:unhideWhenUsed/>
    <w:qFormat/>
    <w:rsid w:val="009060EB"/>
    <w:pPr>
      <w:keepNext/>
      <w:keepLines/>
      <w:numPr>
        <w:numId w:val="0"/>
      </w:numPr>
      <w:spacing w:before="240" w:after="0" w:line="259" w:lineRule="auto"/>
      <w:outlineLvl w:val="9"/>
    </w:pPr>
    <w:rPr>
      <w:rFonts w:asciiTheme="majorHAnsi" w:eastAsiaTheme="majorEastAsia" w:hAnsiTheme="majorHAnsi" w:cstheme="majorBidi"/>
      <w:b w:val="0"/>
      <w:bCs w:val="0"/>
      <w:color w:val="0F4761" w:themeColor="accent1" w:themeShade="BF"/>
      <w:kern w:val="0"/>
      <w:sz w:val="32"/>
      <w:szCs w:val="32"/>
      <w:u w:val="none"/>
      <w:lang w:val="en-US"/>
      <w14:ligatures w14:val="none"/>
    </w:rPr>
  </w:style>
  <w:style w:type="paragraph" w:styleId="TOC3">
    <w:name w:val="toc 3"/>
    <w:basedOn w:val="Normal"/>
    <w:next w:val="Normal"/>
    <w:autoRedefine/>
    <w:uiPriority w:val="39"/>
    <w:unhideWhenUsed/>
    <w:rsid w:val="009060EB"/>
    <w:pPr>
      <w:spacing w:after="100"/>
      <w:ind w:left="480"/>
    </w:pPr>
  </w:style>
  <w:style w:type="paragraph" w:styleId="TOC4">
    <w:name w:val="toc 4"/>
    <w:basedOn w:val="Normal"/>
    <w:next w:val="Normal"/>
    <w:autoRedefine/>
    <w:uiPriority w:val="39"/>
    <w:unhideWhenUsed/>
    <w:rsid w:val="009060EB"/>
    <w:pPr>
      <w:spacing w:after="100"/>
      <w:ind w:left="720"/>
    </w:pPr>
    <w:rPr>
      <w:rFonts w:eastAsiaTheme="minorEastAsia"/>
      <w:lang w:eastAsia="en-GB"/>
    </w:rPr>
  </w:style>
  <w:style w:type="paragraph" w:styleId="TOC5">
    <w:name w:val="toc 5"/>
    <w:basedOn w:val="Normal"/>
    <w:next w:val="Normal"/>
    <w:autoRedefine/>
    <w:uiPriority w:val="39"/>
    <w:unhideWhenUsed/>
    <w:rsid w:val="009060EB"/>
    <w:pPr>
      <w:spacing w:after="100"/>
      <w:ind w:left="960"/>
    </w:pPr>
    <w:rPr>
      <w:rFonts w:eastAsiaTheme="minorEastAsia"/>
      <w:lang w:eastAsia="en-GB"/>
    </w:rPr>
  </w:style>
  <w:style w:type="paragraph" w:styleId="TOC6">
    <w:name w:val="toc 6"/>
    <w:basedOn w:val="Normal"/>
    <w:next w:val="Normal"/>
    <w:autoRedefine/>
    <w:uiPriority w:val="39"/>
    <w:unhideWhenUsed/>
    <w:rsid w:val="009060EB"/>
    <w:pPr>
      <w:spacing w:after="100"/>
      <w:ind w:left="1200"/>
    </w:pPr>
    <w:rPr>
      <w:rFonts w:eastAsiaTheme="minorEastAsia"/>
      <w:lang w:eastAsia="en-GB"/>
    </w:rPr>
  </w:style>
  <w:style w:type="paragraph" w:styleId="TOC7">
    <w:name w:val="toc 7"/>
    <w:basedOn w:val="Normal"/>
    <w:next w:val="Normal"/>
    <w:autoRedefine/>
    <w:uiPriority w:val="39"/>
    <w:unhideWhenUsed/>
    <w:rsid w:val="009060EB"/>
    <w:pPr>
      <w:spacing w:after="100"/>
      <w:ind w:left="1440"/>
    </w:pPr>
    <w:rPr>
      <w:rFonts w:eastAsiaTheme="minorEastAsia"/>
      <w:lang w:eastAsia="en-GB"/>
    </w:rPr>
  </w:style>
  <w:style w:type="paragraph" w:styleId="TOC8">
    <w:name w:val="toc 8"/>
    <w:basedOn w:val="Normal"/>
    <w:next w:val="Normal"/>
    <w:autoRedefine/>
    <w:uiPriority w:val="39"/>
    <w:unhideWhenUsed/>
    <w:rsid w:val="009060EB"/>
    <w:pPr>
      <w:spacing w:after="100"/>
      <w:ind w:left="1680"/>
    </w:pPr>
    <w:rPr>
      <w:rFonts w:eastAsiaTheme="minorEastAsia"/>
      <w:lang w:eastAsia="en-GB"/>
    </w:rPr>
  </w:style>
  <w:style w:type="paragraph" w:styleId="TOC9">
    <w:name w:val="toc 9"/>
    <w:basedOn w:val="Normal"/>
    <w:next w:val="Normal"/>
    <w:autoRedefine/>
    <w:uiPriority w:val="39"/>
    <w:unhideWhenUsed/>
    <w:rsid w:val="009060EB"/>
    <w:pPr>
      <w:spacing w:after="100"/>
      <w:ind w:left="192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365">
      <w:bodyDiv w:val="1"/>
      <w:marLeft w:val="0"/>
      <w:marRight w:val="0"/>
      <w:marTop w:val="0"/>
      <w:marBottom w:val="0"/>
      <w:divBdr>
        <w:top w:val="none" w:sz="0" w:space="0" w:color="auto"/>
        <w:left w:val="none" w:sz="0" w:space="0" w:color="auto"/>
        <w:bottom w:val="none" w:sz="0" w:space="0" w:color="auto"/>
        <w:right w:val="none" w:sz="0" w:space="0" w:color="auto"/>
      </w:divBdr>
    </w:div>
    <w:div w:id="45180166">
      <w:bodyDiv w:val="1"/>
      <w:marLeft w:val="0"/>
      <w:marRight w:val="0"/>
      <w:marTop w:val="0"/>
      <w:marBottom w:val="0"/>
      <w:divBdr>
        <w:top w:val="none" w:sz="0" w:space="0" w:color="auto"/>
        <w:left w:val="none" w:sz="0" w:space="0" w:color="auto"/>
        <w:bottom w:val="none" w:sz="0" w:space="0" w:color="auto"/>
        <w:right w:val="none" w:sz="0" w:space="0" w:color="auto"/>
      </w:divBdr>
    </w:div>
    <w:div w:id="54932357">
      <w:bodyDiv w:val="1"/>
      <w:marLeft w:val="0"/>
      <w:marRight w:val="0"/>
      <w:marTop w:val="0"/>
      <w:marBottom w:val="0"/>
      <w:divBdr>
        <w:top w:val="none" w:sz="0" w:space="0" w:color="auto"/>
        <w:left w:val="none" w:sz="0" w:space="0" w:color="auto"/>
        <w:bottom w:val="none" w:sz="0" w:space="0" w:color="auto"/>
        <w:right w:val="none" w:sz="0" w:space="0" w:color="auto"/>
      </w:divBdr>
    </w:div>
    <w:div w:id="92433553">
      <w:bodyDiv w:val="1"/>
      <w:marLeft w:val="0"/>
      <w:marRight w:val="0"/>
      <w:marTop w:val="0"/>
      <w:marBottom w:val="0"/>
      <w:divBdr>
        <w:top w:val="none" w:sz="0" w:space="0" w:color="auto"/>
        <w:left w:val="none" w:sz="0" w:space="0" w:color="auto"/>
        <w:bottom w:val="none" w:sz="0" w:space="0" w:color="auto"/>
        <w:right w:val="none" w:sz="0" w:space="0" w:color="auto"/>
      </w:divBdr>
    </w:div>
    <w:div w:id="163710532">
      <w:bodyDiv w:val="1"/>
      <w:marLeft w:val="0"/>
      <w:marRight w:val="0"/>
      <w:marTop w:val="0"/>
      <w:marBottom w:val="0"/>
      <w:divBdr>
        <w:top w:val="none" w:sz="0" w:space="0" w:color="auto"/>
        <w:left w:val="none" w:sz="0" w:space="0" w:color="auto"/>
        <w:bottom w:val="none" w:sz="0" w:space="0" w:color="auto"/>
        <w:right w:val="none" w:sz="0" w:space="0" w:color="auto"/>
      </w:divBdr>
    </w:div>
    <w:div w:id="198127631">
      <w:bodyDiv w:val="1"/>
      <w:marLeft w:val="0"/>
      <w:marRight w:val="0"/>
      <w:marTop w:val="0"/>
      <w:marBottom w:val="0"/>
      <w:divBdr>
        <w:top w:val="none" w:sz="0" w:space="0" w:color="auto"/>
        <w:left w:val="none" w:sz="0" w:space="0" w:color="auto"/>
        <w:bottom w:val="none" w:sz="0" w:space="0" w:color="auto"/>
        <w:right w:val="none" w:sz="0" w:space="0" w:color="auto"/>
      </w:divBdr>
    </w:div>
    <w:div w:id="234827582">
      <w:bodyDiv w:val="1"/>
      <w:marLeft w:val="0"/>
      <w:marRight w:val="0"/>
      <w:marTop w:val="0"/>
      <w:marBottom w:val="0"/>
      <w:divBdr>
        <w:top w:val="none" w:sz="0" w:space="0" w:color="auto"/>
        <w:left w:val="none" w:sz="0" w:space="0" w:color="auto"/>
        <w:bottom w:val="none" w:sz="0" w:space="0" w:color="auto"/>
        <w:right w:val="none" w:sz="0" w:space="0" w:color="auto"/>
      </w:divBdr>
    </w:div>
    <w:div w:id="242646831">
      <w:bodyDiv w:val="1"/>
      <w:marLeft w:val="0"/>
      <w:marRight w:val="0"/>
      <w:marTop w:val="0"/>
      <w:marBottom w:val="0"/>
      <w:divBdr>
        <w:top w:val="none" w:sz="0" w:space="0" w:color="auto"/>
        <w:left w:val="none" w:sz="0" w:space="0" w:color="auto"/>
        <w:bottom w:val="none" w:sz="0" w:space="0" w:color="auto"/>
        <w:right w:val="none" w:sz="0" w:space="0" w:color="auto"/>
      </w:divBdr>
    </w:div>
    <w:div w:id="272059415">
      <w:bodyDiv w:val="1"/>
      <w:marLeft w:val="0"/>
      <w:marRight w:val="0"/>
      <w:marTop w:val="0"/>
      <w:marBottom w:val="0"/>
      <w:divBdr>
        <w:top w:val="none" w:sz="0" w:space="0" w:color="auto"/>
        <w:left w:val="none" w:sz="0" w:space="0" w:color="auto"/>
        <w:bottom w:val="none" w:sz="0" w:space="0" w:color="auto"/>
        <w:right w:val="none" w:sz="0" w:space="0" w:color="auto"/>
      </w:divBdr>
    </w:div>
    <w:div w:id="323238576">
      <w:bodyDiv w:val="1"/>
      <w:marLeft w:val="0"/>
      <w:marRight w:val="0"/>
      <w:marTop w:val="0"/>
      <w:marBottom w:val="0"/>
      <w:divBdr>
        <w:top w:val="none" w:sz="0" w:space="0" w:color="auto"/>
        <w:left w:val="none" w:sz="0" w:space="0" w:color="auto"/>
        <w:bottom w:val="none" w:sz="0" w:space="0" w:color="auto"/>
        <w:right w:val="none" w:sz="0" w:space="0" w:color="auto"/>
      </w:divBdr>
    </w:div>
    <w:div w:id="329140227">
      <w:bodyDiv w:val="1"/>
      <w:marLeft w:val="0"/>
      <w:marRight w:val="0"/>
      <w:marTop w:val="0"/>
      <w:marBottom w:val="0"/>
      <w:divBdr>
        <w:top w:val="none" w:sz="0" w:space="0" w:color="auto"/>
        <w:left w:val="none" w:sz="0" w:space="0" w:color="auto"/>
        <w:bottom w:val="none" w:sz="0" w:space="0" w:color="auto"/>
        <w:right w:val="none" w:sz="0" w:space="0" w:color="auto"/>
      </w:divBdr>
      <w:divsChild>
        <w:div w:id="492913953">
          <w:marLeft w:val="446"/>
          <w:marRight w:val="0"/>
          <w:marTop w:val="0"/>
          <w:marBottom w:val="0"/>
          <w:divBdr>
            <w:top w:val="none" w:sz="0" w:space="0" w:color="auto"/>
            <w:left w:val="none" w:sz="0" w:space="0" w:color="auto"/>
            <w:bottom w:val="none" w:sz="0" w:space="0" w:color="auto"/>
            <w:right w:val="none" w:sz="0" w:space="0" w:color="auto"/>
          </w:divBdr>
        </w:div>
        <w:div w:id="498497819">
          <w:marLeft w:val="446"/>
          <w:marRight w:val="0"/>
          <w:marTop w:val="0"/>
          <w:marBottom w:val="0"/>
          <w:divBdr>
            <w:top w:val="none" w:sz="0" w:space="0" w:color="auto"/>
            <w:left w:val="none" w:sz="0" w:space="0" w:color="auto"/>
            <w:bottom w:val="none" w:sz="0" w:space="0" w:color="auto"/>
            <w:right w:val="none" w:sz="0" w:space="0" w:color="auto"/>
          </w:divBdr>
        </w:div>
        <w:div w:id="2092504912">
          <w:marLeft w:val="446"/>
          <w:marRight w:val="0"/>
          <w:marTop w:val="0"/>
          <w:marBottom w:val="0"/>
          <w:divBdr>
            <w:top w:val="none" w:sz="0" w:space="0" w:color="auto"/>
            <w:left w:val="none" w:sz="0" w:space="0" w:color="auto"/>
            <w:bottom w:val="none" w:sz="0" w:space="0" w:color="auto"/>
            <w:right w:val="none" w:sz="0" w:space="0" w:color="auto"/>
          </w:divBdr>
        </w:div>
        <w:div w:id="2106074649">
          <w:marLeft w:val="446"/>
          <w:marRight w:val="0"/>
          <w:marTop w:val="0"/>
          <w:marBottom w:val="0"/>
          <w:divBdr>
            <w:top w:val="none" w:sz="0" w:space="0" w:color="auto"/>
            <w:left w:val="none" w:sz="0" w:space="0" w:color="auto"/>
            <w:bottom w:val="none" w:sz="0" w:space="0" w:color="auto"/>
            <w:right w:val="none" w:sz="0" w:space="0" w:color="auto"/>
          </w:divBdr>
        </w:div>
      </w:divsChild>
    </w:div>
    <w:div w:id="337345706">
      <w:bodyDiv w:val="1"/>
      <w:marLeft w:val="0"/>
      <w:marRight w:val="0"/>
      <w:marTop w:val="0"/>
      <w:marBottom w:val="0"/>
      <w:divBdr>
        <w:top w:val="none" w:sz="0" w:space="0" w:color="auto"/>
        <w:left w:val="none" w:sz="0" w:space="0" w:color="auto"/>
        <w:bottom w:val="none" w:sz="0" w:space="0" w:color="auto"/>
        <w:right w:val="none" w:sz="0" w:space="0" w:color="auto"/>
      </w:divBdr>
    </w:div>
    <w:div w:id="362367771">
      <w:bodyDiv w:val="1"/>
      <w:marLeft w:val="0"/>
      <w:marRight w:val="0"/>
      <w:marTop w:val="0"/>
      <w:marBottom w:val="0"/>
      <w:divBdr>
        <w:top w:val="none" w:sz="0" w:space="0" w:color="auto"/>
        <w:left w:val="none" w:sz="0" w:space="0" w:color="auto"/>
        <w:bottom w:val="none" w:sz="0" w:space="0" w:color="auto"/>
        <w:right w:val="none" w:sz="0" w:space="0" w:color="auto"/>
      </w:divBdr>
      <w:divsChild>
        <w:div w:id="628322092">
          <w:marLeft w:val="446"/>
          <w:marRight w:val="0"/>
          <w:marTop w:val="0"/>
          <w:marBottom w:val="0"/>
          <w:divBdr>
            <w:top w:val="none" w:sz="0" w:space="0" w:color="auto"/>
            <w:left w:val="none" w:sz="0" w:space="0" w:color="auto"/>
            <w:bottom w:val="none" w:sz="0" w:space="0" w:color="auto"/>
            <w:right w:val="none" w:sz="0" w:space="0" w:color="auto"/>
          </w:divBdr>
        </w:div>
        <w:div w:id="672538596">
          <w:marLeft w:val="446"/>
          <w:marRight w:val="0"/>
          <w:marTop w:val="0"/>
          <w:marBottom w:val="0"/>
          <w:divBdr>
            <w:top w:val="none" w:sz="0" w:space="0" w:color="auto"/>
            <w:left w:val="none" w:sz="0" w:space="0" w:color="auto"/>
            <w:bottom w:val="none" w:sz="0" w:space="0" w:color="auto"/>
            <w:right w:val="none" w:sz="0" w:space="0" w:color="auto"/>
          </w:divBdr>
        </w:div>
        <w:div w:id="714427623">
          <w:marLeft w:val="446"/>
          <w:marRight w:val="0"/>
          <w:marTop w:val="0"/>
          <w:marBottom w:val="0"/>
          <w:divBdr>
            <w:top w:val="none" w:sz="0" w:space="0" w:color="auto"/>
            <w:left w:val="none" w:sz="0" w:space="0" w:color="auto"/>
            <w:bottom w:val="none" w:sz="0" w:space="0" w:color="auto"/>
            <w:right w:val="none" w:sz="0" w:space="0" w:color="auto"/>
          </w:divBdr>
        </w:div>
        <w:div w:id="998532835">
          <w:marLeft w:val="446"/>
          <w:marRight w:val="0"/>
          <w:marTop w:val="0"/>
          <w:marBottom w:val="0"/>
          <w:divBdr>
            <w:top w:val="none" w:sz="0" w:space="0" w:color="auto"/>
            <w:left w:val="none" w:sz="0" w:space="0" w:color="auto"/>
            <w:bottom w:val="none" w:sz="0" w:space="0" w:color="auto"/>
            <w:right w:val="none" w:sz="0" w:space="0" w:color="auto"/>
          </w:divBdr>
        </w:div>
        <w:div w:id="1240139231">
          <w:marLeft w:val="446"/>
          <w:marRight w:val="0"/>
          <w:marTop w:val="0"/>
          <w:marBottom w:val="0"/>
          <w:divBdr>
            <w:top w:val="none" w:sz="0" w:space="0" w:color="auto"/>
            <w:left w:val="none" w:sz="0" w:space="0" w:color="auto"/>
            <w:bottom w:val="none" w:sz="0" w:space="0" w:color="auto"/>
            <w:right w:val="none" w:sz="0" w:space="0" w:color="auto"/>
          </w:divBdr>
        </w:div>
        <w:div w:id="1275593169">
          <w:marLeft w:val="446"/>
          <w:marRight w:val="0"/>
          <w:marTop w:val="0"/>
          <w:marBottom w:val="0"/>
          <w:divBdr>
            <w:top w:val="none" w:sz="0" w:space="0" w:color="auto"/>
            <w:left w:val="none" w:sz="0" w:space="0" w:color="auto"/>
            <w:bottom w:val="none" w:sz="0" w:space="0" w:color="auto"/>
            <w:right w:val="none" w:sz="0" w:space="0" w:color="auto"/>
          </w:divBdr>
        </w:div>
        <w:div w:id="1377125977">
          <w:marLeft w:val="446"/>
          <w:marRight w:val="0"/>
          <w:marTop w:val="0"/>
          <w:marBottom w:val="0"/>
          <w:divBdr>
            <w:top w:val="none" w:sz="0" w:space="0" w:color="auto"/>
            <w:left w:val="none" w:sz="0" w:space="0" w:color="auto"/>
            <w:bottom w:val="none" w:sz="0" w:space="0" w:color="auto"/>
            <w:right w:val="none" w:sz="0" w:space="0" w:color="auto"/>
          </w:divBdr>
        </w:div>
        <w:div w:id="2080324329">
          <w:marLeft w:val="446"/>
          <w:marRight w:val="0"/>
          <w:marTop w:val="0"/>
          <w:marBottom w:val="0"/>
          <w:divBdr>
            <w:top w:val="none" w:sz="0" w:space="0" w:color="auto"/>
            <w:left w:val="none" w:sz="0" w:space="0" w:color="auto"/>
            <w:bottom w:val="none" w:sz="0" w:space="0" w:color="auto"/>
            <w:right w:val="none" w:sz="0" w:space="0" w:color="auto"/>
          </w:divBdr>
        </w:div>
      </w:divsChild>
    </w:div>
    <w:div w:id="364332343">
      <w:bodyDiv w:val="1"/>
      <w:marLeft w:val="0"/>
      <w:marRight w:val="0"/>
      <w:marTop w:val="0"/>
      <w:marBottom w:val="0"/>
      <w:divBdr>
        <w:top w:val="none" w:sz="0" w:space="0" w:color="auto"/>
        <w:left w:val="none" w:sz="0" w:space="0" w:color="auto"/>
        <w:bottom w:val="none" w:sz="0" w:space="0" w:color="auto"/>
        <w:right w:val="none" w:sz="0" w:space="0" w:color="auto"/>
      </w:divBdr>
    </w:div>
    <w:div w:id="405609939">
      <w:bodyDiv w:val="1"/>
      <w:marLeft w:val="0"/>
      <w:marRight w:val="0"/>
      <w:marTop w:val="0"/>
      <w:marBottom w:val="0"/>
      <w:divBdr>
        <w:top w:val="none" w:sz="0" w:space="0" w:color="auto"/>
        <w:left w:val="none" w:sz="0" w:space="0" w:color="auto"/>
        <w:bottom w:val="none" w:sz="0" w:space="0" w:color="auto"/>
        <w:right w:val="none" w:sz="0" w:space="0" w:color="auto"/>
      </w:divBdr>
      <w:divsChild>
        <w:div w:id="77093151">
          <w:marLeft w:val="446"/>
          <w:marRight w:val="0"/>
          <w:marTop w:val="0"/>
          <w:marBottom w:val="0"/>
          <w:divBdr>
            <w:top w:val="none" w:sz="0" w:space="0" w:color="auto"/>
            <w:left w:val="none" w:sz="0" w:space="0" w:color="auto"/>
            <w:bottom w:val="none" w:sz="0" w:space="0" w:color="auto"/>
            <w:right w:val="none" w:sz="0" w:space="0" w:color="auto"/>
          </w:divBdr>
        </w:div>
        <w:div w:id="391150376">
          <w:marLeft w:val="446"/>
          <w:marRight w:val="0"/>
          <w:marTop w:val="0"/>
          <w:marBottom w:val="0"/>
          <w:divBdr>
            <w:top w:val="none" w:sz="0" w:space="0" w:color="auto"/>
            <w:left w:val="none" w:sz="0" w:space="0" w:color="auto"/>
            <w:bottom w:val="none" w:sz="0" w:space="0" w:color="auto"/>
            <w:right w:val="none" w:sz="0" w:space="0" w:color="auto"/>
          </w:divBdr>
        </w:div>
        <w:div w:id="749884374">
          <w:marLeft w:val="446"/>
          <w:marRight w:val="0"/>
          <w:marTop w:val="0"/>
          <w:marBottom w:val="0"/>
          <w:divBdr>
            <w:top w:val="none" w:sz="0" w:space="0" w:color="auto"/>
            <w:left w:val="none" w:sz="0" w:space="0" w:color="auto"/>
            <w:bottom w:val="none" w:sz="0" w:space="0" w:color="auto"/>
            <w:right w:val="none" w:sz="0" w:space="0" w:color="auto"/>
          </w:divBdr>
        </w:div>
        <w:div w:id="851455116">
          <w:marLeft w:val="446"/>
          <w:marRight w:val="0"/>
          <w:marTop w:val="0"/>
          <w:marBottom w:val="0"/>
          <w:divBdr>
            <w:top w:val="none" w:sz="0" w:space="0" w:color="auto"/>
            <w:left w:val="none" w:sz="0" w:space="0" w:color="auto"/>
            <w:bottom w:val="none" w:sz="0" w:space="0" w:color="auto"/>
            <w:right w:val="none" w:sz="0" w:space="0" w:color="auto"/>
          </w:divBdr>
        </w:div>
        <w:div w:id="1106117765">
          <w:marLeft w:val="446"/>
          <w:marRight w:val="0"/>
          <w:marTop w:val="0"/>
          <w:marBottom w:val="0"/>
          <w:divBdr>
            <w:top w:val="none" w:sz="0" w:space="0" w:color="auto"/>
            <w:left w:val="none" w:sz="0" w:space="0" w:color="auto"/>
            <w:bottom w:val="none" w:sz="0" w:space="0" w:color="auto"/>
            <w:right w:val="none" w:sz="0" w:space="0" w:color="auto"/>
          </w:divBdr>
        </w:div>
        <w:div w:id="1425610735">
          <w:marLeft w:val="446"/>
          <w:marRight w:val="0"/>
          <w:marTop w:val="0"/>
          <w:marBottom w:val="0"/>
          <w:divBdr>
            <w:top w:val="none" w:sz="0" w:space="0" w:color="auto"/>
            <w:left w:val="none" w:sz="0" w:space="0" w:color="auto"/>
            <w:bottom w:val="none" w:sz="0" w:space="0" w:color="auto"/>
            <w:right w:val="none" w:sz="0" w:space="0" w:color="auto"/>
          </w:divBdr>
        </w:div>
        <w:div w:id="1728918537">
          <w:marLeft w:val="446"/>
          <w:marRight w:val="0"/>
          <w:marTop w:val="0"/>
          <w:marBottom w:val="0"/>
          <w:divBdr>
            <w:top w:val="none" w:sz="0" w:space="0" w:color="auto"/>
            <w:left w:val="none" w:sz="0" w:space="0" w:color="auto"/>
            <w:bottom w:val="none" w:sz="0" w:space="0" w:color="auto"/>
            <w:right w:val="none" w:sz="0" w:space="0" w:color="auto"/>
          </w:divBdr>
        </w:div>
        <w:div w:id="2074505378">
          <w:marLeft w:val="446"/>
          <w:marRight w:val="0"/>
          <w:marTop w:val="0"/>
          <w:marBottom w:val="0"/>
          <w:divBdr>
            <w:top w:val="none" w:sz="0" w:space="0" w:color="auto"/>
            <w:left w:val="none" w:sz="0" w:space="0" w:color="auto"/>
            <w:bottom w:val="none" w:sz="0" w:space="0" w:color="auto"/>
            <w:right w:val="none" w:sz="0" w:space="0" w:color="auto"/>
          </w:divBdr>
        </w:div>
      </w:divsChild>
    </w:div>
    <w:div w:id="430005874">
      <w:bodyDiv w:val="1"/>
      <w:marLeft w:val="0"/>
      <w:marRight w:val="0"/>
      <w:marTop w:val="0"/>
      <w:marBottom w:val="0"/>
      <w:divBdr>
        <w:top w:val="none" w:sz="0" w:space="0" w:color="auto"/>
        <w:left w:val="none" w:sz="0" w:space="0" w:color="auto"/>
        <w:bottom w:val="none" w:sz="0" w:space="0" w:color="auto"/>
        <w:right w:val="none" w:sz="0" w:space="0" w:color="auto"/>
      </w:divBdr>
      <w:divsChild>
        <w:div w:id="546257017">
          <w:marLeft w:val="0"/>
          <w:marRight w:val="0"/>
          <w:marTop w:val="0"/>
          <w:marBottom w:val="0"/>
          <w:divBdr>
            <w:top w:val="none" w:sz="0" w:space="0" w:color="auto"/>
            <w:left w:val="none" w:sz="0" w:space="0" w:color="auto"/>
            <w:bottom w:val="none" w:sz="0" w:space="0" w:color="auto"/>
            <w:right w:val="none" w:sz="0" w:space="0" w:color="auto"/>
          </w:divBdr>
        </w:div>
      </w:divsChild>
    </w:div>
    <w:div w:id="454982646">
      <w:bodyDiv w:val="1"/>
      <w:marLeft w:val="0"/>
      <w:marRight w:val="0"/>
      <w:marTop w:val="0"/>
      <w:marBottom w:val="0"/>
      <w:divBdr>
        <w:top w:val="none" w:sz="0" w:space="0" w:color="auto"/>
        <w:left w:val="none" w:sz="0" w:space="0" w:color="auto"/>
        <w:bottom w:val="none" w:sz="0" w:space="0" w:color="auto"/>
        <w:right w:val="none" w:sz="0" w:space="0" w:color="auto"/>
      </w:divBdr>
      <w:divsChild>
        <w:div w:id="282662877">
          <w:marLeft w:val="0"/>
          <w:marRight w:val="0"/>
          <w:marTop w:val="0"/>
          <w:marBottom w:val="0"/>
          <w:divBdr>
            <w:top w:val="none" w:sz="0" w:space="0" w:color="auto"/>
            <w:left w:val="none" w:sz="0" w:space="0" w:color="auto"/>
            <w:bottom w:val="none" w:sz="0" w:space="0" w:color="auto"/>
            <w:right w:val="none" w:sz="0" w:space="0" w:color="auto"/>
          </w:divBdr>
        </w:div>
      </w:divsChild>
    </w:div>
    <w:div w:id="475414788">
      <w:bodyDiv w:val="1"/>
      <w:marLeft w:val="0"/>
      <w:marRight w:val="0"/>
      <w:marTop w:val="0"/>
      <w:marBottom w:val="0"/>
      <w:divBdr>
        <w:top w:val="none" w:sz="0" w:space="0" w:color="auto"/>
        <w:left w:val="none" w:sz="0" w:space="0" w:color="auto"/>
        <w:bottom w:val="none" w:sz="0" w:space="0" w:color="auto"/>
        <w:right w:val="none" w:sz="0" w:space="0" w:color="auto"/>
      </w:divBdr>
      <w:divsChild>
        <w:div w:id="531577782">
          <w:marLeft w:val="86"/>
          <w:marRight w:val="0"/>
          <w:marTop w:val="0"/>
          <w:marBottom w:val="0"/>
          <w:divBdr>
            <w:top w:val="none" w:sz="0" w:space="0" w:color="auto"/>
            <w:left w:val="none" w:sz="0" w:space="0" w:color="auto"/>
            <w:bottom w:val="none" w:sz="0" w:space="0" w:color="auto"/>
            <w:right w:val="none" w:sz="0" w:space="0" w:color="auto"/>
          </w:divBdr>
        </w:div>
        <w:div w:id="607781744">
          <w:marLeft w:val="86"/>
          <w:marRight w:val="0"/>
          <w:marTop w:val="0"/>
          <w:marBottom w:val="0"/>
          <w:divBdr>
            <w:top w:val="none" w:sz="0" w:space="0" w:color="auto"/>
            <w:left w:val="none" w:sz="0" w:space="0" w:color="auto"/>
            <w:bottom w:val="none" w:sz="0" w:space="0" w:color="auto"/>
            <w:right w:val="none" w:sz="0" w:space="0" w:color="auto"/>
          </w:divBdr>
        </w:div>
        <w:div w:id="921448761">
          <w:marLeft w:val="86"/>
          <w:marRight w:val="0"/>
          <w:marTop w:val="0"/>
          <w:marBottom w:val="0"/>
          <w:divBdr>
            <w:top w:val="none" w:sz="0" w:space="0" w:color="auto"/>
            <w:left w:val="none" w:sz="0" w:space="0" w:color="auto"/>
            <w:bottom w:val="none" w:sz="0" w:space="0" w:color="auto"/>
            <w:right w:val="none" w:sz="0" w:space="0" w:color="auto"/>
          </w:divBdr>
        </w:div>
        <w:div w:id="1088428174">
          <w:marLeft w:val="86"/>
          <w:marRight w:val="0"/>
          <w:marTop w:val="0"/>
          <w:marBottom w:val="0"/>
          <w:divBdr>
            <w:top w:val="none" w:sz="0" w:space="0" w:color="auto"/>
            <w:left w:val="none" w:sz="0" w:space="0" w:color="auto"/>
            <w:bottom w:val="none" w:sz="0" w:space="0" w:color="auto"/>
            <w:right w:val="none" w:sz="0" w:space="0" w:color="auto"/>
          </w:divBdr>
        </w:div>
        <w:div w:id="1330448110">
          <w:marLeft w:val="86"/>
          <w:marRight w:val="0"/>
          <w:marTop w:val="0"/>
          <w:marBottom w:val="0"/>
          <w:divBdr>
            <w:top w:val="none" w:sz="0" w:space="0" w:color="auto"/>
            <w:left w:val="none" w:sz="0" w:space="0" w:color="auto"/>
            <w:bottom w:val="none" w:sz="0" w:space="0" w:color="auto"/>
            <w:right w:val="none" w:sz="0" w:space="0" w:color="auto"/>
          </w:divBdr>
        </w:div>
        <w:div w:id="2083213837">
          <w:marLeft w:val="86"/>
          <w:marRight w:val="0"/>
          <w:marTop w:val="0"/>
          <w:marBottom w:val="0"/>
          <w:divBdr>
            <w:top w:val="none" w:sz="0" w:space="0" w:color="auto"/>
            <w:left w:val="none" w:sz="0" w:space="0" w:color="auto"/>
            <w:bottom w:val="none" w:sz="0" w:space="0" w:color="auto"/>
            <w:right w:val="none" w:sz="0" w:space="0" w:color="auto"/>
          </w:divBdr>
        </w:div>
      </w:divsChild>
    </w:div>
    <w:div w:id="493574579">
      <w:bodyDiv w:val="1"/>
      <w:marLeft w:val="0"/>
      <w:marRight w:val="0"/>
      <w:marTop w:val="0"/>
      <w:marBottom w:val="0"/>
      <w:divBdr>
        <w:top w:val="none" w:sz="0" w:space="0" w:color="auto"/>
        <w:left w:val="none" w:sz="0" w:space="0" w:color="auto"/>
        <w:bottom w:val="none" w:sz="0" w:space="0" w:color="auto"/>
        <w:right w:val="none" w:sz="0" w:space="0" w:color="auto"/>
      </w:divBdr>
    </w:div>
    <w:div w:id="525144294">
      <w:bodyDiv w:val="1"/>
      <w:marLeft w:val="0"/>
      <w:marRight w:val="0"/>
      <w:marTop w:val="0"/>
      <w:marBottom w:val="0"/>
      <w:divBdr>
        <w:top w:val="none" w:sz="0" w:space="0" w:color="auto"/>
        <w:left w:val="none" w:sz="0" w:space="0" w:color="auto"/>
        <w:bottom w:val="none" w:sz="0" w:space="0" w:color="auto"/>
        <w:right w:val="none" w:sz="0" w:space="0" w:color="auto"/>
      </w:divBdr>
    </w:div>
    <w:div w:id="716705790">
      <w:bodyDiv w:val="1"/>
      <w:marLeft w:val="0"/>
      <w:marRight w:val="0"/>
      <w:marTop w:val="0"/>
      <w:marBottom w:val="0"/>
      <w:divBdr>
        <w:top w:val="none" w:sz="0" w:space="0" w:color="auto"/>
        <w:left w:val="none" w:sz="0" w:space="0" w:color="auto"/>
        <w:bottom w:val="none" w:sz="0" w:space="0" w:color="auto"/>
        <w:right w:val="none" w:sz="0" w:space="0" w:color="auto"/>
      </w:divBdr>
    </w:div>
    <w:div w:id="867374226">
      <w:bodyDiv w:val="1"/>
      <w:marLeft w:val="0"/>
      <w:marRight w:val="0"/>
      <w:marTop w:val="0"/>
      <w:marBottom w:val="0"/>
      <w:divBdr>
        <w:top w:val="none" w:sz="0" w:space="0" w:color="auto"/>
        <w:left w:val="none" w:sz="0" w:space="0" w:color="auto"/>
        <w:bottom w:val="none" w:sz="0" w:space="0" w:color="auto"/>
        <w:right w:val="none" w:sz="0" w:space="0" w:color="auto"/>
      </w:divBdr>
      <w:divsChild>
        <w:div w:id="1283806135">
          <w:marLeft w:val="0"/>
          <w:marRight w:val="0"/>
          <w:marTop w:val="0"/>
          <w:marBottom w:val="0"/>
          <w:divBdr>
            <w:top w:val="none" w:sz="0" w:space="0" w:color="auto"/>
            <w:left w:val="none" w:sz="0" w:space="0" w:color="auto"/>
            <w:bottom w:val="none" w:sz="0" w:space="0" w:color="auto"/>
            <w:right w:val="none" w:sz="0" w:space="0" w:color="auto"/>
          </w:divBdr>
          <w:divsChild>
            <w:div w:id="16585700">
              <w:marLeft w:val="0"/>
              <w:marRight w:val="0"/>
              <w:marTop w:val="0"/>
              <w:marBottom w:val="0"/>
              <w:divBdr>
                <w:top w:val="none" w:sz="0" w:space="0" w:color="auto"/>
                <w:left w:val="none" w:sz="0" w:space="0" w:color="auto"/>
                <w:bottom w:val="none" w:sz="0" w:space="0" w:color="auto"/>
                <w:right w:val="none" w:sz="0" w:space="0" w:color="auto"/>
              </w:divBdr>
              <w:divsChild>
                <w:div w:id="741755158">
                  <w:marLeft w:val="0"/>
                  <w:marRight w:val="0"/>
                  <w:marTop w:val="0"/>
                  <w:marBottom w:val="0"/>
                  <w:divBdr>
                    <w:top w:val="none" w:sz="0" w:space="0" w:color="auto"/>
                    <w:left w:val="none" w:sz="0" w:space="0" w:color="auto"/>
                    <w:bottom w:val="none" w:sz="0" w:space="0" w:color="auto"/>
                    <w:right w:val="none" w:sz="0" w:space="0" w:color="auto"/>
                  </w:divBdr>
                </w:div>
              </w:divsChild>
            </w:div>
            <w:div w:id="189418372">
              <w:marLeft w:val="0"/>
              <w:marRight w:val="0"/>
              <w:marTop w:val="0"/>
              <w:marBottom w:val="0"/>
              <w:divBdr>
                <w:top w:val="none" w:sz="0" w:space="0" w:color="auto"/>
                <w:left w:val="none" w:sz="0" w:space="0" w:color="auto"/>
                <w:bottom w:val="none" w:sz="0" w:space="0" w:color="auto"/>
                <w:right w:val="none" w:sz="0" w:space="0" w:color="auto"/>
              </w:divBdr>
              <w:divsChild>
                <w:div w:id="1156801773">
                  <w:marLeft w:val="0"/>
                  <w:marRight w:val="0"/>
                  <w:marTop w:val="0"/>
                  <w:marBottom w:val="0"/>
                  <w:divBdr>
                    <w:top w:val="none" w:sz="0" w:space="0" w:color="auto"/>
                    <w:left w:val="none" w:sz="0" w:space="0" w:color="auto"/>
                    <w:bottom w:val="none" w:sz="0" w:space="0" w:color="auto"/>
                    <w:right w:val="none" w:sz="0" w:space="0" w:color="auto"/>
                  </w:divBdr>
                </w:div>
              </w:divsChild>
            </w:div>
            <w:div w:id="515003859">
              <w:marLeft w:val="0"/>
              <w:marRight w:val="0"/>
              <w:marTop w:val="0"/>
              <w:marBottom w:val="0"/>
              <w:divBdr>
                <w:top w:val="none" w:sz="0" w:space="0" w:color="auto"/>
                <w:left w:val="none" w:sz="0" w:space="0" w:color="auto"/>
                <w:bottom w:val="none" w:sz="0" w:space="0" w:color="auto"/>
                <w:right w:val="none" w:sz="0" w:space="0" w:color="auto"/>
              </w:divBdr>
              <w:divsChild>
                <w:div w:id="1624537638">
                  <w:marLeft w:val="0"/>
                  <w:marRight w:val="0"/>
                  <w:marTop w:val="0"/>
                  <w:marBottom w:val="0"/>
                  <w:divBdr>
                    <w:top w:val="none" w:sz="0" w:space="0" w:color="auto"/>
                    <w:left w:val="none" w:sz="0" w:space="0" w:color="auto"/>
                    <w:bottom w:val="none" w:sz="0" w:space="0" w:color="auto"/>
                    <w:right w:val="none" w:sz="0" w:space="0" w:color="auto"/>
                  </w:divBdr>
                </w:div>
              </w:divsChild>
            </w:div>
            <w:div w:id="567113829">
              <w:marLeft w:val="0"/>
              <w:marRight w:val="0"/>
              <w:marTop w:val="0"/>
              <w:marBottom w:val="0"/>
              <w:divBdr>
                <w:top w:val="none" w:sz="0" w:space="0" w:color="auto"/>
                <w:left w:val="none" w:sz="0" w:space="0" w:color="auto"/>
                <w:bottom w:val="none" w:sz="0" w:space="0" w:color="auto"/>
                <w:right w:val="none" w:sz="0" w:space="0" w:color="auto"/>
              </w:divBdr>
              <w:divsChild>
                <w:div w:id="2128810056">
                  <w:marLeft w:val="0"/>
                  <w:marRight w:val="0"/>
                  <w:marTop w:val="0"/>
                  <w:marBottom w:val="0"/>
                  <w:divBdr>
                    <w:top w:val="none" w:sz="0" w:space="0" w:color="auto"/>
                    <w:left w:val="none" w:sz="0" w:space="0" w:color="auto"/>
                    <w:bottom w:val="none" w:sz="0" w:space="0" w:color="auto"/>
                    <w:right w:val="none" w:sz="0" w:space="0" w:color="auto"/>
                  </w:divBdr>
                </w:div>
              </w:divsChild>
            </w:div>
            <w:div w:id="572860246">
              <w:marLeft w:val="0"/>
              <w:marRight w:val="0"/>
              <w:marTop w:val="0"/>
              <w:marBottom w:val="0"/>
              <w:divBdr>
                <w:top w:val="none" w:sz="0" w:space="0" w:color="auto"/>
                <w:left w:val="none" w:sz="0" w:space="0" w:color="auto"/>
                <w:bottom w:val="none" w:sz="0" w:space="0" w:color="auto"/>
                <w:right w:val="none" w:sz="0" w:space="0" w:color="auto"/>
              </w:divBdr>
              <w:divsChild>
                <w:div w:id="1160195286">
                  <w:marLeft w:val="0"/>
                  <w:marRight w:val="0"/>
                  <w:marTop w:val="0"/>
                  <w:marBottom w:val="0"/>
                  <w:divBdr>
                    <w:top w:val="none" w:sz="0" w:space="0" w:color="auto"/>
                    <w:left w:val="none" w:sz="0" w:space="0" w:color="auto"/>
                    <w:bottom w:val="none" w:sz="0" w:space="0" w:color="auto"/>
                    <w:right w:val="none" w:sz="0" w:space="0" w:color="auto"/>
                  </w:divBdr>
                </w:div>
              </w:divsChild>
            </w:div>
            <w:div w:id="828908530">
              <w:marLeft w:val="0"/>
              <w:marRight w:val="0"/>
              <w:marTop w:val="0"/>
              <w:marBottom w:val="0"/>
              <w:divBdr>
                <w:top w:val="none" w:sz="0" w:space="0" w:color="auto"/>
                <w:left w:val="none" w:sz="0" w:space="0" w:color="auto"/>
                <w:bottom w:val="none" w:sz="0" w:space="0" w:color="auto"/>
                <w:right w:val="none" w:sz="0" w:space="0" w:color="auto"/>
              </w:divBdr>
              <w:divsChild>
                <w:div w:id="1176993138">
                  <w:marLeft w:val="0"/>
                  <w:marRight w:val="0"/>
                  <w:marTop w:val="0"/>
                  <w:marBottom w:val="0"/>
                  <w:divBdr>
                    <w:top w:val="none" w:sz="0" w:space="0" w:color="auto"/>
                    <w:left w:val="none" w:sz="0" w:space="0" w:color="auto"/>
                    <w:bottom w:val="none" w:sz="0" w:space="0" w:color="auto"/>
                    <w:right w:val="none" w:sz="0" w:space="0" w:color="auto"/>
                  </w:divBdr>
                </w:div>
              </w:divsChild>
            </w:div>
            <w:div w:id="831485452">
              <w:marLeft w:val="0"/>
              <w:marRight w:val="0"/>
              <w:marTop w:val="0"/>
              <w:marBottom w:val="0"/>
              <w:divBdr>
                <w:top w:val="none" w:sz="0" w:space="0" w:color="auto"/>
                <w:left w:val="none" w:sz="0" w:space="0" w:color="auto"/>
                <w:bottom w:val="none" w:sz="0" w:space="0" w:color="auto"/>
                <w:right w:val="none" w:sz="0" w:space="0" w:color="auto"/>
              </w:divBdr>
              <w:divsChild>
                <w:div w:id="1276210515">
                  <w:marLeft w:val="0"/>
                  <w:marRight w:val="0"/>
                  <w:marTop w:val="0"/>
                  <w:marBottom w:val="0"/>
                  <w:divBdr>
                    <w:top w:val="none" w:sz="0" w:space="0" w:color="auto"/>
                    <w:left w:val="none" w:sz="0" w:space="0" w:color="auto"/>
                    <w:bottom w:val="none" w:sz="0" w:space="0" w:color="auto"/>
                    <w:right w:val="none" w:sz="0" w:space="0" w:color="auto"/>
                  </w:divBdr>
                </w:div>
              </w:divsChild>
            </w:div>
            <w:div w:id="868450275">
              <w:marLeft w:val="0"/>
              <w:marRight w:val="0"/>
              <w:marTop w:val="0"/>
              <w:marBottom w:val="0"/>
              <w:divBdr>
                <w:top w:val="none" w:sz="0" w:space="0" w:color="auto"/>
                <w:left w:val="none" w:sz="0" w:space="0" w:color="auto"/>
                <w:bottom w:val="none" w:sz="0" w:space="0" w:color="auto"/>
                <w:right w:val="none" w:sz="0" w:space="0" w:color="auto"/>
              </w:divBdr>
              <w:divsChild>
                <w:div w:id="1950313407">
                  <w:marLeft w:val="0"/>
                  <w:marRight w:val="0"/>
                  <w:marTop w:val="0"/>
                  <w:marBottom w:val="0"/>
                  <w:divBdr>
                    <w:top w:val="none" w:sz="0" w:space="0" w:color="auto"/>
                    <w:left w:val="none" w:sz="0" w:space="0" w:color="auto"/>
                    <w:bottom w:val="none" w:sz="0" w:space="0" w:color="auto"/>
                    <w:right w:val="none" w:sz="0" w:space="0" w:color="auto"/>
                  </w:divBdr>
                </w:div>
              </w:divsChild>
            </w:div>
            <w:div w:id="869490772">
              <w:marLeft w:val="0"/>
              <w:marRight w:val="0"/>
              <w:marTop w:val="0"/>
              <w:marBottom w:val="0"/>
              <w:divBdr>
                <w:top w:val="none" w:sz="0" w:space="0" w:color="auto"/>
                <w:left w:val="none" w:sz="0" w:space="0" w:color="auto"/>
                <w:bottom w:val="none" w:sz="0" w:space="0" w:color="auto"/>
                <w:right w:val="none" w:sz="0" w:space="0" w:color="auto"/>
              </w:divBdr>
              <w:divsChild>
                <w:div w:id="821972178">
                  <w:marLeft w:val="0"/>
                  <w:marRight w:val="0"/>
                  <w:marTop w:val="0"/>
                  <w:marBottom w:val="0"/>
                  <w:divBdr>
                    <w:top w:val="none" w:sz="0" w:space="0" w:color="auto"/>
                    <w:left w:val="none" w:sz="0" w:space="0" w:color="auto"/>
                    <w:bottom w:val="none" w:sz="0" w:space="0" w:color="auto"/>
                    <w:right w:val="none" w:sz="0" w:space="0" w:color="auto"/>
                  </w:divBdr>
                </w:div>
              </w:divsChild>
            </w:div>
            <w:div w:id="908271051">
              <w:marLeft w:val="0"/>
              <w:marRight w:val="0"/>
              <w:marTop w:val="0"/>
              <w:marBottom w:val="0"/>
              <w:divBdr>
                <w:top w:val="none" w:sz="0" w:space="0" w:color="auto"/>
                <w:left w:val="none" w:sz="0" w:space="0" w:color="auto"/>
                <w:bottom w:val="none" w:sz="0" w:space="0" w:color="auto"/>
                <w:right w:val="none" w:sz="0" w:space="0" w:color="auto"/>
              </w:divBdr>
              <w:divsChild>
                <w:div w:id="2098165800">
                  <w:marLeft w:val="0"/>
                  <w:marRight w:val="0"/>
                  <w:marTop w:val="0"/>
                  <w:marBottom w:val="0"/>
                  <w:divBdr>
                    <w:top w:val="none" w:sz="0" w:space="0" w:color="auto"/>
                    <w:left w:val="none" w:sz="0" w:space="0" w:color="auto"/>
                    <w:bottom w:val="none" w:sz="0" w:space="0" w:color="auto"/>
                    <w:right w:val="none" w:sz="0" w:space="0" w:color="auto"/>
                  </w:divBdr>
                </w:div>
              </w:divsChild>
            </w:div>
            <w:div w:id="908542726">
              <w:marLeft w:val="0"/>
              <w:marRight w:val="0"/>
              <w:marTop w:val="0"/>
              <w:marBottom w:val="0"/>
              <w:divBdr>
                <w:top w:val="none" w:sz="0" w:space="0" w:color="auto"/>
                <w:left w:val="none" w:sz="0" w:space="0" w:color="auto"/>
                <w:bottom w:val="none" w:sz="0" w:space="0" w:color="auto"/>
                <w:right w:val="none" w:sz="0" w:space="0" w:color="auto"/>
              </w:divBdr>
              <w:divsChild>
                <w:div w:id="212618710">
                  <w:marLeft w:val="0"/>
                  <w:marRight w:val="0"/>
                  <w:marTop w:val="0"/>
                  <w:marBottom w:val="0"/>
                  <w:divBdr>
                    <w:top w:val="none" w:sz="0" w:space="0" w:color="auto"/>
                    <w:left w:val="none" w:sz="0" w:space="0" w:color="auto"/>
                    <w:bottom w:val="none" w:sz="0" w:space="0" w:color="auto"/>
                    <w:right w:val="none" w:sz="0" w:space="0" w:color="auto"/>
                  </w:divBdr>
                </w:div>
              </w:divsChild>
            </w:div>
            <w:div w:id="990450044">
              <w:marLeft w:val="0"/>
              <w:marRight w:val="0"/>
              <w:marTop w:val="0"/>
              <w:marBottom w:val="0"/>
              <w:divBdr>
                <w:top w:val="none" w:sz="0" w:space="0" w:color="auto"/>
                <w:left w:val="none" w:sz="0" w:space="0" w:color="auto"/>
                <w:bottom w:val="none" w:sz="0" w:space="0" w:color="auto"/>
                <w:right w:val="none" w:sz="0" w:space="0" w:color="auto"/>
              </w:divBdr>
              <w:divsChild>
                <w:div w:id="779182101">
                  <w:marLeft w:val="0"/>
                  <w:marRight w:val="0"/>
                  <w:marTop w:val="0"/>
                  <w:marBottom w:val="0"/>
                  <w:divBdr>
                    <w:top w:val="none" w:sz="0" w:space="0" w:color="auto"/>
                    <w:left w:val="none" w:sz="0" w:space="0" w:color="auto"/>
                    <w:bottom w:val="none" w:sz="0" w:space="0" w:color="auto"/>
                    <w:right w:val="none" w:sz="0" w:space="0" w:color="auto"/>
                  </w:divBdr>
                </w:div>
              </w:divsChild>
            </w:div>
            <w:div w:id="1109735424">
              <w:marLeft w:val="0"/>
              <w:marRight w:val="0"/>
              <w:marTop w:val="0"/>
              <w:marBottom w:val="0"/>
              <w:divBdr>
                <w:top w:val="none" w:sz="0" w:space="0" w:color="auto"/>
                <w:left w:val="none" w:sz="0" w:space="0" w:color="auto"/>
                <w:bottom w:val="none" w:sz="0" w:space="0" w:color="auto"/>
                <w:right w:val="none" w:sz="0" w:space="0" w:color="auto"/>
              </w:divBdr>
              <w:divsChild>
                <w:div w:id="1135217456">
                  <w:marLeft w:val="0"/>
                  <w:marRight w:val="0"/>
                  <w:marTop w:val="0"/>
                  <w:marBottom w:val="0"/>
                  <w:divBdr>
                    <w:top w:val="none" w:sz="0" w:space="0" w:color="auto"/>
                    <w:left w:val="none" w:sz="0" w:space="0" w:color="auto"/>
                    <w:bottom w:val="none" w:sz="0" w:space="0" w:color="auto"/>
                    <w:right w:val="none" w:sz="0" w:space="0" w:color="auto"/>
                  </w:divBdr>
                </w:div>
              </w:divsChild>
            </w:div>
            <w:div w:id="1502156604">
              <w:marLeft w:val="0"/>
              <w:marRight w:val="0"/>
              <w:marTop w:val="0"/>
              <w:marBottom w:val="0"/>
              <w:divBdr>
                <w:top w:val="none" w:sz="0" w:space="0" w:color="auto"/>
                <w:left w:val="none" w:sz="0" w:space="0" w:color="auto"/>
                <w:bottom w:val="none" w:sz="0" w:space="0" w:color="auto"/>
                <w:right w:val="none" w:sz="0" w:space="0" w:color="auto"/>
              </w:divBdr>
              <w:divsChild>
                <w:div w:id="1962111046">
                  <w:marLeft w:val="0"/>
                  <w:marRight w:val="0"/>
                  <w:marTop w:val="0"/>
                  <w:marBottom w:val="0"/>
                  <w:divBdr>
                    <w:top w:val="none" w:sz="0" w:space="0" w:color="auto"/>
                    <w:left w:val="none" w:sz="0" w:space="0" w:color="auto"/>
                    <w:bottom w:val="none" w:sz="0" w:space="0" w:color="auto"/>
                    <w:right w:val="none" w:sz="0" w:space="0" w:color="auto"/>
                  </w:divBdr>
                </w:div>
              </w:divsChild>
            </w:div>
            <w:div w:id="1599488356">
              <w:marLeft w:val="0"/>
              <w:marRight w:val="0"/>
              <w:marTop w:val="0"/>
              <w:marBottom w:val="0"/>
              <w:divBdr>
                <w:top w:val="none" w:sz="0" w:space="0" w:color="auto"/>
                <w:left w:val="none" w:sz="0" w:space="0" w:color="auto"/>
                <w:bottom w:val="none" w:sz="0" w:space="0" w:color="auto"/>
                <w:right w:val="none" w:sz="0" w:space="0" w:color="auto"/>
              </w:divBdr>
              <w:divsChild>
                <w:div w:id="1255086287">
                  <w:marLeft w:val="0"/>
                  <w:marRight w:val="0"/>
                  <w:marTop w:val="0"/>
                  <w:marBottom w:val="0"/>
                  <w:divBdr>
                    <w:top w:val="none" w:sz="0" w:space="0" w:color="auto"/>
                    <w:left w:val="none" w:sz="0" w:space="0" w:color="auto"/>
                    <w:bottom w:val="none" w:sz="0" w:space="0" w:color="auto"/>
                    <w:right w:val="none" w:sz="0" w:space="0" w:color="auto"/>
                  </w:divBdr>
                </w:div>
              </w:divsChild>
            </w:div>
            <w:div w:id="1823891233">
              <w:marLeft w:val="0"/>
              <w:marRight w:val="0"/>
              <w:marTop w:val="0"/>
              <w:marBottom w:val="0"/>
              <w:divBdr>
                <w:top w:val="none" w:sz="0" w:space="0" w:color="auto"/>
                <w:left w:val="none" w:sz="0" w:space="0" w:color="auto"/>
                <w:bottom w:val="none" w:sz="0" w:space="0" w:color="auto"/>
                <w:right w:val="none" w:sz="0" w:space="0" w:color="auto"/>
              </w:divBdr>
              <w:divsChild>
                <w:div w:id="736981173">
                  <w:marLeft w:val="0"/>
                  <w:marRight w:val="0"/>
                  <w:marTop w:val="0"/>
                  <w:marBottom w:val="0"/>
                  <w:divBdr>
                    <w:top w:val="none" w:sz="0" w:space="0" w:color="auto"/>
                    <w:left w:val="none" w:sz="0" w:space="0" w:color="auto"/>
                    <w:bottom w:val="none" w:sz="0" w:space="0" w:color="auto"/>
                    <w:right w:val="none" w:sz="0" w:space="0" w:color="auto"/>
                  </w:divBdr>
                </w:div>
              </w:divsChild>
            </w:div>
            <w:div w:id="2014380784">
              <w:marLeft w:val="0"/>
              <w:marRight w:val="0"/>
              <w:marTop w:val="0"/>
              <w:marBottom w:val="0"/>
              <w:divBdr>
                <w:top w:val="none" w:sz="0" w:space="0" w:color="auto"/>
                <w:left w:val="none" w:sz="0" w:space="0" w:color="auto"/>
                <w:bottom w:val="none" w:sz="0" w:space="0" w:color="auto"/>
                <w:right w:val="none" w:sz="0" w:space="0" w:color="auto"/>
              </w:divBdr>
              <w:divsChild>
                <w:div w:id="691339420">
                  <w:marLeft w:val="0"/>
                  <w:marRight w:val="0"/>
                  <w:marTop w:val="0"/>
                  <w:marBottom w:val="0"/>
                  <w:divBdr>
                    <w:top w:val="none" w:sz="0" w:space="0" w:color="auto"/>
                    <w:left w:val="none" w:sz="0" w:space="0" w:color="auto"/>
                    <w:bottom w:val="none" w:sz="0" w:space="0" w:color="auto"/>
                    <w:right w:val="none" w:sz="0" w:space="0" w:color="auto"/>
                  </w:divBdr>
                </w:div>
              </w:divsChild>
            </w:div>
            <w:div w:id="2128964769">
              <w:marLeft w:val="0"/>
              <w:marRight w:val="0"/>
              <w:marTop w:val="0"/>
              <w:marBottom w:val="0"/>
              <w:divBdr>
                <w:top w:val="none" w:sz="0" w:space="0" w:color="auto"/>
                <w:left w:val="none" w:sz="0" w:space="0" w:color="auto"/>
                <w:bottom w:val="none" w:sz="0" w:space="0" w:color="auto"/>
                <w:right w:val="none" w:sz="0" w:space="0" w:color="auto"/>
              </w:divBdr>
              <w:divsChild>
                <w:div w:id="8997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4068">
      <w:bodyDiv w:val="1"/>
      <w:marLeft w:val="0"/>
      <w:marRight w:val="0"/>
      <w:marTop w:val="0"/>
      <w:marBottom w:val="0"/>
      <w:divBdr>
        <w:top w:val="none" w:sz="0" w:space="0" w:color="auto"/>
        <w:left w:val="none" w:sz="0" w:space="0" w:color="auto"/>
        <w:bottom w:val="none" w:sz="0" w:space="0" w:color="auto"/>
        <w:right w:val="none" w:sz="0" w:space="0" w:color="auto"/>
      </w:divBdr>
    </w:div>
    <w:div w:id="985745575">
      <w:bodyDiv w:val="1"/>
      <w:marLeft w:val="0"/>
      <w:marRight w:val="0"/>
      <w:marTop w:val="0"/>
      <w:marBottom w:val="0"/>
      <w:divBdr>
        <w:top w:val="none" w:sz="0" w:space="0" w:color="auto"/>
        <w:left w:val="none" w:sz="0" w:space="0" w:color="auto"/>
        <w:bottom w:val="none" w:sz="0" w:space="0" w:color="auto"/>
        <w:right w:val="none" w:sz="0" w:space="0" w:color="auto"/>
      </w:divBdr>
    </w:div>
    <w:div w:id="1115558702">
      <w:bodyDiv w:val="1"/>
      <w:marLeft w:val="0"/>
      <w:marRight w:val="0"/>
      <w:marTop w:val="0"/>
      <w:marBottom w:val="0"/>
      <w:divBdr>
        <w:top w:val="none" w:sz="0" w:space="0" w:color="auto"/>
        <w:left w:val="none" w:sz="0" w:space="0" w:color="auto"/>
        <w:bottom w:val="none" w:sz="0" w:space="0" w:color="auto"/>
        <w:right w:val="none" w:sz="0" w:space="0" w:color="auto"/>
      </w:divBdr>
    </w:div>
    <w:div w:id="1128742194">
      <w:bodyDiv w:val="1"/>
      <w:marLeft w:val="0"/>
      <w:marRight w:val="0"/>
      <w:marTop w:val="0"/>
      <w:marBottom w:val="0"/>
      <w:divBdr>
        <w:top w:val="none" w:sz="0" w:space="0" w:color="auto"/>
        <w:left w:val="none" w:sz="0" w:space="0" w:color="auto"/>
        <w:bottom w:val="none" w:sz="0" w:space="0" w:color="auto"/>
        <w:right w:val="none" w:sz="0" w:space="0" w:color="auto"/>
      </w:divBdr>
    </w:div>
    <w:div w:id="1171800870">
      <w:bodyDiv w:val="1"/>
      <w:marLeft w:val="0"/>
      <w:marRight w:val="0"/>
      <w:marTop w:val="0"/>
      <w:marBottom w:val="0"/>
      <w:divBdr>
        <w:top w:val="none" w:sz="0" w:space="0" w:color="auto"/>
        <w:left w:val="none" w:sz="0" w:space="0" w:color="auto"/>
        <w:bottom w:val="none" w:sz="0" w:space="0" w:color="auto"/>
        <w:right w:val="none" w:sz="0" w:space="0" w:color="auto"/>
      </w:divBdr>
    </w:div>
    <w:div w:id="1323846962">
      <w:bodyDiv w:val="1"/>
      <w:marLeft w:val="0"/>
      <w:marRight w:val="0"/>
      <w:marTop w:val="0"/>
      <w:marBottom w:val="0"/>
      <w:divBdr>
        <w:top w:val="none" w:sz="0" w:space="0" w:color="auto"/>
        <w:left w:val="none" w:sz="0" w:space="0" w:color="auto"/>
        <w:bottom w:val="none" w:sz="0" w:space="0" w:color="auto"/>
        <w:right w:val="none" w:sz="0" w:space="0" w:color="auto"/>
      </w:divBdr>
    </w:div>
    <w:div w:id="1341204951">
      <w:bodyDiv w:val="1"/>
      <w:marLeft w:val="0"/>
      <w:marRight w:val="0"/>
      <w:marTop w:val="0"/>
      <w:marBottom w:val="0"/>
      <w:divBdr>
        <w:top w:val="none" w:sz="0" w:space="0" w:color="auto"/>
        <w:left w:val="none" w:sz="0" w:space="0" w:color="auto"/>
        <w:bottom w:val="none" w:sz="0" w:space="0" w:color="auto"/>
        <w:right w:val="none" w:sz="0" w:space="0" w:color="auto"/>
      </w:divBdr>
    </w:div>
    <w:div w:id="1382556317">
      <w:bodyDiv w:val="1"/>
      <w:marLeft w:val="0"/>
      <w:marRight w:val="0"/>
      <w:marTop w:val="0"/>
      <w:marBottom w:val="0"/>
      <w:divBdr>
        <w:top w:val="none" w:sz="0" w:space="0" w:color="auto"/>
        <w:left w:val="none" w:sz="0" w:space="0" w:color="auto"/>
        <w:bottom w:val="none" w:sz="0" w:space="0" w:color="auto"/>
        <w:right w:val="none" w:sz="0" w:space="0" w:color="auto"/>
      </w:divBdr>
    </w:div>
    <w:div w:id="1405226232">
      <w:bodyDiv w:val="1"/>
      <w:marLeft w:val="0"/>
      <w:marRight w:val="0"/>
      <w:marTop w:val="0"/>
      <w:marBottom w:val="0"/>
      <w:divBdr>
        <w:top w:val="none" w:sz="0" w:space="0" w:color="auto"/>
        <w:left w:val="none" w:sz="0" w:space="0" w:color="auto"/>
        <w:bottom w:val="none" w:sz="0" w:space="0" w:color="auto"/>
        <w:right w:val="none" w:sz="0" w:space="0" w:color="auto"/>
      </w:divBdr>
      <w:divsChild>
        <w:div w:id="421992631">
          <w:marLeft w:val="0"/>
          <w:marRight w:val="0"/>
          <w:marTop w:val="0"/>
          <w:marBottom w:val="0"/>
          <w:divBdr>
            <w:top w:val="none" w:sz="0" w:space="0" w:color="auto"/>
            <w:left w:val="none" w:sz="0" w:space="0" w:color="auto"/>
            <w:bottom w:val="none" w:sz="0" w:space="0" w:color="auto"/>
            <w:right w:val="none" w:sz="0" w:space="0" w:color="auto"/>
          </w:divBdr>
        </w:div>
        <w:div w:id="609823262">
          <w:marLeft w:val="0"/>
          <w:marRight w:val="0"/>
          <w:marTop w:val="0"/>
          <w:marBottom w:val="0"/>
          <w:divBdr>
            <w:top w:val="none" w:sz="0" w:space="0" w:color="auto"/>
            <w:left w:val="none" w:sz="0" w:space="0" w:color="auto"/>
            <w:bottom w:val="none" w:sz="0" w:space="0" w:color="auto"/>
            <w:right w:val="none" w:sz="0" w:space="0" w:color="auto"/>
          </w:divBdr>
        </w:div>
        <w:div w:id="1506627897">
          <w:marLeft w:val="0"/>
          <w:marRight w:val="0"/>
          <w:marTop w:val="0"/>
          <w:marBottom w:val="0"/>
          <w:divBdr>
            <w:top w:val="none" w:sz="0" w:space="0" w:color="auto"/>
            <w:left w:val="none" w:sz="0" w:space="0" w:color="auto"/>
            <w:bottom w:val="none" w:sz="0" w:space="0" w:color="auto"/>
            <w:right w:val="none" w:sz="0" w:space="0" w:color="auto"/>
          </w:divBdr>
        </w:div>
      </w:divsChild>
    </w:div>
    <w:div w:id="1414549292">
      <w:bodyDiv w:val="1"/>
      <w:marLeft w:val="0"/>
      <w:marRight w:val="0"/>
      <w:marTop w:val="0"/>
      <w:marBottom w:val="0"/>
      <w:divBdr>
        <w:top w:val="none" w:sz="0" w:space="0" w:color="auto"/>
        <w:left w:val="none" w:sz="0" w:space="0" w:color="auto"/>
        <w:bottom w:val="none" w:sz="0" w:space="0" w:color="auto"/>
        <w:right w:val="none" w:sz="0" w:space="0" w:color="auto"/>
      </w:divBdr>
    </w:div>
    <w:div w:id="1414665031">
      <w:bodyDiv w:val="1"/>
      <w:marLeft w:val="0"/>
      <w:marRight w:val="0"/>
      <w:marTop w:val="0"/>
      <w:marBottom w:val="0"/>
      <w:divBdr>
        <w:top w:val="none" w:sz="0" w:space="0" w:color="auto"/>
        <w:left w:val="none" w:sz="0" w:space="0" w:color="auto"/>
        <w:bottom w:val="none" w:sz="0" w:space="0" w:color="auto"/>
        <w:right w:val="none" w:sz="0" w:space="0" w:color="auto"/>
      </w:divBdr>
    </w:div>
    <w:div w:id="1457486784">
      <w:bodyDiv w:val="1"/>
      <w:marLeft w:val="0"/>
      <w:marRight w:val="0"/>
      <w:marTop w:val="0"/>
      <w:marBottom w:val="0"/>
      <w:divBdr>
        <w:top w:val="none" w:sz="0" w:space="0" w:color="auto"/>
        <w:left w:val="none" w:sz="0" w:space="0" w:color="auto"/>
        <w:bottom w:val="none" w:sz="0" w:space="0" w:color="auto"/>
        <w:right w:val="none" w:sz="0" w:space="0" w:color="auto"/>
      </w:divBdr>
    </w:div>
    <w:div w:id="1478034191">
      <w:bodyDiv w:val="1"/>
      <w:marLeft w:val="0"/>
      <w:marRight w:val="0"/>
      <w:marTop w:val="0"/>
      <w:marBottom w:val="0"/>
      <w:divBdr>
        <w:top w:val="none" w:sz="0" w:space="0" w:color="auto"/>
        <w:left w:val="none" w:sz="0" w:space="0" w:color="auto"/>
        <w:bottom w:val="none" w:sz="0" w:space="0" w:color="auto"/>
        <w:right w:val="none" w:sz="0" w:space="0" w:color="auto"/>
      </w:divBdr>
    </w:div>
    <w:div w:id="1506701214">
      <w:bodyDiv w:val="1"/>
      <w:marLeft w:val="0"/>
      <w:marRight w:val="0"/>
      <w:marTop w:val="0"/>
      <w:marBottom w:val="0"/>
      <w:divBdr>
        <w:top w:val="none" w:sz="0" w:space="0" w:color="auto"/>
        <w:left w:val="none" w:sz="0" w:space="0" w:color="auto"/>
        <w:bottom w:val="none" w:sz="0" w:space="0" w:color="auto"/>
        <w:right w:val="none" w:sz="0" w:space="0" w:color="auto"/>
      </w:divBdr>
    </w:div>
    <w:div w:id="1523586222">
      <w:bodyDiv w:val="1"/>
      <w:marLeft w:val="0"/>
      <w:marRight w:val="0"/>
      <w:marTop w:val="0"/>
      <w:marBottom w:val="0"/>
      <w:divBdr>
        <w:top w:val="none" w:sz="0" w:space="0" w:color="auto"/>
        <w:left w:val="none" w:sz="0" w:space="0" w:color="auto"/>
        <w:bottom w:val="none" w:sz="0" w:space="0" w:color="auto"/>
        <w:right w:val="none" w:sz="0" w:space="0" w:color="auto"/>
      </w:divBdr>
    </w:div>
    <w:div w:id="1531724697">
      <w:bodyDiv w:val="1"/>
      <w:marLeft w:val="0"/>
      <w:marRight w:val="0"/>
      <w:marTop w:val="0"/>
      <w:marBottom w:val="0"/>
      <w:divBdr>
        <w:top w:val="none" w:sz="0" w:space="0" w:color="auto"/>
        <w:left w:val="none" w:sz="0" w:space="0" w:color="auto"/>
        <w:bottom w:val="none" w:sz="0" w:space="0" w:color="auto"/>
        <w:right w:val="none" w:sz="0" w:space="0" w:color="auto"/>
      </w:divBdr>
    </w:div>
    <w:div w:id="1551923006">
      <w:bodyDiv w:val="1"/>
      <w:marLeft w:val="0"/>
      <w:marRight w:val="0"/>
      <w:marTop w:val="0"/>
      <w:marBottom w:val="0"/>
      <w:divBdr>
        <w:top w:val="none" w:sz="0" w:space="0" w:color="auto"/>
        <w:left w:val="none" w:sz="0" w:space="0" w:color="auto"/>
        <w:bottom w:val="none" w:sz="0" w:space="0" w:color="auto"/>
        <w:right w:val="none" w:sz="0" w:space="0" w:color="auto"/>
      </w:divBdr>
    </w:div>
    <w:div w:id="1554392127">
      <w:bodyDiv w:val="1"/>
      <w:marLeft w:val="0"/>
      <w:marRight w:val="0"/>
      <w:marTop w:val="0"/>
      <w:marBottom w:val="0"/>
      <w:divBdr>
        <w:top w:val="none" w:sz="0" w:space="0" w:color="auto"/>
        <w:left w:val="none" w:sz="0" w:space="0" w:color="auto"/>
        <w:bottom w:val="none" w:sz="0" w:space="0" w:color="auto"/>
        <w:right w:val="none" w:sz="0" w:space="0" w:color="auto"/>
      </w:divBdr>
    </w:div>
    <w:div w:id="1561405737">
      <w:bodyDiv w:val="1"/>
      <w:marLeft w:val="0"/>
      <w:marRight w:val="0"/>
      <w:marTop w:val="0"/>
      <w:marBottom w:val="0"/>
      <w:divBdr>
        <w:top w:val="none" w:sz="0" w:space="0" w:color="auto"/>
        <w:left w:val="none" w:sz="0" w:space="0" w:color="auto"/>
        <w:bottom w:val="none" w:sz="0" w:space="0" w:color="auto"/>
        <w:right w:val="none" w:sz="0" w:space="0" w:color="auto"/>
      </w:divBdr>
    </w:div>
    <w:div w:id="1567953940">
      <w:bodyDiv w:val="1"/>
      <w:marLeft w:val="0"/>
      <w:marRight w:val="0"/>
      <w:marTop w:val="0"/>
      <w:marBottom w:val="0"/>
      <w:divBdr>
        <w:top w:val="none" w:sz="0" w:space="0" w:color="auto"/>
        <w:left w:val="none" w:sz="0" w:space="0" w:color="auto"/>
        <w:bottom w:val="none" w:sz="0" w:space="0" w:color="auto"/>
        <w:right w:val="none" w:sz="0" w:space="0" w:color="auto"/>
      </w:divBdr>
      <w:divsChild>
        <w:div w:id="751244668">
          <w:marLeft w:val="86"/>
          <w:marRight w:val="0"/>
          <w:marTop w:val="0"/>
          <w:marBottom w:val="0"/>
          <w:divBdr>
            <w:top w:val="none" w:sz="0" w:space="0" w:color="auto"/>
            <w:left w:val="none" w:sz="0" w:space="0" w:color="auto"/>
            <w:bottom w:val="none" w:sz="0" w:space="0" w:color="auto"/>
            <w:right w:val="none" w:sz="0" w:space="0" w:color="auto"/>
          </w:divBdr>
        </w:div>
        <w:div w:id="842014488">
          <w:marLeft w:val="86"/>
          <w:marRight w:val="0"/>
          <w:marTop w:val="0"/>
          <w:marBottom w:val="0"/>
          <w:divBdr>
            <w:top w:val="none" w:sz="0" w:space="0" w:color="auto"/>
            <w:left w:val="none" w:sz="0" w:space="0" w:color="auto"/>
            <w:bottom w:val="none" w:sz="0" w:space="0" w:color="auto"/>
            <w:right w:val="none" w:sz="0" w:space="0" w:color="auto"/>
          </w:divBdr>
        </w:div>
        <w:div w:id="944533774">
          <w:marLeft w:val="86"/>
          <w:marRight w:val="0"/>
          <w:marTop w:val="0"/>
          <w:marBottom w:val="0"/>
          <w:divBdr>
            <w:top w:val="none" w:sz="0" w:space="0" w:color="auto"/>
            <w:left w:val="none" w:sz="0" w:space="0" w:color="auto"/>
            <w:bottom w:val="none" w:sz="0" w:space="0" w:color="auto"/>
            <w:right w:val="none" w:sz="0" w:space="0" w:color="auto"/>
          </w:divBdr>
        </w:div>
        <w:div w:id="1107584536">
          <w:marLeft w:val="86"/>
          <w:marRight w:val="0"/>
          <w:marTop w:val="0"/>
          <w:marBottom w:val="0"/>
          <w:divBdr>
            <w:top w:val="none" w:sz="0" w:space="0" w:color="auto"/>
            <w:left w:val="none" w:sz="0" w:space="0" w:color="auto"/>
            <w:bottom w:val="none" w:sz="0" w:space="0" w:color="auto"/>
            <w:right w:val="none" w:sz="0" w:space="0" w:color="auto"/>
          </w:divBdr>
        </w:div>
        <w:div w:id="1698307266">
          <w:marLeft w:val="86"/>
          <w:marRight w:val="0"/>
          <w:marTop w:val="0"/>
          <w:marBottom w:val="0"/>
          <w:divBdr>
            <w:top w:val="none" w:sz="0" w:space="0" w:color="auto"/>
            <w:left w:val="none" w:sz="0" w:space="0" w:color="auto"/>
            <w:bottom w:val="none" w:sz="0" w:space="0" w:color="auto"/>
            <w:right w:val="none" w:sz="0" w:space="0" w:color="auto"/>
          </w:divBdr>
        </w:div>
        <w:div w:id="1777291146">
          <w:marLeft w:val="86"/>
          <w:marRight w:val="0"/>
          <w:marTop w:val="0"/>
          <w:marBottom w:val="0"/>
          <w:divBdr>
            <w:top w:val="none" w:sz="0" w:space="0" w:color="auto"/>
            <w:left w:val="none" w:sz="0" w:space="0" w:color="auto"/>
            <w:bottom w:val="none" w:sz="0" w:space="0" w:color="auto"/>
            <w:right w:val="none" w:sz="0" w:space="0" w:color="auto"/>
          </w:divBdr>
        </w:div>
      </w:divsChild>
    </w:div>
    <w:div w:id="1590501526">
      <w:bodyDiv w:val="1"/>
      <w:marLeft w:val="0"/>
      <w:marRight w:val="0"/>
      <w:marTop w:val="0"/>
      <w:marBottom w:val="0"/>
      <w:divBdr>
        <w:top w:val="none" w:sz="0" w:space="0" w:color="auto"/>
        <w:left w:val="none" w:sz="0" w:space="0" w:color="auto"/>
        <w:bottom w:val="none" w:sz="0" w:space="0" w:color="auto"/>
        <w:right w:val="none" w:sz="0" w:space="0" w:color="auto"/>
      </w:divBdr>
    </w:div>
    <w:div w:id="1597716185">
      <w:bodyDiv w:val="1"/>
      <w:marLeft w:val="0"/>
      <w:marRight w:val="0"/>
      <w:marTop w:val="0"/>
      <w:marBottom w:val="0"/>
      <w:divBdr>
        <w:top w:val="none" w:sz="0" w:space="0" w:color="auto"/>
        <w:left w:val="none" w:sz="0" w:space="0" w:color="auto"/>
        <w:bottom w:val="none" w:sz="0" w:space="0" w:color="auto"/>
        <w:right w:val="none" w:sz="0" w:space="0" w:color="auto"/>
      </w:divBdr>
    </w:div>
    <w:div w:id="1617835247">
      <w:bodyDiv w:val="1"/>
      <w:marLeft w:val="0"/>
      <w:marRight w:val="0"/>
      <w:marTop w:val="0"/>
      <w:marBottom w:val="0"/>
      <w:divBdr>
        <w:top w:val="none" w:sz="0" w:space="0" w:color="auto"/>
        <w:left w:val="none" w:sz="0" w:space="0" w:color="auto"/>
        <w:bottom w:val="none" w:sz="0" w:space="0" w:color="auto"/>
        <w:right w:val="none" w:sz="0" w:space="0" w:color="auto"/>
      </w:divBdr>
      <w:divsChild>
        <w:div w:id="364913345">
          <w:marLeft w:val="0"/>
          <w:marRight w:val="0"/>
          <w:marTop w:val="0"/>
          <w:marBottom w:val="0"/>
          <w:divBdr>
            <w:top w:val="none" w:sz="0" w:space="0" w:color="auto"/>
            <w:left w:val="none" w:sz="0" w:space="0" w:color="auto"/>
            <w:bottom w:val="none" w:sz="0" w:space="0" w:color="auto"/>
            <w:right w:val="none" w:sz="0" w:space="0" w:color="auto"/>
          </w:divBdr>
        </w:div>
      </w:divsChild>
    </w:div>
    <w:div w:id="1643541289">
      <w:bodyDiv w:val="1"/>
      <w:marLeft w:val="0"/>
      <w:marRight w:val="0"/>
      <w:marTop w:val="0"/>
      <w:marBottom w:val="0"/>
      <w:divBdr>
        <w:top w:val="none" w:sz="0" w:space="0" w:color="auto"/>
        <w:left w:val="none" w:sz="0" w:space="0" w:color="auto"/>
        <w:bottom w:val="none" w:sz="0" w:space="0" w:color="auto"/>
        <w:right w:val="none" w:sz="0" w:space="0" w:color="auto"/>
      </w:divBdr>
      <w:divsChild>
        <w:div w:id="248930338">
          <w:marLeft w:val="0"/>
          <w:marRight w:val="0"/>
          <w:marTop w:val="0"/>
          <w:marBottom w:val="0"/>
          <w:divBdr>
            <w:top w:val="none" w:sz="0" w:space="0" w:color="auto"/>
            <w:left w:val="none" w:sz="0" w:space="0" w:color="auto"/>
            <w:bottom w:val="none" w:sz="0" w:space="0" w:color="auto"/>
            <w:right w:val="none" w:sz="0" w:space="0" w:color="auto"/>
          </w:divBdr>
        </w:div>
        <w:div w:id="276372724">
          <w:marLeft w:val="0"/>
          <w:marRight w:val="0"/>
          <w:marTop w:val="0"/>
          <w:marBottom w:val="0"/>
          <w:divBdr>
            <w:top w:val="none" w:sz="0" w:space="0" w:color="auto"/>
            <w:left w:val="none" w:sz="0" w:space="0" w:color="auto"/>
            <w:bottom w:val="none" w:sz="0" w:space="0" w:color="auto"/>
            <w:right w:val="none" w:sz="0" w:space="0" w:color="auto"/>
          </w:divBdr>
        </w:div>
        <w:div w:id="339357521">
          <w:marLeft w:val="0"/>
          <w:marRight w:val="0"/>
          <w:marTop w:val="0"/>
          <w:marBottom w:val="0"/>
          <w:divBdr>
            <w:top w:val="none" w:sz="0" w:space="0" w:color="auto"/>
            <w:left w:val="none" w:sz="0" w:space="0" w:color="auto"/>
            <w:bottom w:val="none" w:sz="0" w:space="0" w:color="auto"/>
            <w:right w:val="none" w:sz="0" w:space="0" w:color="auto"/>
          </w:divBdr>
        </w:div>
        <w:div w:id="439840036">
          <w:marLeft w:val="0"/>
          <w:marRight w:val="0"/>
          <w:marTop w:val="0"/>
          <w:marBottom w:val="0"/>
          <w:divBdr>
            <w:top w:val="none" w:sz="0" w:space="0" w:color="auto"/>
            <w:left w:val="none" w:sz="0" w:space="0" w:color="auto"/>
            <w:bottom w:val="none" w:sz="0" w:space="0" w:color="auto"/>
            <w:right w:val="none" w:sz="0" w:space="0" w:color="auto"/>
          </w:divBdr>
        </w:div>
        <w:div w:id="459305484">
          <w:marLeft w:val="0"/>
          <w:marRight w:val="0"/>
          <w:marTop w:val="0"/>
          <w:marBottom w:val="0"/>
          <w:divBdr>
            <w:top w:val="none" w:sz="0" w:space="0" w:color="auto"/>
            <w:left w:val="none" w:sz="0" w:space="0" w:color="auto"/>
            <w:bottom w:val="none" w:sz="0" w:space="0" w:color="auto"/>
            <w:right w:val="none" w:sz="0" w:space="0" w:color="auto"/>
          </w:divBdr>
        </w:div>
        <w:div w:id="503207424">
          <w:marLeft w:val="0"/>
          <w:marRight w:val="0"/>
          <w:marTop w:val="0"/>
          <w:marBottom w:val="0"/>
          <w:divBdr>
            <w:top w:val="none" w:sz="0" w:space="0" w:color="auto"/>
            <w:left w:val="none" w:sz="0" w:space="0" w:color="auto"/>
            <w:bottom w:val="none" w:sz="0" w:space="0" w:color="auto"/>
            <w:right w:val="none" w:sz="0" w:space="0" w:color="auto"/>
          </w:divBdr>
        </w:div>
        <w:div w:id="507527306">
          <w:marLeft w:val="0"/>
          <w:marRight w:val="0"/>
          <w:marTop w:val="0"/>
          <w:marBottom w:val="0"/>
          <w:divBdr>
            <w:top w:val="none" w:sz="0" w:space="0" w:color="auto"/>
            <w:left w:val="none" w:sz="0" w:space="0" w:color="auto"/>
            <w:bottom w:val="none" w:sz="0" w:space="0" w:color="auto"/>
            <w:right w:val="none" w:sz="0" w:space="0" w:color="auto"/>
          </w:divBdr>
        </w:div>
        <w:div w:id="664356638">
          <w:marLeft w:val="0"/>
          <w:marRight w:val="0"/>
          <w:marTop w:val="0"/>
          <w:marBottom w:val="0"/>
          <w:divBdr>
            <w:top w:val="none" w:sz="0" w:space="0" w:color="auto"/>
            <w:left w:val="none" w:sz="0" w:space="0" w:color="auto"/>
            <w:bottom w:val="none" w:sz="0" w:space="0" w:color="auto"/>
            <w:right w:val="none" w:sz="0" w:space="0" w:color="auto"/>
          </w:divBdr>
        </w:div>
        <w:div w:id="810057530">
          <w:marLeft w:val="0"/>
          <w:marRight w:val="0"/>
          <w:marTop w:val="0"/>
          <w:marBottom w:val="0"/>
          <w:divBdr>
            <w:top w:val="none" w:sz="0" w:space="0" w:color="auto"/>
            <w:left w:val="none" w:sz="0" w:space="0" w:color="auto"/>
            <w:bottom w:val="none" w:sz="0" w:space="0" w:color="auto"/>
            <w:right w:val="none" w:sz="0" w:space="0" w:color="auto"/>
          </w:divBdr>
        </w:div>
        <w:div w:id="909391683">
          <w:marLeft w:val="0"/>
          <w:marRight w:val="0"/>
          <w:marTop w:val="0"/>
          <w:marBottom w:val="0"/>
          <w:divBdr>
            <w:top w:val="none" w:sz="0" w:space="0" w:color="auto"/>
            <w:left w:val="none" w:sz="0" w:space="0" w:color="auto"/>
            <w:bottom w:val="none" w:sz="0" w:space="0" w:color="auto"/>
            <w:right w:val="none" w:sz="0" w:space="0" w:color="auto"/>
          </w:divBdr>
        </w:div>
        <w:div w:id="1028599388">
          <w:marLeft w:val="0"/>
          <w:marRight w:val="0"/>
          <w:marTop w:val="0"/>
          <w:marBottom w:val="0"/>
          <w:divBdr>
            <w:top w:val="none" w:sz="0" w:space="0" w:color="auto"/>
            <w:left w:val="none" w:sz="0" w:space="0" w:color="auto"/>
            <w:bottom w:val="none" w:sz="0" w:space="0" w:color="auto"/>
            <w:right w:val="none" w:sz="0" w:space="0" w:color="auto"/>
          </w:divBdr>
        </w:div>
        <w:div w:id="1070734466">
          <w:marLeft w:val="0"/>
          <w:marRight w:val="0"/>
          <w:marTop w:val="0"/>
          <w:marBottom w:val="0"/>
          <w:divBdr>
            <w:top w:val="none" w:sz="0" w:space="0" w:color="auto"/>
            <w:left w:val="none" w:sz="0" w:space="0" w:color="auto"/>
            <w:bottom w:val="none" w:sz="0" w:space="0" w:color="auto"/>
            <w:right w:val="none" w:sz="0" w:space="0" w:color="auto"/>
          </w:divBdr>
        </w:div>
        <w:div w:id="1143547871">
          <w:marLeft w:val="0"/>
          <w:marRight w:val="0"/>
          <w:marTop w:val="0"/>
          <w:marBottom w:val="0"/>
          <w:divBdr>
            <w:top w:val="none" w:sz="0" w:space="0" w:color="auto"/>
            <w:left w:val="none" w:sz="0" w:space="0" w:color="auto"/>
            <w:bottom w:val="none" w:sz="0" w:space="0" w:color="auto"/>
            <w:right w:val="none" w:sz="0" w:space="0" w:color="auto"/>
          </w:divBdr>
        </w:div>
        <w:div w:id="1319380621">
          <w:marLeft w:val="0"/>
          <w:marRight w:val="0"/>
          <w:marTop w:val="0"/>
          <w:marBottom w:val="0"/>
          <w:divBdr>
            <w:top w:val="none" w:sz="0" w:space="0" w:color="auto"/>
            <w:left w:val="none" w:sz="0" w:space="0" w:color="auto"/>
            <w:bottom w:val="none" w:sz="0" w:space="0" w:color="auto"/>
            <w:right w:val="none" w:sz="0" w:space="0" w:color="auto"/>
          </w:divBdr>
        </w:div>
        <w:div w:id="1433628779">
          <w:marLeft w:val="0"/>
          <w:marRight w:val="0"/>
          <w:marTop w:val="0"/>
          <w:marBottom w:val="0"/>
          <w:divBdr>
            <w:top w:val="none" w:sz="0" w:space="0" w:color="auto"/>
            <w:left w:val="none" w:sz="0" w:space="0" w:color="auto"/>
            <w:bottom w:val="none" w:sz="0" w:space="0" w:color="auto"/>
            <w:right w:val="none" w:sz="0" w:space="0" w:color="auto"/>
          </w:divBdr>
        </w:div>
        <w:div w:id="1603300026">
          <w:marLeft w:val="0"/>
          <w:marRight w:val="0"/>
          <w:marTop w:val="0"/>
          <w:marBottom w:val="0"/>
          <w:divBdr>
            <w:top w:val="none" w:sz="0" w:space="0" w:color="auto"/>
            <w:left w:val="none" w:sz="0" w:space="0" w:color="auto"/>
            <w:bottom w:val="none" w:sz="0" w:space="0" w:color="auto"/>
            <w:right w:val="none" w:sz="0" w:space="0" w:color="auto"/>
          </w:divBdr>
        </w:div>
        <w:div w:id="1644500873">
          <w:marLeft w:val="0"/>
          <w:marRight w:val="0"/>
          <w:marTop w:val="0"/>
          <w:marBottom w:val="0"/>
          <w:divBdr>
            <w:top w:val="none" w:sz="0" w:space="0" w:color="auto"/>
            <w:left w:val="none" w:sz="0" w:space="0" w:color="auto"/>
            <w:bottom w:val="none" w:sz="0" w:space="0" w:color="auto"/>
            <w:right w:val="none" w:sz="0" w:space="0" w:color="auto"/>
          </w:divBdr>
        </w:div>
        <w:div w:id="1655833414">
          <w:marLeft w:val="0"/>
          <w:marRight w:val="0"/>
          <w:marTop w:val="0"/>
          <w:marBottom w:val="0"/>
          <w:divBdr>
            <w:top w:val="none" w:sz="0" w:space="0" w:color="auto"/>
            <w:left w:val="none" w:sz="0" w:space="0" w:color="auto"/>
            <w:bottom w:val="none" w:sz="0" w:space="0" w:color="auto"/>
            <w:right w:val="none" w:sz="0" w:space="0" w:color="auto"/>
          </w:divBdr>
        </w:div>
        <w:div w:id="1740515629">
          <w:marLeft w:val="0"/>
          <w:marRight w:val="0"/>
          <w:marTop w:val="0"/>
          <w:marBottom w:val="0"/>
          <w:divBdr>
            <w:top w:val="none" w:sz="0" w:space="0" w:color="auto"/>
            <w:left w:val="none" w:sz="0" w:space="0" w:color="auto"/>
            <w:bottom w:val="none" w:sz="0" w:space="0" w:color="auto"/>
            <w:right w:val="none" w:sz="0" w:space="0" w:color="auto"/>
          </w:divBdr>
        </w:div>
        <w:div w:id="1877427436">
          <w:marLeft w:val="0"/>
          <w:marRight w:val="0"/>
          <w:marTop w:val="0"/>
          <w:marBottom w:val="0"/>
          <w:divBdr>
            <w:top w:val="none" w:sz="0" w:space="0" w:color="auto"/>
            <w:left w:val="none" w:sz="0" w:space="0" w:color="auto"/>
            <w:bottom w:val="none" w:sz="0" w:space="0" w:color="auto"/>
            <w:right w:val="none" w:sz="0" w:space="0" w:color="auto"/>
          </w:divBdr>
        </w:div>
        <w:div w:id="2005468969">
          <w:marLeft w:val="0"/>
          <w:marRight w:val="0"/>
          <w:marTop w:val="0"/>
          <w:marBottom w:val="0"/>
          <w:divBdr>
            <w:top w:val="none" w:sz="0" w:space="0" w:color="auto"/>
            <w:left w:val="none" w:sz="0" w:space="0" w:color="auto"/>
            <w:bottom w:val="none" w:sz="0" w:space="0" w:color="auto"/>
            <w:right w:val="none" w:sz="0" w:space="0" w:color="auto"/>
          </w:divBdr>
        </w:div>
        <w:div w:id="2117167354">
          <w:marLeft w:val="0"/>
          <w:marRight w:val="0"/>
          <w:marTop w:val="0"/>
          <w:marBottom w:val="0"/>
          <w:divBdr>
            <w:top w:val="none" w:sz="0" w:space="0" w:color="auto"/>
            <w:left w:val="none" w:sz="0" w:space="0" w:color="auto"/>
            <w:bottom w:val="none" w:sz="0" w:space="0" w:color="auto"/>
            <w:right w:val="none" w:sz="0" w:space="0" w:color="auto"/>
          </w:divBdr>
        </w:div>
      </w:divsChild>
    </w:div>
    <w:div w:id="1706758328">
      <w:bodyDiv w:val="1"/>
      <w:marLeft w:val="0"/>
      <w:marRight w:val="0"/>
      <w:marTop w:val="0"/>
      <w:marBottom w:val="0"/>
      <w:divBdr>
        <w:top w:val="none" w:sz="0" w:space="0" w:color="auto"/>
        <w:left w:val="none" w:sz="0" w:space="0" w:color="auto"/>
        <w:bottom w:val="none" w:sz="0" w:space="0" w:color="auto"/>
        <w:right w:val="none" w:sz="0" w:space="0" w:color="auto"/>
      </w:divBdr>
    </w:div>
    <w:div w:id="1752578447">
      <w:bodyDiv w:val="1"/>
      <w:marLeft w:val="0"/>
      <w:marRight w:val="0"/>
      <w:marTop w:val="0"/>
      <w:marBottom w:val="0"/>
      <w:divBdr>
        <w:top w:val="none" w:sz="0" w:space="0" w:color="auto"/>
        <w:left w:val="none" w:sz="0" w:space="0" w:color="auto"/>
        <w:bottom w:val="none" w:sz="0" w:space="0" w:color="auto"/>
        <w:right w:val="none" w:sz="0" w:space="0" w:color="auto"/>
      </w:divBdr>
      <w:divsChild>
        <w:div w:id="33896018">
          <w:marLeft w:val="86"/>
          <w:marRight w:val="0"/>
          <w:marTop w:val="0"/>
          <w:marBottom w:val="0"/>
          <w:divBdr>
            <w:top w:val="none" w:sz="0" w:space="0" w:color="auto"/>
            <w:left w:val="none" w:sz="0" w:space="0" w:color="auto"/>
            <w:bottom w:val="none" w:sz="0" w:space="0" w:color="auto"/>
            <w:right w:val="none" w:sz="0" w:space="0" w:color="auto"/>
          </w:divBdr>
        </w:div>
        <w:div w:id="110590250">
          <w:marLeft w:val="86"/>
          <w:marRight w:val="0"/>
          <w:marTop w:val="0"/>
          <w:marBottom w:val="0"/>
          <w:divBdr>
            <w:top w:val="none" w:sz="0" w:space="0" w:color="auto"/>
            <w:left w:val="none" w:sz="0" w:space="0" w:color="auto"/>
            <w:bottom w:val="none" w:sz="0" w:space="0" w:color="auto"/>
            <w:right w:val="none" w:sz="0" w:space="0" w:color="auto"/>
          </w:divBdr>
        </w:div>
        <w:div w:id="710685500">
          <w:marLeft w:val="86"/>
          <w:marRight w:val="0"/>
          <w:marTop w:val="0"/>
          <w:marBottom w:val="0"/>
          <w:divBdr>
            <w:top w:val="none" w:sz="0" w:space="0" w:color="auto"/>
            <w:left w:val="none" w:sz="0" w:space="0" w:color="auto"/>
            <w:bottom w:val="none" w:sz="0" w:space="0" w:color="auto"/>
            <w:right w:val="none" w:sz="0" w:space="0" w:color="auto"/>
          </w:divBdr>
        </w:div>
        <w:div w:id="1154487751">
          <w:marLeft w:val="86"/>
          <w:marRight w:val="0"/>
          <w:marTop w:val="0"/>
          <w:marBottom w:val="0"/>
          <w:divBdr>
            <w:top w:val="none" w:sz="0" w:space="0" w:color="auto"/>
            <w:left w:val="none" w:sz="0" w:space="0" w:color="auto"/>
            <w:bottom w:val="none" w:sz="0" w:space="0" w:color="auto"/>
            <w:right w:val="none" w:sz="0" w:space="0" w:color="auto"/>
          </w:divBdr>
        </w:div>
        <w:div w:id="1441678191">
          <w:marLeft w:val="86"/>
          <w:marRight w:val="0"/>
          <w:marTop w:val="0"/>
          <w:marBottom w:val="0"/>
          <w:divBdr>
            <w:top w:val="none" w:sz="0" w:space="0" w:color="auto"/>
            <w:left w:val="none" w:sz="0" w:space="0" w:color="auto"/>
            <w:bottom w:val="none" w:sz="0" w:space="0" w:color="auto"/>
            <w:right w:val="none" w:sz="0" w:space="0" w:color="auto"/>
          </w:divBdr>
        </w:div>
        <w:div w:id="1697537891">
          <w:marLeft w:val="86"/>
          <w:marRight w:val="0"/>
          <w:marTop w:val="0"/>
          <w:marBottom w:val="0"/>
          <w:divBdr>
            <w:top w:val="none" w:sz="0" w:space="0" w:color="auto"/>
            <w:left w:val="none" w:sz="0" w:space="0" w:color="auto"/>
            <w:bottom w:val="none" w:sz="0" w:space="0" w:color="auto"/>
            <w:right w:val="none" w:sz="0" w:space="0" w:color="auto"/>
          </w:divBdr>
        </w:div>
      </w:divsChild>
    </w:div>
    <w:div w:id="1766146158">
      <w:bodyDiv w:val="1"/>
      <w:marLeft w:val="0"/>
      <w:marRight w:val="0"/>
      <w:marTop w:val="0"/>
      <w:marBottom w:val="0"/>
      <w:divBdr>
        <w:top w:val="none" w:sz="0" w:space="0" w:color="auto"/>
        <w:left w:val="none" w:sz="0" w:space="0" w:color="auto"/>
        <w:bottom w:val="none" w:sz="0" w:space="0" w:color="auto"/>
        <w:right w:val="none" w:sz="0" w:space="0" w:color="auto"/>
      </w:divBdr>
    </w:div>
    <w:div w:id="1832989476">
      <w:bodyDiv w:val="1"/>
      <w:marLeft w:val="0"/>
      <w:marRight w:val="0"/>
      <w:marTop w:val="0"/>
      <w:marBottom w:val="0"/>
      <w:divBdr>
        <w:top w:val="none" w:sz="0" w:space="0" w:color="auto"/>
        <w:left w:val="none" w:sz="0" w:space="0" w:color="auto"/>
        <w:bottom w:val="none" w:sz="0" w:space="0" w:color="auto"/>
        <w:right w:val="none" w:sz="0" w:space="0" w:color="auto"/>
      </w:divBdr>
      <w:divsChild>
        <w:div w:id="290476335">
          <w:marLeft w:val="86"/>
          <w:marRight w:val="0"/>
          <w:marTop w:val="0"/>
          <w:marBottom w:val="0"/>
          <w:divBdr>
            <w:top w:val="none" w:sz="0" w:space="0" w:color="auto"/>
            <w:left w:val="none" w:sz="0" w:space="0" w:color="auto"/>
            <w:bottom w:val="none" w:sz="0" w:space="0" w:color="auto"/>
            <w:right w:val="none" w:sz="0" w:space="0" w:color="auto"/>
          </w:divBdr>
        </w:div>
        <w:div w:id="544756342">
          <w:marLeft w:val="86"/>
          <w:marRight w:val="0"/>
          <w:marTop w:val="0"/>
          <w:marBottom w:val="0"/>
          <w:divBdr>
            <w:top w:val="none" w:sz="0" w:space="0" w:color="auto"/>
            <w:left w:val="none" w:sz="0" w:space="0" w:color="auto"/>
            <w:bottom w:val="none" w:sz="0" w:space="0" w:color="auto"/>
            <w:right w:val="none" w:sz="0" w:space="0" w:color="auto"/>
          </w:divBdr>
        </w:div>
        <w:div w:id="548960710">
          <w:marLeft w:val="86"/>
          <w:marRight w:val="0"/>
          <w:marTop w:val="0"/>
          <w:marBottom w:val="0"/>
          <w:divBdr>
            <w:top w:val="none" w:sz="0" w:space="0" w:color="auto"/>
            <w:left w:val="none" w:sz="0" w:space="0" w:color="auto"/>
            <w:bottom w:val="none" w:sz="0" w:space="0" w:color="auto"/>
            <w:right w:val="none" w:sz="0" w:space="0" w:color="auto"/>
          </w:divBdr>
        </w:div>
        <w:div w:id="796533315">
          <w:marLeft w:val="446"/>
          <w:marRight w:val="0"/>
          <w:marTop w:val="0"/>
          <w:marBottom w:val="0"/>
          <w:divBdr>
            <w:top w:val="none" w:sz="0" w:space="0" w:color="auto"/>
            <w:left w:val="none" w:sz="0" w:space="0" w:color="auto"/>
            <w:bottom w:val="none" w:sz="0" w:space="0" w:color="auto"/>
            <w:right w:val="none" w:sz="0" w:space="0" w:color="auto"/>
          </w:divBdr>
        </w:div>
        <w:div w:id="947851576">
          <w:marLeft w:val="86"/>
          <w:marRight w:val="0"/>
          <w:marTop w:val="0"/>
          <w:marBottom w:val="0"/>
          <w:divBdr>
            <w:top w:val="none" w:sz="0" w:space="0" w:color="auto"/>
            <w:left w:val="none" w:sz="0" w:space="0" w:color="auto"/>
            <w:bottom w:val="none" w:sz="0" w:space="0" w:color="auto"/>
            <w:right w:val="none" w:sz="0" w:space="0" w:color="auto"/>
          </w:divBdr>
        </w:div>
        <w:div w:id="1145052418">
          <w:marLeft w:val="86"/>
          <w:marRight w:val="0"/>
          <w:marTop w:val="0"/>
          <w:marBottom w:val="0"/>
          <w:divBdr>
            <w:top w:val="none" w:sz="0" w:space="0" w:color="auto"/>
            <w:left w:val="none" w:sz="0" w:space="0" w:color="auto"/>
            <w:bottom w:val="none" w:sz="0" w:space="0" w:color="auto"/>
            <w:right w:val="none" w:sz="0" w:space="0" w:color="auto"/>
          </w:divBdr>
        </w:div>
        <w:div w:id="1332565737">
          <w:marLeft w:val="86"/>
          <w:marRight w:val="0"/>
          <w:marTop w:val="0"/>
          <w:marBottom w:val="0"/>
          <w:divBdr>
            <w:top w:val="none" w:sz="0" w:space="0" w:color="auto"/>
            <w:left w:val="none" w:sz="0" w:space="0" w:color="auto"/>
            <w:bottom w:val="none" w:sz="0" w:space="0" w:color="auto"/>
            <w:right w:val="none" w:sz="0" w:space="0" w:color="auto"/>
          </w:divBdr>
        </w:div>
        <w:div w:id="1840610086">
          <w:marLeft w:val="86"/>
          <w:marRight w:val="0"/>
          <w:marTop w:val="0"/>
          <w:marBottom w:val="0"/>
          <w:divBdr>
            <w:top w:val="none" w:sz="0" w:space="0" w:color="auto"/>
            <w:left w:val="none" w:sz="0" w:space="0" w:color="auto"/>
            <w:bottom w:val="none" w:sz="0" w:space="0" w:color="auto"/>
            <w:right w:val="none" w:sz="0" w:space="0" w:color="auto"/>
          </w:divBdr>
        </w:div>
        <w:div w:id="1996639976">
          <w:marLeft w:val="86"/>
          <w:marRight w:val="0"/>
          <w:marTop w:val="0"/>
          <w:marBottom w:val="0"/>
          <w:divBdr>
            <w:top w:val="none" w:sz="0" w:space="0" w:color="auto"/>
            <w:left w:val="none" w:sz="0" w:space="0" w:color="auto"/>
            <w:bottom w:val="none" w:sz="0" w:space="0" w:color="auto"/>
            <w:right w:val="none" w:sz="0" w:space="0" w:color="auto"/>
          </w:divBdr>
        </w:div>
      </w:divsChild>
    </w:div>
    <w:div w:id="1856839619">
      <w:bodyDiv w:val="1"/>
      <w:marLeft w:val="0"/>
      <w:marRight w:val="0"/>
      <w:marTop w:val="0"/>
      <w:marBottom w:val="0"/>
      <w:divBdr>
        <w:top w:val="none" w:sz="0" w:space="0" w:color="auto"/>
        <w:left w:val="none" w:sz="0" w:space="0" w:color="auto"/>
        <w:bottom w:val="none" w:sz="0" w:space="0" w:color="auto"/>
        <w:right w:val="none" w:sz="0" w:space="0" w:color="auto"/>
      </w:divBdr>
    </w:div>
    <w:div w:id="1993290403">
      <w:bodyDiv w:val="1"/>
      <w:marLeft w:val="0"/>
      <w:marRight w:val="0"/>
      <w:marTop w:val="0"/>
      <w:marBottom w:val="0"/>
      <w:divBdr>
        <w:top w:val="none" w:sz="0" w:space="0" w:color="auto"/>
        <w:left w:val="none" w:sz="0" w:space="0" w:color="auto"/>
        <w:bottom w:val="none" w:sz="0" w:space="0" w:color="auto"/>
        <w:right w:val="none" w:sz="0" w:space="0" w:color="auto"/>
      </w:divBdr>
    </w:div>
    <w:div w:id="2004160602">
      <w:bodyDiv w:val="1"/>
      <w:marLeft w:val="0"/>
      <w:marRight w:val="0"/>
      <w:marTop w:val="0"/>
      <w:marBottom w:val="0"/>
      <w:divBdr>
        <w:top w:val="none" w:sz="0" w:space="0" w:color="auto"/>
        <w:left w:val="none" w:sz="0" w:space="0" w:color="auto"/>
        <w:bottom w:val="none" w:sz="0" w:space="0" w:color="auto"/>
        <w:right w:val="none" w:sz="0" w:space="0" w:color="auto"/>
      </w:divBdr>
    </w:div>
    <w:div w:id="2080319920">
      <w:bodyDiv w:val="1"/>
      <w:marLeft w:val="0"/>
      <w:marRight w:val="0"/>
      <w:marTop w:val="0"/>
      <w:marBottom w:val="0"/>
      <w:divBdr>
        <w:top w:val="none" w:sz="0" w:space="0" w:color="auto"/>
        <w:left w:val="none" w:sz="0" w:space="0" w:color="auto"/>
        <w:bottom w:val="none" w:sz="0" w:space="0" w:color="auto"/>
        <w:right w:val="none" w:sz="0" w:space="0" w:color="auto"/>
      </w:divBdr>
      <w:divsChild>
        <w:div w:id="21054085">
          <w:marLeft w:val="0"/>
          <w:marRight w:val="0"/>
          <w:marTop w:val="0"/>
          <w:marBottom w:val="0"/>
          <w:divBdr>
            <w:top w:val="none" w:sz="0" w:space="0" w:color="auto"/>
            <w:left w:val="none" w:sz="0" w:space="0" w:color="auto"/>
            <w:bottom w:val="none" w:sz="0" w:space="0" w:color="auto"/>
            <w:right w:val="none" w:sz="0" w:space="0" w:color="auto"/>
          </w:divBdr>
          <w:divsChild>
            <w:div w:id="133059802">
              <w:marLeft w:val="0"/>
              <w:marRight w:val="0"/>
              <w:marTop w:val="0"/>
              <w:marBottom w:val="0"/>
              <w:divBdr>
                <w:top w:val="none" w:sz="0" w:space="0" w:color="auto"/>
                <w:left w:val="none" w:sz="0" w:space="0" w:color="auto"/>
                <w:bottom w:val="none" w:sz="0" w:space="0" w:color="auto"/>
                <w:right w:val="none" w:sz="0" w:space="0" w:color="auto"/>
              </w:divBdr>
              <w:divsChild>
                <w:div w:id="1873956259">
                  <w:marLeft w:val="0"/>
                  <w:marRight w:val="0"/>
                  <w:marTop w:val="0"/>
                  <w:marBottom w:val="0"/>
                  <w:divBdr>
                    <w:top w:val="none" w:sz="0" w:space="0" w:color="auto"/>
                    <w:left w:val="none" w:sz="0" w:space="0" w:color="auto"/>
                    <w:bottom w:val="none" w:sz="0" w:space="0" w:color="auto"/>
                    <w:right w:val="none" w:sz="0" w:space="0" w:color="auto"/>
                  </w:divBdr>
                </w:div>
              </w:divsChild>
            </w:div>
            <w:div w:id="286668635">
              <w:marLeft w:val="0"/>
              <w:marRight w:val="0"/>
              <w:marTop w:val="0"/>
              <w:marBottom w:val="0"/>
              <w:divBdr>
                <w:top w:val="none" w:sz="0" w:space="0" w:color="auto"/>
                <w:left w:val="none" w:sz="0" w:space="0" w:color="auto"/>
                <w:bottom w:val="none" w:sz="0" w:space="0" w:color="auto"/>
                <w:right w:val="none" w:sz="0" w:space="0" w:color="auto"/>
              </w:divBdr>
              <w:divsChild>
                <w:div w:id="1801221769">
                  <w:marLeft w:val="0"/>
                  <w:marRight w:val="0"/>
                  <w:marTop w:val="0"/>
                  <w:marBottom w:val="0"/>
                  <w:divBdr>
                    <w:top w:val="none" w:sz="0" w:space="0" w:color="auto"/>
                    <w:left w:val="none" w:sz="0" w:space="0" w:color="auto"/>
                    <w:bottom w:val="none" w:sz="0" w:space="0" w:color="auto"/>
                    <w:right w:val="none" w:sz="0" w:space="0" w:color="auto"/>
                  </w:divBdr>
                </w:div>
              </w:divsChild>
            </w:div>
            <w:div w:id="561911714">
              <w:marLeft w:val="0"/>
              <w:marRight w:val="0"/>
              <w:marTop w:val="0"/>
              <w:marBottom w:val="0"/>
              <w:divBdr>
                <w:top w:val="none" w:sz="0" w:space="0" w:color="auto"/>
                <w:left w:val="none" w:sz="0" w:space="0" w:color="auto"/>
                <w:bottom w:val="none" w:sz="0" w:space="0" w:color="auto"/>
                <w:right w:val="none" w:sz="0" w:space="0" w:color="auto"/>
              </w:divBdr>
              <w:divsChild>
                <w:div w:id="897862358">
                  <w:marLeft w:val="0"/>
                  <w:marRight w:val="0"/>
                  <w:marTop w:val="0"/>
                  <w:marBottom w:val="0"/>
                  <w:divBdr>
                    <w:top w:val="none" w:sz="0" w:space="0" w:color="auto"/>
                    <w:left w:val="none" w:sz="0" w:space="0" w:color="auto"/>
                    <w:bottom w:val="none" w:sz="0" w:space="0" w:color="auto"/>
                    <w:right w:val="none" w:sz="0" w:space="0" w:color="auto"/>
                  </w:divBdr>
                </w:div>
              </w:divsChild>
            </w:div>
            <w:div w:id="582908860">
              <w:marLeft w:val="0"/>
              <w:marRight w:val="0"/>
              <w:marTop w:val="0"/>
              <w:marBottom w:val="0"/>
              <w:divBdr>
                <w:top w:val="none" w:sz="0" w:space="0" w:color="auto"/>
                <w:left w:val="none" w:sz="0" w:space="0" w:color="auto"/>
                <w:bottom w:val="none" w:sz="0" w:space="0" w:color="auto"/>
                <w:right w:val="none" w:sz="0" w:space="0" w:color="auto"/>
              </w:divBdr>
              <w:divsChild>
                <w:div w:id="1733234526">
                  <w:marLeft w:val="0"/>
                  <w:marRight w:val="0"/>
                  <w:marTop w:val="0"/>
                  <w:marBottom w:val="0"/>
                  <w:divBdr>
                    <w:top w:val="none" w:sz="0" w:space="0" w:color="auto"/>
                    <w:left w:val="none" w:sz="0" w:space="0" w:color="auto"/>
                    <w:bottom w:val="none" w:sz="0" w:space="0" w:color="auto"/>
                    <w:right w:val="none" w:sz="0" w:space="0" w:color="auto"/>
                  </w:divBdr>
                </w:div>
              </w:divsChild>
            </w:div>
            <w:div w:id="631446505">
              <w:marLeft w:val="0"/>
              <w:marRight w:val="0"/>
              <w:marTop w:val="0"/>
              <w:marBottom w:val="0"/>
              <w:divBdr>
                <w:top w:val="none" w:sz="0" w:space="0" w:color="auto"/>
                <w:left w:val="none" w:sz="0" w:space="0" w:color="auto"/>
                <w:bottom w:val="none" w:sz="0" w:space="0" w:color="auto"/>
                <w:right w:val="none" w:sz="0" w:space="0" w:color="auto"/>
              </w:divBdr>
              <w:divsChild>
                <w:div w:id="952782951">
                  <w:marLeft w:val="0"/>
                  <w:marRight w:val="0"/>
                  <w:marTop w:val="0"/>
                  <w:marBottom w:val="0"/>
                  <w:divBdr>
                    <w:top w:val="none" w:sz="0" w:space="0" w:color="auto"/>
                    <w:left w:val="none" w:sz="0" w:space="0" w:color="auto"/>
                    <w:bottom w:val="none" w:sz="0" w:space="0" w:color="auto"/>
                    <w:right w:val="none" w:sz="0" w:space="0" w:color="auto"/>
                  </w:divBdr>
                </w:div>
              </w:divsChild>
            </w:div>
            <w:div w:id="795833709">
              <w:marLeft w:val="0"/>
              <w:marRight w:val="0"/>
              <w:marTop w:val="0"/>
              <w:marBottom w:val="0"/>
              <w:divBdr>
                <w:top w:val="none" w:sz="0" w:space="0" w:color="auto"/>
                <w:left w:val="none" w:sz="0" w:space="0" w:color="auto"/>
                <w:bottom w:val="none" w:sz="0" w:space="0" w:color="auto"/>
                <w:right w:val="none" w:sz="0" w:space="0" w:color="auto"/>
              </w:divBdr>
              <w:divsChild>
                <w:div w:id="1161697386">
                  <w:marLeft w:val="0"/>
                  <w:marRight w:val="0"/>
                  <w:marTop w:val="0"/>
                  <w:marBottom w:val="0"/>
                  <w:divBdr>
                    <w:top w:val="none" w:sz="0" w:space="0" w:color="auto"/>
                    <w:left w:val="none" w:sz="0" w:space="0" w:color="auto"/>
                    <w:bottom w:val="none" w:sz="0" w:space="0" w:color="auto"/>
                    <w:right w:val="none" w:sz="0" w:space="0" w:color="auto"/>
                  </w:divBdr>
                </w:div>
              </w:divsChild>
            </w:div>
            <w:div w:id="985351549">
              <w:marLeft w:val="0"/>
              <w:marRight w:val="0"/>
              <w:marTop w:val="0"/>
              <w:marBottom w:val="0"/>
              <w:divBdr>
                <w:top w:val="none" w:sz="0" w:space="0" w:color="auto"/>
                <w:left w:val="none" w:sz="0" w:space="0" w:color="auto"/>
                <w:bottom w:val="none" w:sz="0" w:space="0" w:color="auto"/>
                <w:right w:val="none" w:sz="0" w:space="0" w:color="auto"/>
              </w:divBdr>
              <w:divsChild>
                <w:div w:id="1132601711">
                  <w:marLeft w:val="0"/>
                  <w:marRight w:val="0"/>
                  <w:marTop w:val="0"/>
                  <w:marBottom w:val="0"/>
                  <w:divBdr>
                    <w:top w:val="none" w:sz="0" w:space="0" w:color="auto"/>
                    <w:left w:val="none" w:sz="0" w:space="0" w:color="auto"/>
                    <w:bottom w:val="none" w:sz="0" w:space="0" w:color="auto"/>
                    <w:right w:val="none" w:sz="0" w:space="0" w:color="auto"/>
                  </w:divBdr>
                </w:div>
              </w:divsChild>
            </w:div>
            <w:div w:id="1096823426">
              <w:marLeft w:val="0"/>
              <w:marRight w:val="0"/>
              <w:marTop w:val="0"/>
              <w:marBottom w:val="0"/>
              <w:divBdr>
                <w:top w:val="none" w:sz="0" w:space="0" w:color="auto"/>
                <w:left w:val="none" w:sz="0" w:space="0" w:color="auto"/>
                <w:bottom w:val="none" w:sz="0" w:space="0" w:color="auto"/>
                <w:right w:val="none" w:sz="0" w:space="0" w:color="auto"/>
              </w:divBdr>
              <w:divsChild>
                <w:div w:id="1004745253">
                  <w:marLeft w:val="0"/>
                  <w:marRight w:val="0"/>
                  <w:marTop w:val="0"/>
                  <w:marBottom w:val="0"/>
                  <w:divBdr>
                    <w:top w:val="none" w:sz="0" w:space="0" w:color="auto"/>
                    <w:left w:val="none" w:sz="0" w:space="0" w:color="auto"/>
                    <w:bottom w:val="none" w:sz="0" w:space="0" w:color="auto"/>
                    <w:right w:val="none" w:sz="0" w:space="0" w:color="auto"/>
                  </w:divBdr>
                </w:div>
              </w:divsChild>
            </w:div>
            <w:div w:id="1102261080">
              <w:marLeft w:val="0"/>
              <w:marRight w:val="0"/>
              <w:marTop w:val="0"/>
              <w:marBottom w:val="0"/>
              <w:divBdr>
                <w:top w:val="none" w:sz="0" w:space="0" w:color="auto"/>
                <w:left w:val="none" w:sz="0" w:space="0" w:color="auto"/>
                <w:bottom w:val="none" w:sz="0" w:space="0" w:color="auto"/>
                <w:right w:val="none" w:sz="0" w:space="0" w:color="auto"/>
              </w:divBdr>
              <w:divsChild>
                <w:div w:id="278294604">
                  <w:marLeft w:val="0"/>
                  <w:marRight w:val="0"/>
                  <w:marTop w:val="0"/>
                  <w:marBottom w:val="0"/>
                  <w:divBdr>
                    <w:top w:val="none" w:sz="0" w:space="0" w:color="auto"/>
                    <w:left w:val="none" w:sz="0" w:space="0" w:color="auto"/>
                    <w:bottom w:val="none" w:sz="0" w:space="0" w:color="auto"/>
                    <w:right w:val="none" w:sz="0" w:space="0" w:color="auto"/>
                  </w:divBdr>
                </w:div>
              </w:divsChild>
            </w:div>
            <w:div w:id="1460999568">
              <w:marLeft w:val="0"/>
              <w:marRight w:val="0"/>
              <w:marTop w:val="0"/>
              <w:marBottom w:val="0"/>
              <w:divBdr>
                <w:top w:val="none" w:sz="0" w:space="0" w:color="auto"/>
                <w:left w:val="none" w:sz="0" w:space="0" w:color="auto"/>
                <w:bottom w:val="none" w:sz="0" w:space="0" w:color="auto"/>
                <w:right w:val="none" w:sz="0" w:space="0" w:color="auto"/>
              </w:divBdr>
              <w:divsChild>
                <w:div w:id="784278402">
                  <w:marLeft w:val="0"/>
                  <w:marRight w:val="0"/>
                  <w:marTop w:val="0"/>
                  <w:marBottom w:val="0"/>
                  <w:divBdr>
                    <w:top w:val="none" w:sz="0" w:space="0" w:color="auto"/>
                    <w:left w:val="none" w:sz="0" w:space="0" w:color="auto"/>
                    <w:bottom w:val="none" w:sz="0" w:space="0" w:color="auto"/>
                    <w:right w:val="none" w:sz="0" w:space="0" w:color="auto"/>
                  </w:divBdr>
                </w:div>
              </w:divsChild>
            </w:div>
            <w:div w:id="1693191865">
              <w:marLeft w:val="0"/>
              <w:marRight w:val="0"/>
              <w:marTop w:val="0"/>
              <w:marBottom w:val="0"/>
              <w:divBdr>
                <w:top w:val="none" w:sz="0" w:space="0" w:color="auto"/>
                <w:left w:val="none" w:sz="0" w:space="0" w:color="auto"/>
                <w:bottom w:val="none" w:sz="0" w:space="0" w:color="auto"/>
                <w:right w:val="none" w:sz="0" w:space="0" w:color="auto"/>
              </w:divBdr>
              <w:divsChild>
                <w:div w:id="1138958551">
                  <w:marLeft w:val="0"/>
                  <w:marRight w:val="0"/>
                  <w:marTop w:val="0"/>
                  <w:marBottom w:val="0"/>
                  <w:divBdr>
                    <w:top w:val="none" w:sz="0" w:space="0" w:color="auto"/>
                    <w:left w:val="none" w:sz="0" w:space="0" w:color="auto"/>
                    <w:bottom w:val="none" w:sz="0" w:space="0" w:color="auto"/>
                    <w:right w:val="none" w:sz="0" w:space="0" w:color="auto"/>
                  </w:divBdr>
                </w:div>
              </w:divsChild>
            </w:div>
            <w:div w:id="1733043378">
              <w:marLeft w:val="0"/>
              <w:marRight w:val="0"/>
              <w:marTop w:val="0"/>
              <w:marBottom w:val="0"/>
              <w:divBdr>
                <w:top w:val="none" w:sz="0" w:space="0" w:color="auto"/>
                <w:left w:val="none" w:sz="0" w:space="0" w:color="auto"/>
                <w:bottom w:val="none" w:sz="0" w:space="0" w:color="auto"/>
                <w:right w:val="none" w:sz="0" w:space="0" w:color="auto"/>
              </w:divBdr>
              <w:divsChild>
                <w:div w:id="2014143324">
                  <w:marLeft w:val="0"/>
                  <w:marRight w:val="0"/>
                  <w:marTop w:val="0"/>
                  <w:marBottom w:val="0"/>
                  <w:divBdr>
                    <w:top w:val="none" w:sz="0" w:space="0" w:color="auto"/>
                    <w:left w:val="none" w:sz="0" w:space="0" w:color="auto"/>
                    <w:bottom w:val="none" w:sz="0" w:space="0" w:color="auto"/>
                    <w:right w:val="none" w:sz="0" w:space="0" w:color="auto"/>
                  </w:divBdr>
                </w:div>
              </w:divsChild>
            </w:div>
            <w:div w:id="1770925820">
              <w:marLeft w:val="0"/>
              <w:marRight w:val="0"/>
              <w:marTop w:val="0"/>
              <w:marBottom w:val="0"/>
              <w:divBdr>
                <w:top w:val="none" w:sz="0" w:space="0" w:color="auto"/>
                <w:left w:val="none" w:sz="0" w:space="0" w:color="auto"/>
                <w:bottom w:val="none" w:sz="0" w:space="0" w:color="auto"/>
                <w:right w:val="none" w:sz="0" w:space="0" w:color="auto"/>
              </w:divBdr>
              <w:divsChild>
                <w:div w:id="694693897">
                  <w:marLeft w:val="0"/>
                  <w:marRight w:val="0"/>
                  <w:marTop w:val="0"/>
                  <w:marBottom w:val="0"/>
                  <w:divBdr>
                    <w:top w:val="none" w:sz="0" w:space="0" w:color="auto"/>
                    <w:left w:val="none" w:sz="0" w:space="0" w:color="auto"/>
                    <w:bottom w:val="none" w:sz="0" w:space="0" w:color="auto"/>
                    <w:right w:val="none" w:sz="0" w:space="0" w:color="auto"/>
                  </w:divBdr>
                </w:div>
              </w:divsChild>
            </w:div>
            <w:div w:id="1777673663">
              <w:marLeft w:val="0"/>
              <w:marRight w:val="0"/>
              <w:marTop w:val="0"/>
              <w:marBottom w:val="0"/>
              <w:divBdr>
                <w:top w:val="none" w:sz="0" w:space="0" w:color="auto"/>
                <w:left w:val="none" w:sz="0" w:space="0" w:color="auto"/>
                <w:bottom w:val="none" w:sz="0" w:space="0" w:color="auto"/>
                <w:right w:val="none" w:sz="0" w:space="0" w:color="auto"/>
              </w:divBdr>
              <w:divsChild>
                <w:div w:id="190382533">
                  <w:marLeft w:val="0"/>
                  <w:marRight w:val="0"/>
                  <w:marTop w:val="0"/>
                  <w:marBottom w:val="0"/>
                  <w:divBdr>
                    <w:top w:val="none" w:sz="0" w:space="0" w:color="auto"/>
                    <w:left w:val="none" w:sz="0" w:space="0" w:color="auto"/>
                    <w:bottom w:val="none" w:sz="0" w:space="0" w:color="auto"/>
                    <w:right w:val="none" w:sz="0" w:space="0" w:color="auto"/>
                  </w:divBdr>
                </w:div>
              </w:divsChild>
            </w:div>
            <w:div w:id="1852908104">
              <w:marLeft w:val="0"/>
              <w:marRight w:val="0"/>
              <w:marTop w:val="0"/>
              <w:marBottom w:val="0"/>
              <w:divBdr>
                <w:top w:val="none" w:sz="0" w:space="0" w:color="auto"/>
                <w:left w:val="none" w:sz="0" w:space="0" w:color="auto"/>
                <w:bottom w:val="none" w:sz="0" w:space="0" w:color="auto"/>
                <w:right w:val="none" w:sz="0" w:space="0" w:color="auto"/>
              </w:divBdr>
              <w:divsChild>
                <w:div w:id="2108698336">
                  <w:marLeft w:val="0"/>
                  <w:marRight w:val="0"/>
                  <w:marTop w:val="0"/>
                  <w:marBottom w:val="0"/>
                  <w:divBdr>
                    <w:top w:val="none" w:sz="0" w:space="0" w:color="auto"/>
                    <w:left w:val="none" w:sz="0" w:space="0" w:color="auto"/>
                    <w:bottom w:val="none" w:sz="0" w:space="0" w:color="auto"/>
                    <w:right w:val="none" w:sz="0" w:space="0" w:color="auto"/>
                  </w:divBdr>
                </w:div>
              </w:divsChild>
            </w:div>
            <w:div w:id="1866598330">
              <w:marLeft w:val="0"/>
              <w:marRight w:val="0"/>
              <w:marTop w:val="0"/>
              <w:marBottom w:val="0"/>
              <w:divBdr>
                <w:top w:val="none" w:sz="0" w:space="0" w:color="auto"/>
                <w:left w:val="none" w:sz="0" w:space="0" w:color="auto"/>
                <w:bottom w:val="none" w:sz="0" w:space="0" w:color="auto"/>
                <w:right w:val="none" w:sz="0" w:space="0" w:color="auto"/>
              </w:divBdr>
              <w:divsChild>
                <w:div w:id="1692294357">
                  <w:marLeft w:val="0"/>
                  <w:marRight w:val="0"/>
                  <w:marTop w:val="0"/>
                  <w:marBottom w:val="0"/>
                  <w:divBdr>
                    <w:top w:val="none" w:sz="0" w:space="0" w:color="auto"/>
                    <w:left w:val="none" w:sz="0" w:space="0" w:color="auto"/>
                    <w:bottom w:val="none" w:sz="0" w:space="0" w:color="auto"/>
                    <w:right w:val="none" w:sz="0" w:space="0" w:color="auto"/>
                  </w:divBdr>
                </w:div>
              </w:divsChild>
            </w:div>
            <w:div w:id="1910311733">
              <w:marLeft w:val="0"/>
              <w:marRight w:val="0"/>
              <w:marTop w:val="0"/>
              <w:marBottom w:val="0"/>
              <w:divBdr>
                <w:top w:val="none" w:sz="0" w:space="0" w:color="auto"/>
                <w:left w:val="none" w:sz="0" w:space="0" w:color="auto"/>
                <w:bottom w:val="none" w:sz="0" w:space="0" w:color="auto"/>
                <w:right w:val="none" w:sz="0" w:space="0" w:color="auto"/>
              </w:divBdr>
              <w:divsChild>
                <w:div w:id="1136871555">
                  <w:marLeft w:val="0"/>
                  <w:marRight w:val="0"/>
                  <w:marTop w:val="0"/>
                  <w:marBottom w:val="0"/>
                  <w:divBdr>
                    <w:top w:val="none" w:sz="0" w:space="0" w:color="auto"/>
                    <w:left w:val="none" w:sz="0" w:space="0" w:color="auto"/>
                    <w:bottom w:val="none" w:sz="0" w:space="0" w:color="auto"/>
                    <w:right w:val="none" w:sz="0" w:space="0" w:color="auto"/>
                  </w:divBdr>
                </w:div>
              </w:divsChild>
            </w:div>
            <w:div w:id="2087720759">
              <w:marLeft w:val="0"/>
              <w:marRight w:val="0"/>
              <w:marTop w:val="0"/>
              <w:marBottom w:val="0"/>
              <w:divBdr>
                <w:top w:val="none" w:sz="0" w:space="0" w:color="auto"/>
                <w:left w:val="none" w:sz="0" w:space="0" w:color="auto"/>
                <w:bottom w:val="none" w:sz="0" w:space="0" w:color="auto"/>
                <w:right w:val="none" w:sz="0" w:space="0" w:color="auto"/>
              </w:divBdr>
              <w:divsChild>
                <w:div w:id="17302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77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jp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60.png"/><Relationship Id="rId9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gif"/><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jpe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jp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jp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jp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chart" Target="charts/chart1.xm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major-conditions-strategy-case-for-change-and-our-strategic-framework/summary-of-strategic-framework" TargetMode="External"/><Relationship Id="rId3" Type="http://schemas.openxmlformats.org/officeDocument/2006/relationships/hyperlink" Target="https://www.nice.org.uk/guidance/ng205/chapter/Context" TargetMode="External"/><Relationship Id="rId7" Type="http://schemas.openxmlformats.org/officeDocument/2006/relationships/hyperlink" Target="https://www.england.nhs.uk/long-read/improving-the-physical-health-of-people-living-with-severe-mental-illness/" TargetMode="External"/><Relationship Id="rId2" Type="http://schemas.openxmlformats.org/officeDocument/2006/relationships/hyperlink" Target="https://lancashire-cca.gov.uk/sites/default/files/2025-09/DIGITAL_Get%20Lancashire%20Working%20Plan_LCC8019.pdf" TargetMode="External"/><Relationship Id="rId1" Type="http://schemas.openxmlformats.org/officeDocument/2006/relationships/hyperlink" Target="https://www.gov.uk/government/statistics/english-housing-survey-local-authority-housing-stock-condition-modelling-2023/english-housing-survey-local-authority-housing-stock-condition-modelling-2023-main-report" TargetMode="External"/><Relationship Id="rId6" Type="http://schemas.openxmlformats.org/officeDocument/2006/relationships/hyperlink" Target="https://www.ons.gov.uk/peoplepopulationandcommunity/culturalidentity/sexuality/methodologies/sexualorientationandgenderidentityqualityinformationforcensus2021" TargetMode="External"/><Relationship Id="rId5" Type="http://schemas.openxmlformats.org/officeDocument/2006/relationships/hyperlink" Target="https://www.england.nhs.uk/2024/01/nhs-expands-mental-health-support-for-veterans-with-more-than-half-saying-its-hard-to-speak-up/" TargetMode="External"/><Relationship Id="rId10" Type="http://schemas.openxmlformats.org/officeDocument/2006/relationships/hyperlink" Target="https://www.ons.gov.uk/peoplepopulationandcommunity/birthsdeathsandmarriages/deaths/methodologies/suicideratesintheukqmi" TargetMode="External"/><Relationship Id="rId4" Type="http://schemas.openxmlformats.org/officeDocument/2006/relationships/hyperlink" Target="https://www.gov.uk/government/publications/the-health-of-people-in-prison-on-probation-and-in-the-secure-nhs-estate-in-england" TargetMode="External"/><Relationship Id="rId9" Type="http://schemas.openxmlformats.org/officeDocument/2006/relationships/hyperlink" Target="https://www.england.nhs.uk/blog/we-must-improve-physical-healthcare-for-people-with-severe-mental-illnes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N4860\Downloads\data-children-looked-after-in-england-including-adoptions.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'data-children-looked-after-in-e'!$J$21</c:f>
              <c:strCache>
                <c:ptCount val="1"/>
                <c:pt idx="0">
                  <c:v>L&amp;SC % in education, employment or training</c:v>
                </c:pt>
              </c:strCache>
            </c:strRef>
          </c:tx>
          <c:spPr>
            <a:ln w="28575" cap="rnd">
              <a:solidFill>
                <a:schemeClr val="accent1"/>
              </a:solidFill>
              <a:round/>
            </a:ln>
            <a:effectLst/>
          </c:spPr>
          <c:marker>
            <c:symbol val="none"/>
          </c:marker>
          <c:cat>
            <c:numRef>
              <c:f>'data-children-looked-after-in-e'!$K$20:$O$20</c:f>
              <c:numCache>
                <c:formatCode>General</c:formatCode>
                <c:ptCount val="5"/>
                <c:pt idx="0">
                  <c:v>2019</c:v>
                </c:pt>
                <c:pt idx="1">
                  <c:v>2020</c:v>
                </c:pt>
                <c:pt idx="2">
                  <c:v>2021</c:v>
                </c:pt>
                <c:pt idx="3">
                  <c:v>2022</c:v>
                </c:pt>
                <c:pt idx="4">
                  <c:v>2023</c:v>
                </c:pt>
              </c:numCache>
            </c:numRef>
          </c:cat>
          <c:val>
            <c:numRef>
              <c:f>'data-children-looked-after-in-e'!$K$21:$O$21</c:f>
              <c:numCache>
                <c:formatCode>General</c:formatCode>
                <c:ptCount val="5"/>
                <c:pt idx="0">
                  <c:v>52.75</c:v>
                </c:pt>
                <c:pt idx="1">
                  <c:v>49.625</c:v>
                </c:pt>
                <c:pt idx="2">
                  <c:v>53.125</c:v>
                </c:pt>
                <c:pt idx="3">
                  <c:v>51.75</c:v>
                </c:pt>
                <c:pt idx="4">
                  <c:v>56</c:v>
                </c:pt>
              </c:numCache>
            </c:numRef>
          </c:val>
          <c:smooth val="0"/>
          <c:extLst>
            <c:ext xmlns:c16="http://schemas.microsoft.com/office/drawing/2014/chart" uri="{C3380CC4-5D6E-409C-BE32-E72D297353CC}">
              <c16:uniqueId val="{00000000-AA09-4556-9AA6-386A10B30B9E}"/>
            </c:ext>
          </c:extLst>
        </c:ser>
        <c:ser>
          <c:idx val="1"/>
          <c:order val="1"/>
          <c:tx>
            <c:strRef>
              <c:f>'data-children-looked-after-in-e'!$J$22</c:f>
              <c:strCache>
                <c:ptCount val="1"/>
                <c:pt idx="0">
                  <c:v>England % in education, employment or training</c:v>
                </c:pt>
              </c:strCache>
            </c:strRef>
          </c:tx>
          <c:spPr>
            <a:ln w="28575" cap="rnd">
              <a:solidFill>
                <a:schemeClr val="accent2"/>
              </a:solidFill>
              <a:round/>
            </a:ln>
            <a:effectLst/>
          </c:spPr>
          <c:marker>
            <c:symbol val="none"/>
          </c:marker>
          <c:cat>
            <c:numRef>
              <c:f>'data-children-looked-after-in-e'!$K$20:$O$20</c:f>
              <c:numCache>
                <c:formatCode>General</c:formatCode>
                <c:ptCount val="5"/>
                <c:pt idx="0">
                  <c:v>2019</c:v>
                </c:pt>
                <c:pt idx="1">
                  <c:v>2020</c:v>
                </c:pt>
                <c:pt idx="2">
                  <c:v>2021</c:v>
                </c:pt>
                <c:pt idx="3">
                  <c:v>2022</c:v>
                </c:pt>
                <c:pt idx="4">
                  <c:v>2023</c:v>
                </c:pt>
              </c:numCache>
            </c:numRef>
          </c:cat>
          <c:val>
            <c:numRef>
              <c:f>'data-children-looked-after-in-e'!$K$22:$O$22</c:f>
              <c:numCache>
                <c:formatCode>General</c:formatCode>
                <c:ptCount val="5"/>
                <c:pt idx="0">
                  <c:v>58</c:v>
                </c:pt>
                <c:pt idx="1">
                  <c:v>58.5</c:v>
                </c:pt>
                <c:pt idx="2">
                  <c:v>58.5</c:v>
                </c:pt>
                <c:pt idx="3">
                  <c:v>60.5</c:v>
                </c:pt>
                <c:pt idx="4">
                  <c:v>61</c:v>
                </c:pt>
              </c:numCache>
            </c:numRef>
          </c:val>
          <c:smooth val="0"/>
          <c:extLst>
            <c:ext xmlns:c16="http://schemas.microsoft.com/office/drawing/2014/chart" uri="{C3380CC4-5D6E-409C-BE32-E72D297353CC}">
              <c16:uniqueId val="{00000001-AA09-4556-9AA6-386A10B30B9E}"/>
            </c:ext>
          </c:extLst>
        </c:ser>
        <c:dLbls>
          <c:showLegendKey val="0"/>
          <c:showVal val="0"/>
          <c:showCatName val="0"/>
          <c:showSerName val="0"/>
          <c:showPercent val="0"/>
          <c:showBubbleSize val="0"/>
        </c:dLbls>
        <c:smooth val="0"/>
        <c:axId val="778627592"/>
        <c:axId val="778627232"/>
      </c:lineChart>
      <c:catAx>
        <c:axId val="778627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8627232"/>
        <c:crosses val="autoZero"/>
        <c:auto val="1"/>
        <c:lblAlgn val="ctr"/>
        <c:lblOffset val="100"/>
        <c:noMultiLvlLbl val="0"/>
      </c:catAx>
      <c:valAx>
        <c:axId val="77862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862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游ゴシック Light"/>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游明朝"/>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19" ma:contentTypeDescription="Create a new document." ma:contentTypeScope="" ma:versionID="bc8f355e164acc8629f32d4feeb16a34">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4c2dc1cbe3f85bee7147b9f5fd588e0e"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361c5e-0b12-4ff3-ab77-7bf8dc326cf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ED168-474F-408D-B074-6577FFA2CFF7}">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customXml/itemProps2.xml><?xml version="1.0" encoding="utf-8"?>
<ds:datastoreItem xmlns:ds="http://schemas.openxmlformats.org/officeDocument/2006/customXml" ds:itemID="{923DAD77-1FC0-46DD-8997-8F11659F6FEC}">
  <ds:schemaRefs>
    <ds:schemaRef ds:uri="http://schemas.openxmlformats.org/officeDocument/2006/bibliography"/>
  </ds:schemaRefs>
</ds:datastoreItem>
</file>

<file path=customXml/itemProps3.xml><?xml version="1.0" encoding="utf-8"?>
<ds:datastoreItem xmlns:ds="http://schemas.openxmlformats.org/officeDocument/2006/customXml" ds:itemID="{D3ED79FD-FA29-4ACC-B09E-A27BE6FBC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6a54b7-fc96-4537-b515-e30173027318"/>
    <ds:schemaRef ds:uri="b41175ad-5aee-4862-9c19-d00d69a2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81B9DE-F305-4D81-A428-5A4DDB2AFAEF}">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91</Pages>
  <Words>15661</Words>
  <Characters>86797</Characters>
  <Application>Microsoft Office Word</Application>
  <DocSecurity>0</DocSecurity>
  <Lines>1671</Lines>
  <Paragraphs>477</Paragraphs>
  <ScaleCrop>false</ScaleCrop>
  <Company/>
  <LinksUpToDate>false</LinksUpToDate>
  <CharactersWithSpaces>102136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FENBY-TAYLOR, Emily (NHS LANCASHIRE AND SOUTH CUMBRIA ICB - 00R)</dc:creator>
  <cp:keywords/>
  <dc:description/>
  <cp:lastModifiedBy>FENBY-TAYLOR, Emily (NHS LANCASHIRE AND SOUTH CUMBRIA ICB - 00R)</cp:lastModifiedBy>
  <cp:revision>4</cp:revision>
  <cp:lastPrinted>2025-11-29T07:33:00Z</cp:lastPrinted>
  <dcterms:created xsi:type="dcterms:W3CDTF">2026-02-02T15:15:00Z</dcterms:created>
  <dcterms:modified xsi:type="dcterms:W3CDTF">2026-02-04T14:39:00Z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docLang">
    <vt:lpwstr>en</vt:lpwstr>
  </property>
  <property fmtid="{D5CDD505-2E9C-101B-9397-08002B2CF9AE}" pid="4" name="MediaServiceImageTags">
    <vt:lpwstr/>
  </property>
</Properties>
</file>