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9803" w14:textId="39FC61A7" w:rsidR="00993FBD" w:rsidRPr="006333CA" w:rsidRDefault="00F54041" w:rsidP="005A34F4">
      <w:pPr>
        <w:tabs>
          <w:tab w:val="left" w:pos="5985"/>
        </w:tabs>
        <w:spacing w:after="0" w:line="240" w:lineRule="auto"/>
        <w:jc w:val="center"/>
        <w:rPr>
          <w:rFonts w:ascii="Arial" w:hAnsi="Arial" w:cs="Arial"/>
          <w:b/>
          <w:sz w:val="20"/>
          <w:szCs w:val="20"/>
        </w:rPr>
      </w:pPr>
      <w:r w:rsidRPr="006333CA">
        <w:rPr>
          <w:rFonts w:ascii="Arial" w:hAnsi="Arial" w:cs="Arial"/>
          <w:b/>
          <w:sz w:val="20"/>
          <w:szCs w:val="20"/>
        </w:rPr>
        <w:t>L</w:t>
      </w:r>
      <w:r w:rsidR="368B40FE" w:rsidRPr="006333CA">
        <w:rPr>
          <w:rFonts w:ascii="Arial" w:hAnsi="Arial" w:cs="Arial"/>
          <w:b/>
          <w:sz w:val="20"/>
          <w:szCs w:val="20"/>
        </w:rPr>
        <w:t>&amp;</w:t>
      </w:r>
      <w:r w:rsidRPr="006333CA">
        <w:rPr>
          <w:rFonts w:ascii="Arial" w:hAnsi="Arial" w:cs="Arial"/>
          <w:b/>
          <w:sz w:val="20"/>
          <w:szCs w:val="20"/>
        </w:rPr>
        <w:t xml:space="preserve">SC Integrated Care Board </w:t>
      </w:r>
    </w:p>
    <w:p w14:paraId="55D05772" w14:textId="08252B6D" w:rsidR="00962577" w:rsidRPr="006333CA" w:rsidRDefault="00F54041" w:rsidP="005A34F4">
      <w:pPr>
        <w:tabs>
          <w:tab w:val="left" w:pos="5985"/>
        </w:tabs>
        <w:spacing w:after="0" w:line="240" w:lineRule="auto"/>
        <w:jc w:val="center"/>
        <w:rPr>
          <w:rFonts w:ascii="Arial" w:hAnsi="Arial" w:cs="Arial"/>
          <w:b/>
          <w:sz w:val="20"/>
          <w:szCs w:val="20"/>
        </w:rPr>
      </w:pPr>
      <w:r w:rsidRPr="006333CA">
        <w:rPr>
          <w:rFonts w:ascii="Arial" w:hAnsi="Arial" w:cs="Arial"/>
          <w:b/>
          <w:sz w:val="20"/>
          <w:szCs w:val="20"/>
        </w:rPr>
        <w:t xml:space="preserve">Primary Care Contracts </w:t>
      </w:r>
      <w:r w:rsidR="00993FBD" w:rsidRPr="006333CA">
        <w:rPr>
          <w:rFonts w:ascii="Arial" w:hAnsi="Arial" w:cs="Arial"/>
          <w:b/>
          <w:sz w:val="20"/>
          <w:szCs w:val="20"/>
        </w:rPr>
        <w:t>S</w:t>
      </w:r>
      <w:r w:rsidRPr="006333CA">
        <w:rPr>
          <w:rFonts w:ascii="Arial" w:hAnsi="Arial" w:cs="Arial"/>
          <w:b/>
          <w:sz w:val="20"/>
          <w:szCs w:val="20"/>
        </w:rPr>
        <w:t>ub</w:t>
      </w:r>
      <w:r w:rsidR="00993FBD" w:rsidRPr="006333CA">
        <w:rPr>
          <w:rFonts w:ascii="Arial" w:hAnsi="Arial" w:cs="Arial"/>
          <w:b/>
          <w:sz w:val="20"/>
          <w:szCs w:val="20"/>
        </w:rPr>
        <w:t>-</w:t>
      </w:r>
      <w:r w:rsidRPr="006333CA">
        <w:rPr>
          <w:rFonts w:ascii="Arial" w:hAnsi="Arial" w:cs="Arial"/>
          <w:b/>
          <w:sz w:val="20"/>
          <w:szCs w:val="20"/>
        </w:rPr>
        <w:t>Committee</w:t>
      </w:r>
    </w:p>
    <w:p w14:paraId="044A82BB" w14:textId="77777777" w:rsidR="00962577" w:rsidRPr="006333CA" w:rsidRDefault="00962577" w:rsidP="005A34F4">
      <w:pPr>
        <w:tabs>
          <w:tab w:val="left" w:pos="5985"/>
        </w:tabs>
        <w:spacing w:after="0" w:line="240" w:lineRule="auto"/>
        <w:jc w:val="center"/>
        <w:rPr>
          <w:rFonts w:ascii="Arial" w:hAnsi="Arial" w:cs="Arial"/>
          <w:b/>
          <w:sz w:val="20"/>
          <w:szCs w:val="20"/>
        </w:rPr>
      </w:pPr>
    </w:p>
    <w:p w14:paraId="06B5B19A" w14:textId="77777777" w:rsidR="00421548" w:rsidRPr="006333CA" w:rsidRDefault="00421548" w:rsidP="005A34F4">
      <w:pPr>
        <w:tabs>
          <w:tab w:val="left" w:pos="5985"/>
        </w:tabs>
        <w:spacing w:after="0" w:line="240" w:lineRule="auto"/>
        <w:jc w:val="center"/>
        <w:rPr>
          <w:rFonts w:ascii="Arial" w:hAnsi="Arial" w:cs="Arial"/>
          <w:b/>
          <w:sz w:val="20"/>
          <w:szCs w:val="20"/>
        </w:rPr>
      </w:pPr>
    </w:p>
    <w:tbl>
      <w:tblPr>
        <w:tblStyle w:val="TableGrid1"/>
        <w:tblW w:w="9493" w:type="dxa"/>
        <w:tblLook w:val="04A0" w:firstRow="1" w:lastRow="0" w:firstColumn="1" w:lastColumn="0" w:noHBand="0" w:noVBand="1"/>
      </w:tblPr>
      <w:tblGrid>
        <w:gridCol w:w="2972"/>
        <w:gridCol w:w="740"/>
        <w:gridCol w:w="702"/>
        <w:gridCol w:w="704"/>
        <w:gridCol w:w="902"/>
        <w:gridCol w:w="3473"/>
      </w:tblGrid>
      <w:tr w:rsidR="00877C1C" w:rsidRPr="005C5112" w14:paraId="19FB1D52"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9466F9" w14:textId="64FF3AAF" w:rsidR="00877C1C" w:rsidRPr="006333CA" w:rsidRDefault="00877C1C">
            <w:pPr>
              <w:rPr>
                <w:b/>
                <w:sz w:val="20"/>
                <w:szCs w:val="20"/>
              </w:rPr>
            </w:pPr>
            <w:r w:rsidRPr="006333CA">
              <w:rPr>
                <w:b/>
                <w:sz w:val="20"/>
                <w:szCs w:val="20"/>
              </w:rPr>
              <w:t>Date of meeting</w:t>
            </w:r>
            <w:r w:rsidR="00421548" w:rsidRPr="006333CA">
              <w:rPr>
                <w:b/>
                <w:sz w:val="20"/>
                <w:szCs w:val="20"/>
              </w:rPr>
              <w:t>*</w:t>
            </w:r>
          </w:p>
        </w:tc>
        <w:tc>
          <w:tcPr>
            <w:tcW w:w="65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3F2F02" w14:textId="4867542F" w:rsidR="00877C1C" w:rsidRPr="006333CA" w:rsidRDefault="0A9FB662" w:rsidP="2849742D">
            <w:pPr>
              <w:rPr>
                <w:sz w:val="20"/>
                <w:szCs w:val="20"/>
              </w:rPr>
            </w:pPr>
            <w:r w:rsidRPr="2849742D">
              <w:rPr>
                <w:sz w:val="20"/>
                <w:szCs w:val="20"/>
              </w:rPr>
              <w:t xml:space="preserve">12 </w:t>
            </w:r>
            <w:r w:rsidR="707D4F64" w:rsidRPr="2849742D">
              <w:rPr>
                <w:sz w:val="20"/>
                <w:szCs w:val="20"/>
              </w:rPr>
              <w:t>March</w:t>
            </w:r>
            <w:r w:rsidRPr="2849742D">
              <w:rPr>
                <w:sz w:val="20"/>
                <w:szCs w:val="20"/>
              </w:rPr>
              <w:t xml:space="preserve"> 2026</w:t>
            </w:r>
          </w:p>
        </w:tc>
      </w:tr>
      <w:tr w:rsidR="00877C1C" w:rsidRPr="005C5112" w14:paraId="002F86FE"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A0921A" w14:textId="036B1387" w:rsidR="00877C1C" w:rsidRPr="006333CA" w:rsidRDefault="00877C1C">
            <w:pPr>
              <w:rPr>
                <w:b/>
                <w:sz w:val="20"/>
                <w:szCs w:val="20"/>
              </w:rPr>
            </w:pPr>
            <w:r w:rsidRPr="006333CA">
              <w:rPr>
                <w:b/>
                <w:sz w:val="20"/>
                <w:szCs w:val="20"/>
              </w:rPr>
              <w:t>Title of paper</w:t>
            </w:r>
            <w:r w:rsidR="00421548" w:rsidRPr="006333CA">
              <w:rPr>
                <w:b/>
                <w:sz w:val="20"/>
                <w:szCs w:val="20"/>
              </w:rPr>
              <w:t>*</w:t>
            </w:r>
          </w:p>
        </w:tc>
        <w:tc>
          <w:tcPr>
            <w:tcW w:w="6521" w:type="dxa"/>
            <w:gridSpan w:val="5"/>
            <w:tcBorders>
              <w:top w:val="single" w:sz="4" w:space="0" w:color="auto"/>
              <w:left w:val="single" w:sz="4" w:space="0" w:color="auto"/>
              <w:bottom w:val="single" w:sz="4" w:space="0" w:color="auto"/>
              <w:right w:val="single" w:sz="4" w:space="0" w:color="auto"/>
            </w:tcBorders>
          </w:tcPr>
          <w:p w14:paraId="1811DBF2" w14:textId="60ADEB0E" w:rsidR="00877C1C" w:rsidRPr="006333CA" w:rsidRDefault="00764DFE">
            <w:pPr>
              <w:rPr>
                <w:sz w:val="20"/>
                <w:szCs w:val="20"/>
              </w:rPr>
            </w:pPr>
            <w:r w:rsidRPr="006333CA">
              <w:rPr>
                <w:sz w:val="20"/>
                <w:szCs w:val="20"/>
              </w:rPr>
              <w:t>Sub-c</w:t>
            </w:r>
            <w:r w:rsidR="0032518E" w:rsidRPr="006333CA">
              <w:rPr>
                <w:sz w:val="20"/>
                <w:szCs w:val="20"/>
              </w:rPr>
              <w:t xml:space="preserve">ommittee Escalation and Assurance Report </w:t>
            </w:r>
          </w:p>
        </w:tc>
      </w:tr>
      <w:tr w:rsidR="0032518E" w:rsidRPr="005C5112" w14:paraId="06E78B91"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5A7AF7" w14:textId="4762B1FB" w:rsidR="0032518E" w:rsidRPr="006333CA" w:rsidRDefault="0032518E" w:rsidP="0032518E">
            <w:pPr>
              <w:rPr>
                <w:b/>
                <w:sz w:val="20"/>
                <w:szCs w:val="20"/>
              </w:rPr>
            </w:pPr>
            <w:r w:rsidRPr="006333CA">
              <w:rPr>
                <w:b/>
                <w:sz w:val="20"/>
                <w:szCs w:val="20"/>
              </w:rPr>
              <w:t>Presented by*</w:t>
            </w:r>
          </w:p>
        </w:tc>
        <w:tc>
          <w:tcPr>
            <w:tcW w:w="6521" w:type="dxa"/>
            <w:gridSpan w:val="5"/>
            <w:tcBorders>
              <w:top w:val="single" w:sz="4" w:space="0" w:color="auto"/>
              <w:left w:val="single" w:sz="4" w:space="0" w:color="auto"/>
              <w:bottom w:val="single" w:sz="4" w:space="0" w:color="auto"/>
              <w:right w:val="single" w:sz="4" w:space="0" w:color="auto"/>
            </w:tcBorders>
          </w:tcPr>
          <w:p w14:paraId="3C2C3484" w14:textId="7D566AE0" w:rsidR="0032518E" w:rsidRPr="006333CA" w:rsidRDefault="0032518E" w:rsidP="0032518E">
            <w:pPr>
              <w:rPr>
                <w:sz w:val="20"/>
                <w:szCs w:val="20"/>
              </w:rPr>
            </w:pPr>
            <w:r w:rsidRPr="006333CA">
              <w:rPr>
                <w:sz w:val="20"/>
                <w:szCs w:val="20"/>
              </w:rPr>
              <w:t>Peter Tinson, Director of Primary and Community C</w:t>
            </w:r>
            <w:r w:rsidR="00764DFE" w:rsidRPr="006333CA">
              <w:rPr>
                <w:sz w:val="20"/>
                <w:szCs w:val="20"/>
              </w:rPr>
              <w:t>ommissioning</w:t>
            </w:r>
          </w:p>
        </w:tc>
      </w:tr>
      <w:tr w:rsidR="0032518E" w:rsidRPr="005C5112" w14:paraId="217E9054"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E1E475" w14:textId="77777777" w:rsidR="0032518E" w:rsidRPr="006333CA" w:rsidRDefault="0032518E" w:rsidP="0032518E">
            <w:pPr>
              <w:rPr>
                <w:b/>
                <w:sz w:val="20"/>
                <w:szCs w:val="20"/>
              </w:rPr>
            </w:pPr>
            <w:r w:rsidRPr="006333CA">
              <w:rPr>
                <w:b/>
                <w:sz w:val="20"/>
                <w:szCs w:val="20"/>
              </w:rPr>
              <w:t>Author</w:t>
            </w:r>
          </w:p>
        </w:tc>
        <w:tc>
          <w:tcPr>
            <w:tcW w:w="6521" w:type="dxa"/>
            <w:gridSpan w:val="5"/>
            <w:tcBorders>
              <w:top w:val="single" w:sz="4" w:space="0" w:color="auto"/>
              <w:left w:val="single" w:sz="4" w:space="0" w:color="auto"/>
              <w:bottom w:val="single" w:sz="4" w:space="0" w:color="auto"/>
              <w:right w:val="single" w:sz="4" w:space="0" w:color="auto"/>
            </w:tcBorders>
          </w:tcPr>
          <w:p w14:paraId="6C956B5C" w14:textId="77777777" w:rsidR="0032518E" w:rsidRPr="006333CA" w:rsidRDefault="0032518E" w:rsidP="0032518E">
            <w:pPr>
              <w:rPr>
                <w:sz w:val="20"/>
                <w:szCs w:val="20"/>
              </w:rPr>
            </w:pPr>
            <w:r w:rsidRPr="006333CA">
              <w:rPr>
                <w:sz w:val="20"/>
                <w:szCs w:val="20"/>
              </w:rPr>
              <w:t>Sarah Danson, Senior Delivery Assurance Manager</w:t>
            </w:r>
          </w:p>
          <w:p w14:paraId="240651D8" w14:textId="3B44A28E" w:rsidR="0032518E" w:rsidRPr="006333CA" w:rsidRDefault="0032518E" w:rsidP="0032518E">
            <w:pPr>
              <w:rPr>
                <w:sz w:val="20"/>
                <w:szCs w:val="20"/>
              </w:rPr>
            </w:pPr>
            <w:r w:rsidRPr="006333CA">
              <w:rPr>
                <w:sz w:val="20"/>
                <w:szCs w:val="20"/>
              </w:rPr>
              <w:t>David Armstrong, Senior Delivery Assurance Manager</w:t>
            </w:r>
          </w:p>
        </w:tc>
      </w:tr>
      <w:tr w:rsidR="0032518E" w:rsidRPr="005C5112" w14:paraId="4771755E"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F73BD96" w14:textId="77777777" w:rsidR="0032518E" w:rsidRPr="006333CA" w:rsidRDefault="2F897A71" w:rsidP="2849742D">
            <w:pPr>
              <w:rPr>
                <w:b/>
                <w:bCs/>
                <w:sz w:val="20"/>
                <w:szCs w:val="20"/>
              </w:rPr>
            </w:pPr>
            <w:r w:rsidRPr="2849742D">
              <w:rPr>
                <w:b/>
                <w:bCs/>
                <w:sz w:val="20"/>
                <w:szCs w:val="20"/>
              </w:rPr>
              <w:t>Agenda Item</w:t>
            </w:r>
          </w:p>
        </w:tc>
        <w:tc>
          <w:tcPr>
            <w:tcW w:w="65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3CD983" w14:textId="6E996CE4" w:rsidR="0032518E" w:rsidRPr="006333CA" w:rsidRDefault="006D0EE9" w:rsidP="2849742D">
            <w:pPr>
              <w:rPr>
                <w:sz w:val="20"/>
                <w:szCs w:val="20"/>
              </w:rPr>
            </w:pPr>
            <w:r>
              <w:rPr>
                <w:sz w:val="20"/>
                <w:szCs w:val="20"/>
              </w:rPr>
              <w:t>9</w:t>
            </w:r>
          </w:p>
        </w:tc>
      </w:tr>
      <w:tr w:rsidR="0032518E" w:rsidRPr="005C5112" w14:paraId="0EDA31B7"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07DE0" w14:textId="77777777" w:rsidR="0032518E" w:rsidRPr="006333CA" w:rsidRDefault="0032518E" w:rsidP="0032518E">
            <w:pPr>
              <w:rPr>
                <w:b/>
                <w:sz w:val="20"/>
                <w:szCs w:val="20"/>
              </w:rPr>
            </w:pPr>
            <w:r w:rsidRPr="006333CA">
              <w:rPr>
                <w:b/>
                <w:sz w:val="20"/>
                <w:szCs w:val="20"/>
              </w:rPr>
              <w:t>Confidential</w:t>
            </w:r>
          </w:p>
        </w:tc>
        <w:tc>
          <w:tcPr>
            <w:tcW w:w="6521" w:type="dxa"/>
            <w:gridSpan w:val="5"/>
            <w:tcBorders>
              <w:top w:val="single" w:sz="4" w:space="0" w:color="auto"/>
              <w:left w:val="single" w:sz="4" w:space="0" w:color="auto"/>
              <w:bottom w:val="single" w:sz="4" w:space="0" w:color="auto"/>
              <w:right w:val="single" w:sz="4" w:space="0" w:color="auto"/>
            </w:tcBorders>
          </w:tcPr>
          <w:p w14:paraId="1BD9D557" w14:textId="0956F526" w:rsidR="0032518E" w:rsidRPr="006333CA" w:rsidRDefault="2F897A71" w:rsidP="2849742D">
            <w:pPr>
              <w:rPr>
                <w:sz w:val="20"/>
                <w:szCs w:val="20"/>
              </w:rPr>
            </w:pPr>
            <w:r w:rsidRPr="2849742D">
              <w:rPr>
                <w:sz w:val="20"/>
                <w:szCs w:val="20"/>
              </w:rPr>
              <w:t xml:space="preserve">No </w:t>
            </w:r>
          </w:p>
        </w:tc>
      </w:tr>
      <w:tr w:rsidR="0032518E" w:rsidRPr="005C5112" w14:paraId="2F594F23" w14:textId="77777777" w:rsidTr="2849742D">
        <w:tc>
          <w:tcPr>
            <w:tcW w:w="2972" w:type="dxa"/>
            <w:tcBorders>
              <w:top w:val="single" w:sz="4" w:space="0" w:color="auto"/>
              <w:left w:val="nil"/>
              <w:bottom w:val="single" w:sz="4" w:space="0" w:color="auto"/>
              <w:right w:val="nil"/>
            </w:tcBorders>
          </w:tcPr>
          <w:p w14:paraId="63B1FB6A" w14:textId="77777777" w:rsidR="0032518E" w:rsidRPr="006333CA" w:rsidRDefault="0032518E" w:rsidP="0032518E">
            <w:pPr>
              <w:rPr>
                <w:b/>
                <w:sz w:val="20"/>
                <w:szCs w:val="20"/>
              </w:rPr>
            </w:pPr>
          </w:p>
        </w:tc>
        <w:tc>
          <w:tcPr>
            <w:tcW w:w="6521" w:type="dxa"/>
            <w:gridSpan w:val="5"/>
            <w:tcBorders>
              <w:top w:val="single" w:sz="4" w:space="0" w:color="auto"/>
              <w:left w:val="nil"/>
              <w:bottom w:val="single" w:sz="4" w:space="0" w:color="auto"/>
              <w:right w:val="nil"/>
            </w:tcBorders>
          </w:tcPr>
          <w:p w14:paraId="3E070BB7" w14:textId="77777777" w:rsidR="0032518E" w:rsidRPr="006333CA" w:rsidRDefault="0032518E" w:rsidP="0032518E">
            <w:pPr>
              <w:rPr>
                <w:sz w:val="20"/>
                <w:szCs w:val="20"/>
              </w:rPr>
            </w:pPr>
          </w:p>
        </w:tc>
      </w:tr>
      <w:tr w:rsidR="0032518E" w:rsidRPr="005C5112" w14:paraId="2B4FB3EF"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03DBB86" w14:textId="4087BF17" w:rsidR="0032518E" w:rsidRPr="006333CA" w:rsidRDefault="0032518E" w:rsidP="0032518E">
            <w:pPr>
              <w:rPr>
                <w:b/>
                <w:sz w:val="20"/>
                <w:szCs w:val="20"/>
              </w:rPr>
            </w:pPr>
            <w:r w:rsidRPr="006333CA">
              <w:rPr>
                <w:b/>
                <w:sz w:val="20"/>
                <w:szCs w:val="20"/>
              </w:rPr>
              <w:t>Purpose of the paper</w:t>
            </w:r>
          </w:p>
        </w:tc>
      </w:tr>
      <w:tr w:rsidR="0032518E" w:rsidRPr="005C5112" w14:paraId="1AA819FC" w14:textId="77777777" w:rsidTr="2849742D">
        <w:tc>
          <w:tcPr>
            <w:tcW w:w="9493" w:type="dxa"/>
            <w:gridSpan w:val="6"/>
            <w:tcBorders>
              <w:top w:val="single" w:sz="4" w:space="0" w:color="auto"/>
              <w:left w:val="single" w:sz="4" w:space="0" w:color="auto"/>
              <w:bottom w:val="single" w:sz="4" w:space="0" w:color="auto"/>
              <w:right w:val="single" w:sz="4" w:space="0" w:color="auto"/>
            </w:tcBorders>
          </w:tcPr>
          <w:p w14:paraId="1B11F3E3" w14:textId="3C4D7CA9" w:rsidR="0032518E" w:rsidRPr="006333CA" w:rsidRDefault="00764DFE" w:rsidP="0032518E">
            <w:pPr>
              <w:rPr>
                <w:sz w:val="20"/>
                <w:szCs w:val="20"/>
              </w:rPr>
            </w:pPr>
            <w:r w:rsidRPr="006333CA">
              <w:rPr>
                <w:sz w:val="20"/>
                <w:szCs w:val="20"/>
              </w:rPr>
              <w:t>The paper is the escalation and assurance report from the formal sub-committee groups.</w:t>
            </w:r>
          </w:p>
          <w:p w14:paraId="2BB6B0C4" w14:textId="77777777" w:rsidR="00764DFE" w:rsidRPr="006333CA" w:rsidRDefault="00764DFE" w:rsidP="0032518E">
            <w:pPr>
              <w:rPr>
                <w:sz w:val="20"/>
                <w:szCs w:val="20"/>
              </w:rPr>
            </w:pPr>
          </w:p>
        </w:tc>
      </w:tr>
      <w:tr w:rsidR="0032518E" w:rsidRPr="005C5112" w14:paraId="2B15C17D"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F996AA" w14:textId="77777777" w:rsidR="0032518E" w:rsidRPr="006333CA" w:rsidRDefault="0032518E" w:rsidP="0032518E">
            <w:pPr>
              <w:rPr>
                <w:b/>
                <w:sz w:val="20"/>
                <w:szCs w:val="20"/>
              </w:rPr>
            </w:pPr>
            <w:r w:rsidRPr="006333CA">
              <w:rPr>
                <w:b/>
                <w:sz w:val="20"/>
                <w:szCs w:val="20"/>
              </w:rPr>
              <w:t>Executive Summary</w:t>
            </w:r>
          </w:p>
        </w:tc>
      </w:tr>
      <w:tr w:rsidR="0032518E" w:rsidRPr="005C5112" w14:paraId="06B82484" w14:textId="77777777" w:rsidTr="2849742D">
        <w:tc>
          <w:tcPr>
            <w:tcW w:w="9493" w:type="dxa"/>
            <w:gridSpan w:val="6"/>
            <w:tcBorders>
              <w:top w:val="single" w:sz="4" w:space="0" w:color="auto"/>
              <w:left w:val="single" w:sz="4" w:space="0" w:color="auto"/>
              <w:bottom w:val="single" w:sz="4" w:space="0" w:color="auto"/>
              <w:right w:val="single" w:sz="4" w:space="0" w:color="auto"/>
            </w:tcBorders>
          </w:tcPr>
          <w:p w14:paraId="65A2F4E9" w14:textId="00167D09" w:rsidR="0032518E" w:rsidRPr="006333CA" w:rsidRDefault="0032518E" w:rsidP="0032518E">
            <w:pPr>
              <w:contextualSpacing/>
              <w:rPr>
                <w:sz w:val="20"/>
                <w:szCs w:val="20"/>
              </w:rPr>
            </w:pPr>
            <w:r w:rsidRPr="006333CA">
              <w:rPr>
                <w:sz w:val="20"/>
                <w:szCs w:val="20"/>
              </w:rPr>
              <w:t>Th</w:t>
            </w:r>
            <w:r w:rsidR="00764DFE" w:rsidRPr="006333CA">
              <w:rPr>
                <w:sz w:val="20"/>
                <w:szCs w:val="20"/>
              </w:rPr>
              <w:t>e</w:t>
            </w:r>
            <w:r w:rsidRPr="006333CA">
              <w:rPr>
                <w:sz w:val="20"/>
                <w:szCs w:val="20"/>
              </w:rPr>
              <w:t xml:space="preserve"> </w:t>
            </w:r>
            <w:r w:rsidR="00764DFE" w:rsidRPr="006333CA">
              <w:rPr>
                <w:sz w:val="20"/>
                <w:szCs w:val="20"/>
              </w:rPr>
              <w:t>paper</w:t>
            </w:r>
            <w:r w:rsidRPr="006333CA">
              <w:rPr>
                <w:sz w:val="20"/>
                <w:szCs w:val="20"/>
              </w:rPr>
              <w:t xml:space="preserve"> highlights key matters, issues, and risks discussed at the group meetings detailed below</w:t>
            </w:r>
            <w:r w:rsidR="00764DFE" w:rsidRPr="006333CA">
              <w:rPr>
                <w:sz w:val="20"/>
                <w:szCs w:val="20"/>
              </w:rPr>
              <w:t xml:space="preserve"> </w:t>
            </w:r>
            <w:r w:rsidRPr="006333CA">
              <w:rPr>
                <w:sz w:val="20"/>
                <w:szCs w:val="20"/>
              </w:rPr>
              <w:t xml:space="preserve">to advise, assure and alert the Primary Care </w:t>
            </w:r>
            <w:r w:rsidR="003567B6" w:rsidRPr="006333CA">
              <w:rPr>
                <w:sz w:val="20"/>
                <w:szCs w:val="20"/>
              </w:rPr>
              <w:t>Contracts Sub</w:t>
            </w:r>
            <w:r w:rsidR="00764DFE" w:rsidRPr="006333CA">
              <w:rPr>
                <w:sz w:val="20"/>
                <w:szCs w:val="20"/>
              </w:rPr>
              <w:t>-c</w:t>
            </w:r>
            <w:r w:rsidRPr="006333CA">
              <w:rPr>
                <w:sz w:val="20"/>
                <w:szCs w:val="20"/>
              </w:rPr>
              <w:t xml:space="preserve">ommittee. </w:t>
            </w:r>
          </w:p>
          <w:p w14:paraId="379A8E06" w14:textId="77777777" w:rsidR="0032518E" w:rsidRPr="006333CA" w:rsidRDefault="0032518E" w:rsidP="0032518E">
            <w:pPr>
              <w:contextualSpacing/>
              <w:rPr>
                <w:sz w:val="20"/>
                <w:szCs w:val="20"/>
              </w:rPr>
            </w:pPr>
          </w:p>
          <w:p w14:paraId="3F474DED" w14:textId="4ECD23A2" w:rsidR="0032518E" w:rsidRPr="006333CA" w:rsidRDefault="0032518E" w:rsidP="0032518E">
            <w:pPr>
              <w:widowControl w:val="0"/>
              <w:numPr>
                <w:ilvl w:val="0"/>
                <w:numId w:val="20"/>
              </w:numPr>
              <w:tabs>
                <w:tab w:val="left" w:pos="1547"/>
              </w:tabs>
              <w:autoSpaceDE w:val="0"/>
              <w:autoSpaceDN w:val="0"/>
              <w:spacing w:line="293" w:lineRule="exact"/>
              <w:rPr>
                <w:rFonts w:eastAsia="Arial"/>
                <w:sz w:val="20"/>
                <w:szCs w:val="20"/>
                <w:lang w:val="en-US"/>
              </w:rPr>
            </w:pPr>
            <w:r w:rsidRPr="006333CA">
              <w:rPr>
                <w:rFonts w:eastAsia="Arial"/>
                <w:sz w:val="20"/>
                <w:szCs w:val="20"/>
                <w:lang w:val="en-US"/>
              </w:rPr>
              <w:t>Primary</w:t>
            </w:r>
            <w:r w:rsidRPr="006333CA">
              <w:rPr>
                <w:rFonts w:eastAsia="Arial"/>
                <w:spacing w:val="-4"/>
                <w:sz w:val="20"/>
                <w:szCs w:val="20"/>
                <w:lang w:val="en-US"/>
              </w:rPr>
              <w:t xml:space="preserve"> </w:t>
            </w:r>
            <w:r w:rsidRPr="006333CA">
              <w:rPr>
                <w:rFonts w:eastAsia="Arial"/>
                <w:sz w:val="20"/>
                <w:szCs w:val="20"/>
                <w:lang w:val="en-US"/>
              </w:rPr>
              <w:t>Medical</w:t>
            </w:r>
            <w:r w:rsidRPr="006333CA">
              <w:rPr>
                <w:rFonts w:eastAsia="Arial"/>
                <w:spacing w:val="-3"/>
                <w:sz w:val="20"/>
                <w:szCs w:val="20"/>
                <w:lang w:val="en-US"/>
              </w:rPr>
              <w:t xml:space="preserve"> </w:t>
            </w:r>
            <w:r w:rsidRPr="006333CA">
              <w:rPr>
                <w:rFonts w:eastAsia="Arial"/>
                <w:sz w:val="20"/>
                <w:szCs w:val="20"/>
                <w:lang w:val="en-US"/>
              </w:rPr>
              <w:t>Services</w:t>
            </w:r>
            <w:r w:rsidRPr="006333CA">
              <w:rPr>
                <w:rFonts w:eastAsia="Arial"/>
                <w:spacing w:val="-3"/>
                <w:sz w:val="20"/>
                <w:szCs w:val="20"/>
                <w:lang w:val="en-US"/>
              </w:rPr>
              <w:t xml:space="preserve"> </w:t>
            </w:r>
            <w:r w:rsidRPr="006333CA">
              <w:rPr>
                <w:rFonts w:eastAsia="Arial"/>
                <w:spacing w:val="-2"/>
                <w:sz w:val="20"/>
                <w:szCs w:val="20"/>
                <w:lang w:val="en-US"/>
              </w:rPr>
              <w:t>Group: Peter Tinson (Director of Primary and Community C</w:t>
            </w:r>
            <w:r w:rsidR="00764DFE" w:rsidRPr="006333CA">
              <w:rPr>
                <w:rFonts w:eastAsia="Arial"/>
                <w:spacing w:val="-2"/>
                <w:sz w:val="20"/>
                <w:szCs w:val="20"/>
                <w:lang w:val="en-US"/>
              </w:rPr>
              <w:t>ommissioning</w:t>
            </w:r>
            <w:r w:rsidRPr="006333CA">
              <w:rPr>
                <w:rFonts w:eastAsia="Arial"/>
                <w:spacing w:val="-2"/>
                <w:sz w:val="20"/>
                <w:szCs w:val="20"/>
                <w:lang w:val="en-US"/>
              </w:rPr>
              <w:t>)</w:t>
            </w:r>
          </w:p>
          <w:p w14:paraId="2D855D75" w14:textId="77777777" w:rsidR="0032518E" w:rsidRPr="006333CA" w:rsidRDefault="0032518E" w:rsidP="0032518E">
            <w:pPr>
              <w:widowControl w:val="0"/>
              <w:numPr>
                <w:ilvl w:val="0"/>
                <w:numId w:val="20"/>
              </w:numPr>
              <w:tabs>
                <w:tab w:val="left" w:pos="1547"/>
              </w:tabs>
              <w:autoSpaceDE w:val="0"/>
              <w:autoSpaceDN w:val="0"/>
              <w:spacing w:line="292" w:lineRule="exact"/>
              <w:rPr>
                <w:rFonts w:eastAsia="Arial"/>
                <w:sz w:val="20"/>
                <w:szCs w:val="20"/>
                <w:lang w:val="en-US"/>
              </w:rPr>
            </w:pPr>
            <w:r w:rsidRPr="006333CA">
              <w:rPr>
                <w:rFonts w:eastAsia="Arial"/>
                <w:sz w:val="20"/>
                <w:szCs w:val="20"/>
                <w:lang w:val="en-US"/>
              </w:rPr>
              <w:t>Primary</w:t>
            </w:r>
            <w:r w:rsidRPr="006333CA">
              <w:rPr>
                <w:rFonts w:eastAsia="Arial"/>
                <w:spacing w:val="-4"/>
                <w:sz w:val="20"/>
                <w:szCs w:val="20"/>
                <w:lang w:val="en-US"/>
              </w:rPr>
              <w:t xml:space="preserve"> </w:t>
            </w:r>
            <w:r w:rsidRPr="006333CA">
              <w:rPr>
                <w:rFonts w:eastAsia="Arial"/>
                <w:sz w:val="20"/>
                <w:szCs w:val="20"/>
                <w:lang w:val="en-US"/>
              </w:rPr>
              <w:t>Dental</w:t>
            </w:r>
            <w:r w:rsidRPr="006333CA">
              <w:rPr>
                <w:rFonts w:eastAsia="Arial"/>
                <w:spacing w:val="-3"/>
                <w:sz w:val="20"/>
                <w:szCs w:val="20"/>
                <w:lang w:val="en-US"/>
              </w:rPr>
              <w:t xml:space="preserve"> </w:t>
            </w:r>
            <w:r w:rsidRPr="006333CA">
              <w:rPr>
                <w:rFonts w:eastAsia="Arial"/>
                <w:sz w:val="20"/>
                <w:szCs w:val="20"/>
                <w:lang w:val="en-US"/>
              </w:rPr>
              <w:t>Services</w:t>
            </w:r>
            <w:r w:rsidRPr="006333CA">
              <w:rPr>
                <w:rFonts w:eastAsia="Arial"/>
                <w:spacing w:val="-3"/>
                <w:sz w:val="20"/>
                <w:szCs w:val="20"/>
                <w:lang w:val="en-US"/>
              </w:rPr>
              <w:t xml:space="preserve"> </w:t>
            </w:r>
            <w:r w:rsidRPr="006333CA">
              <w:rPr>
                <w:rFonts w:eastAsia="Arial"/>
                <w:spacing w:val="-2"/>
                <w:sz w:val="20"/>
                <w:szCs w:val="20"/>
                <w:lang w:val="en-US"/>
              </w:rPr>
              <w:t>Group: Amy Lepiorz (Associate Director Primary Care)</w:t>
            </w:r>
          </w:p>
          <w:p w14:paraId="705F1B9B" w14:textId="77777777" w:rsidR="0032518E" w:rsidRPr="006333CA" w:rsidRDefault="0032518E" w:rsidP="0032518E">
            <w:pPr>
              <w:widowControl w:val="0"/>
              <w:numPr>
                <w:ilvl w:val="0"/>
                <w:numId w:val="20"/>
              </w:numPr>
              <w:tabs>
                <w:tab w:val="left" w:pos="1547"/>
              </w:tabs>
              <w:autoSpaceDE w:val="0"/>
              <w:autoSpaceDN w:val="0"/>
              <w:spacing w:line="292" w:lineRule="exact"/>
              <w:rPr>
                <w:rFonts w:eastAsia="Arial"/>
                <w:sz w:val="20"/>
                <w:szCs w:val="20"/>
                <w:lang w:val="en-US"/>
              </w:rPr>
            </w:pPr>
            <w:r w:rsidRPr="006333CA">
              <w:rPr>
                <w:rFonts w:eastAsia="Arial"/>
                <w:sz w:val="20"/>
                <w:szCs w:val="20"/>
                <w:lang w:val="en-US"/>
              </w:rPr>
              <w:t>Pharmaceutical</w:t>
            </w:r>
            <w:r w:rsidRPr="006333CA">
              <w:rPr>
                <w:rFonts w:eastAsia="Arial"/>
                <w:spacing w:val="-5"/>
                <w:sz w:val="20"/>
                <w:szCs w:val="20"/>
                <w:lang w:val="en-US"/>
              </w:rPr>
              <w:t xml:space="preserve"> </w:t>
            </w:r>
            <w:r w:rsidRPr="006333CA">
              <w:rPr>
                <w:rFonts w:eastAsia="Arial"/>
                <w:sz w:val="20"/>
                <w:szCs w:val="20"/>
                <w:lang w:val="en-US"/>
              </w:rPr>
              <w:t>Services</w:t>
            </w:r>
            <w:r w:rsidRPr="006333CA">
              <w:rPr>
                <w:rFonts w:eastAsia="Arial"/>
                <w:spacing w:val="-5"/>
                <w:sz w:val="20"/>
                <w:szCs w:val="20"/>
                <w:lang w:val="en-US"/>
              </w:rPr>
              <w:t xml:space="preserve"> </w:t>
            </w:r>
            <w:r w:rsidRPr="006333CA">
              <w:rPr>
                <w:rFonts w:eastAsia="Arial"/>
                <w:spacing w:val="-2"/>
                <w:sz w:val="20"/>
                <w:szCs w:val="20"/>
                <w:lang w:val="en-US"/>
              </w:rPr>
              <w:t>Group:  Amy Lepiorz (Associate Director Primary Care)</w:t>
            </w:r>
          </w:p>
          <w:p w14:paraId="0BB2FBCD" w14:textId="77777777" w:rsidR="0032518E" w:rsidRPr="006333CA" w:rsidRDefault="0032518E" w:rsidP="0032518E">
            <w:pPr>
              <w:widowControl w:val="0"/>
              <w:numPr>
                <w:ilvl w:val="0"/>
                <w:numId w:val="20"/>
              </w:numPr>
              <w:autoSpaceDE w:val="0"/>
              <w:autoSpaceDN w:val="0"/>
              <w:spacing w:line="270" w:lineRule="atLeast"/>
              <w:rPr>
                <w:rFonts w:eastAsia="Arial"/>
                <w:sz w:val="20"/>
                <w:szCs w:val="20"/>
                <w:lang w:val="en-US"/>
              </w:rPr>
            </w:pPr>
            <w:r w:rsidRPr="006333CA">
              <w:rPr>
                <w:rFonts w:eastAsia="Arial"/>
                <w:sz w:val="20"/>
                <w:szCs w:val="20"/>
                <w:lang w:val="en-US"/>
              </w:rPr>
              <w:t>Primary</w:t>
            </w:r>
            <w:r w:rsidRPr="006333CA">
              <w:rPr>
                <w:rFonts w:eastAsia="Arial"/>
                <w:spacing w:val="-7"/>
                <w:sz w:val="20"/>
                <w:szCs w:val="20"/>
                <w:lang w:val="en-US"/>
              </w:rPr>
              <w:t xml:space="preserve"> </w:t>
            </w:r>
            <w:r w:rsidRPr="006333CA">
              <w:rPr>
                <w:rFonts w:eastAsia="Arial"/>
                <w:sz w:val="20"/>
                <w:szCs w:val="20"/>
                <w:lang w:val="en-US"/>
              </w:rPr>
              <w:t>Optometric</w:t>
            </w:r>
            <w:r w:rsidRPr="006333CA">
              <w:rPr>
                <w:rFonts w:eastAsia="Arial"/>
                <w:spacing w:val="-4"/>
                <w:sz w:val="20"/>
                <w:szCs w:val="20"/>
                <w:lang w:val="en-US"/>
              </w:rPr>
              <w:t xml:space="preserve"> </w:t>
            </w:r>
            <w:r w:rsidRPr="006333CA">
              <w:rPr>
                <w:rFonts w:eastAsia="Arial"/>
                <w:sz w:val="20"/>
                <w:szCs w:val="20"/>
                <w:lang w:val="en-US"/>
              </w:rPr>
              <w:t>Services</w:t>
            </w:r>
            <w:r w:rsidRPr="006333CA">
              <w:rPr>
                <w:rFonts w:eastAsia="Arial"/>
                <w:spacing w:val="-4"/>
                <w:sz w:val="20"/>
                <w:szCs w:val="20"/>
                <w:lang w:val="en-US"/>
              </w:rPr>
              <w:t xml:space="preserve"> Group: Dawn Haworth (Head of Delivery)</w:t>
            </w:r>
          </w:p>
          <w:p w14:paraId="06D409BE" w14:textId="52A34097" w:rsidR="0032518E" w:rsidRPr="006333CA" w:rsidRDefault="0032518E">
            <w:pPr>
              <w:widowControl w:val="0"/>
              <w:numPr>
                <w:ilvl w:val="0"/>
                <w:numId w:val="20"/>
              </w:numPr>
              <w:autoSpaceDE w:val="0"/>
              <w:autoSpaceDN w:val="0"/>
              <w:spacing w:line="270" w:lineRule="atLeast"/>
              <w:contextualSpacing/>
              <w:rPr>
                <w:sz w:val="20"/>
                <w:szCs w:val="20"/>
              </w:rPr>
            </w:pPr>
            <w:r w:rsidRPr="006333CA">
              <w:rPr>
                <w:rFonts w:eastAsia="Arial"/>
                <w:spacing w:val="-4"/>
                <w:sz w:val="20"/>
                <w:szCs w:val="20"/>
                <w:lang w:val="en-US"/>
              </w:rPr>
              <w:t xml:space="preserve">Primary Care Capital Group: </w:t>
            </w:r>
            <w:r w:rsidR="00A41350" w:rsidRPr="006333CA">
              <w:rPr>
                <w:rFonts w:eastAsia="Arial"/>
                <w:spacing w:val="-4"/>
                <w:sz w:val="20"/>
                <w:szCs w:val="20"/>
                <w:lang w:val="en-US"/>
              </w:rPr>
              <w:t>Donna Roberts (Associate Director Primary Care)</w:t>
            </w:r>
          </w:p>
          <w:p w14:paraId="5FAD3B40" w14:textId="77777777" w:rsidR="00A41350" w:rsidRPr="006333CA" w:rsidRDefault="00A41350" w:rsidP="00A41350">
            <w:pPr>
              <w:widowControl w:val="0"/>
              <w:autoSpaceDE w:val="0"/>
              <w:autoSpaceDN w:val="0"/>
              <w:spacing w:line="270" w:lineRule="atLeast"/>
              <w:ind w:left="1547"/>
              <w:contextualSpacing/>
              <w:rPr>
                <w:sz w:val="20"/>
                <w:szCs w:val="20"/>
              </w:rPr>
            </w:pPr>
          </w:p>
          <w:p w14:paraId="0F866E35" w14:textId="03D4BDA8" w:rsidR="0032518E" w:rsidRPr="006333CA" w:rsidRDefault="00724916" w:rsidP="1084E06B">
            <w:pPr>
              <w:contextualSpacing/>
              <w:rPr>
                <w:sz w:val="20"/>
                <w:szCs w:val="20"/>
                <w:highlight w:val="yellow"/>
              </w:rPr>
            </w:pPr>
            <w:r w:rsidRPr="006333CA">
              <w:rPr>
                <w:sz w:val="20"/>
                <w:szCs w:val="20"/>
              </w:rPr>
              <w:t>It</w:t>
            </w:r>
            <w:r w:rsidR="0032518E" w:rsidRPr="006333CA">
              <w:rPr>
                <w:sz w:val="20"/>
                <w:szCs w:val="20"/>
              </w:rPr>
              <w:t xml:space="preserve"> also highlights any issues or items referred or escalated to </w:t>
            </w:r>
            <w:r w:rsidRPr="006333CA">
              <w:rPr>
                <w:sz w:val="20"/>
                <w:szCs w:val="20"/>
              </w:rPr>
              <w:t>C</w:t>
            </w:r>
            <w:r w:rsidR="0032518E" w:rsidRPr="006333CA">
              <w:rPr>
                <w:sz w:val="20"/>
                <w:szCs w:val="20"/>
              </w:rPr>
              <w:t xml:space="preserve">ommittees or the Board. </w:t>
            </w:r>
          </w:p>
          <w:p w14:paraId="333E92DD" w14:textId="77777777" w:rsidR="0032518E" w:rsidRPr="006333CA" w:rsidRDefault="0032518E" w:rsidP="0032518E">
            <w:pPr>
              <w:contextualSpacing/>
              <w:rPr>
                <w:sz w:val="20"/>
                <w:szCs w:val="20"/>
              </w:rPr>
            </w:pPr>
          </w:p>
          <w:p w14:paraId="0294F730" w14:textId="1ACC04A1" w:rsidR="0032518E" w:rsidRPr="006333CA" w:rsidRDefault="0032518E" w:rsidP="0032518E">
            <w:pPr>
              <w:contextualSpacing/>
              <w:rPr>
                <w:sz w:val="20"/>
                <w:szCs w:val="20"/>
              </w:rPr>
            </w:pPr>
            <w:r w:rsidRPr="006333CA">
              <w:rPr>
                <w:sz w:val="20"/>
                <w:szCs w:val="20"/>
              </w:rPr>
              <w:t xml:space="preserve">Reports approved by </w:t>
            </w:r>
            <w:r w:rsidR="00724916" w:rsidRPr="006333CA">
              <w:rPr>
                <w:sz w:val="20"/>
                <w:szCs w:val="20"/>
              </w:rPr>
              <w:t xml:space="preserve">the chair </w:t>
            </w:r>
            <w:r w:rsidRPr="006333CA">
              <w:rPr>
                <w:sz w:val="20"/>
                <w:szCs w:val="20"/>
              </w:rPr>
              <w:t xml:space="preserve">each </w:t>
            </w:r>
            <w:r w:rsidR="00724916" w:rsidRPr="006333CA">
              <w:rPr>
                <w:sz w:val="20"/>
                <w:szCs w:val="20"/>
              </w:rPr>
              <w:t xml:space="preserve">group </w:t>
            </w:r>
            <w:r w:rsidRPr="006333CA">
              <w:rPr>
                <w:sz w:val="20"/>
                <w:szCs w:val="20"/>
              </w:rPr>
              <w:t xml:space="preserve">are presented to </w:t>
            </w:r>
            <w:r w:rsidR="00724916" w:rsidRPr="006333CA">
              <w:rPr>
                <w:sz w:val="20"/>
                <w:szCs w:val="20"/>
              </w:rPr>
              <w:t>s</w:t>
            </w:r>
            <w:r w:rsidR="3B52E9FE" w:rsidRPr="006333CA">
              <w:rPr>
                <w:sz w:val="20"/>
                <w:szCs w:val="20"/>
              </w:rPr>
              <w:t>ub-</w:t>
            </w:r>
            <w:r w:rsidR="00724916" w:rsidRPr="006333CA">
              <w:rPr>
                <w:sz w:val="20"/>
                <w:szCs w:val="20"/>
              </w:rPr>
              <w:t>c</w:t>
            </w:r>
            <w:r w:rsidRPr="006333CA">
              <w:rPr>
                <w:sz w:val="20"/>
                <w:szCs w:val="20"/>
              </w:rPr>
              <w:t xml:space="preserve">ommittee to provide assurance that the </w:t>
            </w:r>
            <w:r w:rsidR="423BDDFE" w:rsidRPr="006333CA">
              <w:rPr>
                <w:sz w:val="20"/>
                <w:szCs w:val="20"/>
              </w:rPr>
              <w:t>group</w:t>
            </w:r>
            <w:r w:rsidRPr="006333CA">
              <w:rPr>
                <w:sz w:val="20"/>
                <w:szCs w:val="20"/>
              </w:rPr>
              <w:t xml:space="preserve">s have met in accordance with their terms of reference and to advise the </w:t>
            </w:r>
            <w:r w:rsidR="00724916" w:rsidRPr="006333CA">
              <w:rPr>
                <w:sz w:val="20"/>
                <w:szCs w:val="20"/>
              </w:rPr>
              <w:t>s</w:t>
            </w:r>
            <w:r w:rsidR="302C74FB" w:rsidRPr="006333CA">
              <w:rPr>
                <w:sz w:val="20"/>
                <w:szCs w:val="20"/>
              </w:rPr>
              <w:t>ub-</w:t>
            </w:r>
            <w:r w:rsidR="00724916" w:rsidRPr="006333CA">
              <w:rPr>
                <w:sz w:val="20"/>
                <w:szCs w:val="20"/>
              </w:rPr>
              <w:t>c</w:t>
            </w:r>
            <w:r w:rsidRPr="006333CA">
              <w:rPr>
                <w:sz w:val="20"/>
                <w:szCs w:val="20"/>
              </w:rPr>
              <w:t xml:space="preserve">ommittee of </w:t>
            </w:r>
            <w:r w:rsidR="00724916" w:rsidRPr="006333CA">
              <w:rPr>
                <w:sz w:val="20"/>
                <w:szCs w:val="20"/>
              </w:rPr>
              <w:t xml:space="preserve">the </w:t>
            </w:r>
            <w:r w:rsidRPr="006333CA">
              <w:rPr>
                <w:sz w:val="20"/>
                <w:szCs w:val="20"/>
              </w:rPr>
              <w:t>business transacted</w:t>
            </w:r>
            <w:r w:rsidR="00724916" w:rsidRPr="006333CA">
              <w:rPr>
                <w:sz w:val="20"/>
                <w:szCs w:val="20"/>
              </w:rPr>
              <w:t>.</w:t>
            </w:r>
          </w:p>
          <w:p w14:paraId="7CACA80E" w14:textId="77777777" w:rsidR="0032518E" w:rsidRPr="006333CA" w:rsidRDefault="0032518E" w:rsidP="0032518E">
            <w:pPr>
              <w:rPr>
                <w:b/>
                <w:sz w:val="20"/>
                <w:szCs w:val="20"/>
              </w:rPr>
            </w:pPr>
          </w:p>
        </w:tc>
      </w:tr>
      <w:tr w:rsidR="0032518E" w:rsidRPr="005C5112" w14:paraId="5B09DB04"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5D8024" w14:textId="32BA9DF6" w:rsidR="0032518E" w:rsidRPr="006333CA" w:rsidRDefault="0032518E" w:rsidP="0032518E">
            <w:pPr>
              <w:rPr>
                <w:b/>
                <w:sz w:val="20"/>
                <w:szCs w:val="20"/>
              </w:rPr>
            </w:pPr>
            <w:r w:rsidRPr="006333CA">
              <w:rPr>
                <w:b/>
                <w:sz w:val="20"/>
                <w:szCs w:val="20"/>
              </w:rPr>
              <w:t>Recommendations</w:t>
            </w:r>
          </w:p>
        </w:tc>
      </w:tr>
      <w:tr w:rsidR="0032518E" w:rsidRPr="005C5112" w14:paraId="13E90F63" w14:textId="77777777" w:rsidTr="2849742D">
        <w:tc>
          <w:tcPr>
            <w:tcW w:w="9493" w:type="dxa"/>
            <w:gridSpan w:val="6"/>
            <w:tcBorders>
              <w:top w:val="single" w:sz="4" w:space="0" w:color="auto"/>
              <w:left w:val="single" w:sz="4" w:space="0" w:color="auto"/>
              <w:bottom w:val="single" w:sz="4" w:space="0" w:color="auto"/>
              <w:right w:val="single" w:sz="4" w:space="0" w:color="auto"/>
            </w:tcBorders>
          </w:tcPr>
          <w:p w14:paraId="59115B17" w14:textId="77777777" w:rsidR="0032518E" w:rsidRPr="006333CA" w:rsidRDefault="0032518E" w:rsidP="0032518E">
            <w:pPr>
              <w:rPr>
                <w:sz w:val="20"/>
                <w:szCs w:val="20"/>
              </w:rPr>
            </w:pPr>
          </w:p>
          <w:p w14:paraId="3D894DE3" w14:textId="348737D5" w:rsidR="009C4FBD" w:rsidRPr="006333CA" w:rsidRDefault="009C4FBD" w:rsidP="009C4FBD">
            <w:pPr>
              <w:rPr>
                <w:sz w:val="20"/>
                <w:szCs w:val="20"/>
              </w:rPr>
            </w:pPr>
            <w:r w:rsidRPr="006333CA">
              <w:rPr>
                <w:sz w:val="20"/>
                <w:szCs w:val="20"/>
              </w:rPr>
              <w:t>The Primary Care C</w:t>
            </w:r>
            <w:r w:rsidR="0020221E" w:rsidRPr="006333CA">
              <w:rPr>
                <w:sz w:val="20"/>
                <w:szCs w:val="20"/>
              </w:rPr>
              <w:t>ontracts Sub</w:t>
            </w:r>
            <w:r w:rsidR="00724916" w:rsidRPr="006333CA">
              <w:rPr>
                <w:sz w:val="20"/>
                <w:szCs w:val="20"/>
              </w:rPr>
              <w:t>-c</w:t>
            </w:r>
            <w:r w:rsidRPr="006333CA">
              <w:rPr>
                <w:sz w:val="20"/>
                <w:szCs w:val="20"/>
              </w:rPr>
              <w:t>ommittee is requested to:</w:t>
            </w:r>
          </w:p>
          <w:p w14:paraId="577DE47D" w14:textId="77777777" w:rsidR="009C4FBD" w:rsidRPr="006333CA" w:rsidRDefault="009C4FBD" w:rsidP="009C4FBD">
            <w:pPr>
              <w:rPr>
                <w:sz w:val="20"/>
                <w:szCs w:val="20"/>
              </w:rPr>
            </w:pPr>
          </w:p>
          <w:p w14:paraId="2D06D085" w14:textId="0549E806" w:rsidR="00355CC2" w:rsidRPr="006333CA" w:rsidRDefault="009C4FBD" w:rsidP="1084E06B">
            <w:pPr>
              <w:numPr>
                <w:ilvl w:val="0"/>
                <w:numId w:val="21"/>
              </w:numPr>
              <w:contextualSpacing/>
              <w:rPr>
                <w:sz w:val="20"/>
                <w:szCs w:val="20"/>
              </w:rPr>
            </w:pPr>
            <w:r w:rsidRPr="006333CA">
              <w:rPr>
                <w:b/>
                <w:sz w:val="20"/>
                <w:szCs w:val="20"/>
              </w:rPr>
              <w:t>Receive</w:t>
            </w:r>
            <w:r w:rsidRPr="006333CA">
              <w:rPr>
                <w:sz w:val="20"/>
                <w:szCs w:val="20"/>
              </w:rPr>
              <w:t xml:space="preserve"> and </w:t>
            </w:r>
            <w:r w:rsidRPr="006333CA">
              <w:rPr>
                <w:b/>
                <w:sz w:val="20"/>
                <w:szCs w:val="20"/>
              </w:rPr>
              <w:t>note</w:t>
            </w:r>
            <w:r w:rsidRPr="006333CA">
              <w:rPr>
                <w:sz w:val="20"/>
                <w:szCs w:val="20"/>
              </w:rPr>
              <w:t xml:space="preserve"> the Alert, Assure, Advise (AAA) reports from the five primary care groups</w:t>
            </w:r>
          </w:p>
          <w:p w14:paraId="2423FE8C" w14:textId="77777777" w:rsidR="00355CC2" w:rsidRPr="006333CA" w:rsidRDefault="00355CC2" w:rsidP="0032518E">
            <w:pPr>
              <w:rPr>
                <w:sz w:val="20"/>
                <w:szCs w:val="20"/>
              </w:rPr>
            </w:pPr>
          </w:p>
        </w:tc>
      </w:tr>
      <w:tr w:rsidR="0032518E" w:rsidRPr="005C5112" w14:paraId="6F9534ED"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000A3A" w14:textId="5669ED3D" w:rsidR="0032518E" w:rsidRPr="006333CA" w:rsidRDefault="0032518E" w:rsidP="0032518E">
            <w:pPr>
              <w:rPr>
                <w:b/>
                <w:sz w:val="20"/>
                <w:szCs w:val="20"/>
              </w:rPr>
            </w:pPr>
            <w:r w:rsidRPr="006333CA">
              <w:rPr>
                <w:b/>
                <w:sz w:val="20"/>
                <w:szCs w:val="20"/>
              </w:rPr>
              <w:t xml:space="preserve">Governance and reporting* </w:t>
            </w:r>
            <w:r w:rsidRPr="006333CA">
              <w:rPr>
                <w:sz w:val="20"/>
                <w:szCs w:val="20"/>
              </w:rPr>
              <w:t>(list other forums that have discussed this paper and any other engagement that has taken place)</w:t>
            </w:r>
          </w:p>
        </w:tc>
      </w:tr>
      <w:tr w:rsidR="0032518E" w:rsidRPr="005C5112" w14:paraId="61E8C6B3"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C4AA1" w14:textId="77777777" w:rsidR="0032518E" w:rsidRPr="006333CA" w:rsidRDefault="0032518E" w:rsidP="0032518E">
            <w:pPr>
              <w:rPr>
                <w:b/>
                <w:sz w:val="20"/>
                <w:szCs w:val="20"/>
              </w:rPr>
            </w:pPr>
            <w:r w:rsidRPr="006333CA">
              <w:rPr>
                <w:b/>
                <w:sz w:val="20"/>
                <w:szCs w:val="20"/>
              </w:rPr>
              <w:t>Meeting</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7D6EF" w14:textId="77777777" w:rsidR="0032518E" w:rsidRPr="006333CA" w:rsidRDefault="0032518E" w:rsidP="0032518E">
            <w:pPr>
              <w:rPr>
                <w:b/>
                <w:sz w:val="20"/>
                <w:szCs w:val="20"/>
              </w:rPr>
            </w:pPr>
            <w:r w:rsidRPr="006333CA">
              <w:rPr>
                <w:b/>
                <w:sz w:val="20"/>
                <w:szCs w:val="20"/>
              </w:rPr>
              <w:t>Date</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D5D80" w14:textId="77777777" w:rsidR="0032518E" w:rsidRPr="006333CA" w:rsidRDefault="0032518E" w:rsidP="0032518E">
            <w:pPr>
              <w:rPr>
                <w:b/>
                <w:sz w:val="20"/>
                <w:szCs w:val="20"/>
              </w:rPr>
            </w:pPr>
            <w:r w:rsidRPr="006333CA">
              <w:rPr>
                <w:b/>
                <w:sz w:val="20"/>
                <w:szCs w:val="20"/>
              </w:rPr>
              <w:t>Outcomes</w:t>
            </w:r>
          </w:p>
        </w:tc>
      </w:tr>
      <w:tr w:rsidR="00E83A53" w:rsidRPr="005C5112" w14:paraId="0CC9C155" w14:textId="77777777" w:rsidTr="2849742D">
        <w:trPr>
          <w:trHeight w:val="699"/>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9AA4" w14:textId="78C1A909" w:rsidR="0032518E" w:rsidRPr="006333CA" w:rsidRDefault="00552731" w:rsidP="0032518E">
            <w:pPr>
              <w:rPr>
                <w:b/>
                <w:sz w:val="20"/>
                <w:szCs w:val="20"/>
              </w:rPr>
            </w:pPr>
            <w:r w:rsidRPr="006333CA">
              <w:rPr>
                <w:b/>
                <w:sz w:val="20"/>
                <w:szCs w:val="20"/>
              </w:rPr>
              <w:t xml:space="preserve">Primary Medical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0868B5" w14:textId="318CC605" w:rsidR="0032518E" w:rsidRPr="006333CA" w:rsidRDefault="00E908A0" w:rsidP="2801FCD6">
            <w:pPr>
              <w:rPr>
                <w:color w:val="FF0000"/>
                <w:sz w:val="20"/>
                <w:szCs w:val="20"/>
              </w:rPr>
            </w:pPr>
            <w:r w:rsidRPr="006333CA">
              <w:rPr>
                <w:sz w:val="20"/>
                <w:szCs w:val="20"/>
              </w:rPr>
              <w:t>4</w:t>
            </w:r>
            <w:r w:rsidRPr="006333CA">
              <w:rPr>
                <w:sz w:val="20"/>
                <w:szCs w:val="20"/>
                <w:vertAlign w:val="superscript"/>
              </w:rPr>
              <w:t>th</w:t>
            </w:r>
            <w:r w:rsidRPr="006333CA">
              <w:rPr>
                <w:sz w:val="20"/>
                <w:szCs w:val="20"/>
              </w:rPr>
              <w:t xml:space="preserve"> February </w:t>
            </w:r>
            <w:r w:rsidR="00FF0AF8" w:rsidRPr="006333CA">
              <w:rPr>
                <w:sz w:val="20"/>
                <w:szCs w:val="20"/>
              </w:rPr>
              <w:t>2026</w:t>
            </w:r>
          </w:p>
        </w:tc>
        <w:tc>
          <w:tcPr>
            <w:tcW w:w="3473" w:type="dxa"/>
            <w:tcBorders>
              <w:top w:val="single" w:sz="4" w:space="0" w:color="auto"/>
              <w:left w:val="single" w:sz="4" w:space="0" w:color="auto"/>
              <w:bottom w:val="nil"/>
              <w:right w:val="single" w:sz="4" w:space="0" w:color="auto"/>
            </w:tcBorders>
            <w:shd w:val="clear" w:color="auto" w:fill="FFFFFF" w:themeFill="background1"/>
          </w:tcPr>
          <w:p w14:paraId="6DA5CD81" w14:textId="2715D7A1" w:rsidR="0032518E" w:rsidRPr="006333CA" w:rsidRDefault="00C51968" w:rsidP="0032518E">
            <w:pPr>
              <w:rPr>
                <w:b/>
                <w:sz w:val="20"/>
                <w:szCs w:val="20"/>
              </w:rPr>
            </w:pPr>
            <w:r w:rsidRPr="006333CA">
              <w:rPr>
                <w:sz w:val="20"/>
                <w:szCs w:val="20"/>
                <w:lang w:val="en-US"/>
              </w:rPr>
              <w:t>To provide oversight to the</w:t>
            </w:r>
            <w:r w:rsidR="00D704EC" w:rsidRPr="006333CA">
              <w:rPr>
                <w:sz w:val="20"/>
                <w:szCs w:val="20"/>
                <w:lang w:val="en-US"/>
              </w:rPr>
              <w:t xml:space="preserve"> </w:t>
            </w:r>
            <w:r w:rsidRPr="006333CA">
              <w:rPr>
                <w:sz w:val="20"/>
                <w:szCs w:val="20"/>
                <w:lang w:val="en-US"/>
              </w:rPr>
              <w:t xml:space="preserve">Primary Care </w:t>
            </w:r>
            <w:r w:rsidR="00D704EC" w:rsidRPr="006333CA">
              <w:rPr>
                <w:sz w:val="20"/>
                <w:szCs w:val="20"/>
                <w:lang w:val="en-US"/>
              </w:rPr>
              <w:t xml:space="preserve">Contracts Sub-committee </w:t>
            </w:r>
            <w:r w:rsidRPr="006333CA">
              <w:rPr>
                <w:sz w:val="20"/>
                <w:szCs w:val="20"/>
                <w:lang w:val="en-US"/>
              </w:rPr>
              <w:t>of</w:t>
            </w:r>
            <w:r w:rsidR="00D704EC" w:rsidRPr="006333CA">
              <w:rPr>
                <w:sz w:val="20"/>
                <w:szCs w:val="20"/>
                <w:lang w:val="en-US"/>
              </w:rPr>
              <w:t xml:space="preserve"> the</w:t>
            </w:r>
            <w:r w:rsidRPr="006333CA">
              <w:rPr>
                <w:sz w:val="20"/>
                <w:szCs w:val="20"/>
                <w:lang w:val="en-US"/>
              </w:rPr>
              <w:t xml:space="preserve"> business conducted at the </w:t>
            </w:r>
            <w:r w:rsidR="00D704EC" w:rsidRPr="006333CA">
              <w:rPr>
                <w:sz w:val="20"/>
                <w:szCs w:val="20"/>
                <w:lang w:val="en-US"/>
              </w:rPr>
              <w:t>g</w:t>
            </w:r>
            <w:r w:rsidRPr="006333CA">
              <w:rPr>
                <w:sz w:val="20"/>
                <w:szCs w:val="20"/>
                <w:lang w:val="en-US"/>
              </w:rPr>
              <w:t>roups during this period</w:t>
            </w:r>
            <w:r w:rsidR="00D704EC" w:rsidRPr="006333CA">
              <w:rPr>
                <w:sz w:val="20"/>
                <w:szCs w:val="20"/>
                <w:lang w:val="en-US"/>
              </w:rPr>
              <w:t>.</w:t>
            </w:r>
          </w:p>
        </w:tc>
      </w:tr>
      <w:tr w:rsidR="00634E44" w:rsidRPr="005C5112" w14:paraId="76C8F9CC"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067B2" w14:textId="5A4DEADF" w:rsidR="009211C0" w:rsidRPr="006333CA" w:rsidRDefault="009211C0" w:rsidP="0032518E">
            <w:pPr>
              <w:rPr>
                <w:b/>
                <w:sz w:val="20"/>
                <w:szCs w:val="20"/>
              </w:rPr>
            </w:pPr>
            <w:r w:rsidRPr="006333CA">
              <w:rPr>
                <w:b/>
                <w:sz w:val="20"/>
                <w:szCs w:val="20"/>
              </w:rPr>
              <w:t xml:space="preserve">Primary Dental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66B830" w14:textId="1F35AD43" w:rsidR="009211C0" w:rsidRPr="002A06D2" w:rsidRDefault="003C4561" w:rsidP="2801FCD6">
            <w:pPr>
              <w:rPr>
                <w:sz w:val="20"/>
                <w:szCs w:val="20"/>
              </w:rPr>
            </w:pPr>
            <w:r w:rsidRPr="002A06D2">
              <w:rPr>
                <w:sz w:val="20"/>
                <w:szCs w:val="20"/>
              </w:rPr>
              <w:t>1</w:t>
            </w:r>
            <w:r w:rsidR="004A4F0C" w:rsidRPr="002A06D2">
              <w:rPr>
                <w:sz w:val="20"/>
                <w:szCs w:val="20"/>
              </w:rPr>
              <w:t>9</w:t>
            </w:r>
            <w:r w:rsidRPr="002A06D2">
              <w:rPr>
                <w:sz w:val="20"/>
                <w:szCs w:val="20"/>
                <w:vertAlign w:val="superscript"/>
              </w:rPr>
              <w:t>th</w:t>
            </w:r>
            <w:r w:rsidRPr="002A06D2">
              <w:rPr>
                <w:sz w:val="20"/>
                <w:szCs w:val="20"/>
              </w:rPr>
              <w:t xml:space="preserve"> </w:t>
            </w:r>
            <w:r w:rsidR="004A4F0C" w:rsidRPr="002A06D2">
              <w:rPr>
                <w:sz w:val="20"/>
                <w:szCs w:val="20"/>
              </w:rPr>
              <w:t>February - Cancelled</w:t>
            </w:r>
          </w:p>
        </w:tc>
        <w:tc>
          <w:tcPr>
            <w:tcW w:w="3473" w:type="dxa"/>
            <w:tcBorders>
              <w:top w:val="nil"/>
              <w:left w:val="single" w:sz="4" w:space="0" w:color="auto"/>
              <w:bottom w:val="nil"/>
              <w:right w:val="single" w:sz="4" w:space="0" w:color="auto"/>
            </w:tcBorders>
            <w:shd w:val="clear" w:color="auto" w:fill="FFFFFF" w:themeFill="background1"/>
          </w:tcPr>
          <w:p w14:paraId="73B4B677" w14:textId="77777777" w:rsidR="009211C0" w:rsidRPr="006333CA" w:rsidRDefault="009211C0" w:rsidP="0032518E">
            <w:pPr>
              <w:rPr>
                <w:b/>
                <w:sz w:val="20"/>
                <w:szCs w:val="20"/>
                <w:highlight w:val="yellow"/>
              </w:rPr>
            </w:pPr>
          </w:p>
        </w:tc>
      </w:tr>
      <w:tr w:rsidR="00634E44" w:rsidRPr="005C5112" w14:paraId="7ABBBAC3"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815D" w14:textId="621A7672" w:rsidR="009211C0" w:rsidRPr="006333CA" w:rsidRDefault="009211C0" w:rsidP="0032518E">
            <w:pPr>
              <w:rPr>
                <w:b/>
                <w:sz w:val="20"/>
                <w:szCs w:val="20"/>
              </w:rPr>
            </w:pPr>
            <w:r w:rsidRPr="006333CA">
              <w:rPr>
                <w:b/>
                <w:sz w:val="20"/>
                <w:szCs w:val="20"/>
              </w:rPr>
              <w:t xml:space="preserve">Primary Optometric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9D8C66" w14:textId="1C73A0D2" w:rsidR="009211C0" w:rsidRPr="002A06D2" w:rsidRDefault="00E908A0" w:rsidP="2801FCD6">
            <w:pPr>
              <w:rPr>
                <w:color w:val="FF0000"/>
                <w:sz w:val="20"/>
                <w:szCs w:val="20"/>
              </w:rPr>
            </w:pPr>
            <w:r w:rsidRPr="002A06D2">
              <w:rPr>
                <w:sz w:val="20"/>
                <w:szCs w:val="20"/>
              </w:rPr>
              <w:t>11</w:t>
            </w:r>
            <w:r w:rsidRPr="002A06D2">
              <w:rPr>
                <w:sz w:val="20"/>
                <w:szCs w:val="20"/>
                <w:vertAlign w:val="superscript"/>
              </w:rPr>
              <w:t>th</w:t>
            </w:r>
            <w:r w:rsidRPr="002A06D2">
              <w:rPr>
                <w:sz w:val="20"/>
                <w:szCs w:val="20"/>
              </w:rPr>
              <w:t xml:space="preserve"> February 2026</w:t>
            </w:r>
          </w:p>
        </w:tc>
        <w:tc>
          <w:tcPr>
            <w:tcW w:w="3473" w:type="dxa"/>
            <w:tcBorders>
              <w:top w:val="nil"/>
              <w:left w:val="single" w:sz="4" w:space="0" w:color="auto"/>
              <w:bottom w:val="nil"/>
              <w:right w:val="single" w:sz="4" w:space="0" w:color="auto"/>
            </w:tcBorders>
            <w:shd w:val="clear" w:color="auto" w:fill="FFFFFF" w:themeFill="background1"/>
          </w:tcPr>
          <w:p w14:paraId="2F200710" w14:textId="77777777" w:rsidR="009211C0" w:rsidRPr="006333CA" w:rsidRDefault="009211C0" w:rsidP="0032518E">
            <w:pPr>
              <w:rPr>
                <w:b/>
                <w:sz w:val="20"/>
                <w:szCs w:val="20"/>
              </w:rPr>
            </w:pPr>
          </w:p>
        </w:tc>
      </w:tr>
      <w:tr w:rsidR="00634E44" w:rsidRPr="005C5112" w14:paraId="7C979DB4"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DD7D01" w14:textId="18D15FB6" w:rsidR="009211C0" w:rsidRPr="006333CA" w:rsidRDefault="009211C0" w:rsidP="0032518E">
            <w:pPr>
              <w:rPr>
                <w:b/>
                <w:sz w:val="20"/>
                <w:szCs w:val="20"/>
              </w:rPr>
            </w:pPr>
            <w:r w:rsidRPr="006333CA">
              <w:rPr>
                <w:b/>
                <w:sz w:val="20"/>
                <w:szCs w:val="20"/>
              </w:rPr>
              <w:t xml:space="preserve">Pharmaceutical </w:t>
            </w:r>
            <w:r w:rsidR="00EB12DD" w:rsidRPr="006333CA">
              <w:rPr>
                <w:b/>
                <w:sz w:val="20"/>
                <w:szCs w:val="20"/>
              </w:rPr>
              <w:t xml:space="preserve">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117CFB" w14:textId="46F8DA31" w:rsidR="009211C0" w:rsidRPr="006333CA" w:rsidRDefault="325335B5" w:rsidP="2801FCD6">
            <w:pPr>
              <w:rPr>
                <w:sz w:val="20"/>
                <w:szCs w:val="20"/>
              </w:rPr>
            </w:pPr>
            <w:r w:rsidRPr="006333CA">
              <w:rPr>
                <w:sz w:val="20"/>
                <w:szCs w:val="20"/>
              </w:rPr>
              <w:t>18</w:t>
            </w:r>
            <w:r w:rsidRPr="006333CA">
              <w:rPr>
                <w:sz w:val="20"/>
                <w:szCs w:val="20"/>
                <w:vertAlign w:val="superscript"/>
              </w:rPr>
              <w:t>th</w:t>
            </w:r>
            <w:r w:rsidRPr="006333CA">
              <w:rPr>
                <w:sz w:val="20"/>
                <w:szCs w:val="20"/>
              </w:rPr>
              <w:t xml:space="preserve"> February </w:t>
            </w:r>
            <w:r w:rsidR="2E39721C" w:rsidRPr="006333CA">
              <w:rPr>
                <w:sz w:val="20"/>
                <w:szCs w:val="20"/>
              </w:rPr>
              <w:t>2026</w:t>
            </w:r>
          </w:p>
        </w:tc>
        <w:tc>
          <w:tcPr>
            <w:tcW w:w="3473" w:type="dxa"/>
            <w:tcBorders>
              <w:top w:val="nil"/>
              <w:left w:val="single" w:sz="4" w:space="0" w:color="auto"/>
              <w:bottom w:val="nil"/>
              <w:right w:val="single" w:sz="4" w:space="0" w:color="auto"/>
            </w:tcBorders>
            <w:shd w:val="clear" w:color="auto" w:fill="FFFFFF" w:themeFill="background1"/>
          </w:tcPr>
          <w:p w14:paraId="0DF49F80" w14:textId="77777777" w:rsidR="009211C0" w:rsidRPr="006333CA" w:rsidRDefault="009211C0" w:rsidP="0032518E">
            <w:pPr>
              <w:rPr>
                <w:b/>
                <w:sz w:val="20"/>
                <w:szCs w:val="20"/>
              </w:rPr>
            </w:pPr>
          </w:p>
        </w:tc>
      </w:tr>
      <w:tr w:rsidR="00634E44" w:rsidRPr="005C5112" w14:paraId="21412BFD"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9AD013E" w14:textId="753332A2" w:rsidR="00EB12DD" w:rsidRPr="006333CA" w:rsidRDefault="00EB12DD" w:rsidP="0032518E">
            <w:pPr>
              <w:rPr>
                <w:b/>
                <w:sz w:val="20"/>
                <w:szCs w:val="20"/>
              </w:rPr>
            </w:pPr>
            <w:r w:rsidRPr="006333CA">
              <w:rPr>
                <w:b/>
                <w:sz w:val="20"/>
                <w:szCs w:val="20"/>
              </w:rPr>
              <w:t xml:space="preserve">Primary Care Capital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157BD1" w14:textId="38F1C5E5" w:rsidR="00EB12DD" w:rsidRPr="006333CA" w:rsidRDefault="002F51B6" w:rsidP="2801FCD6">
            <w:pPr>
              <w:rPr>
                <w:color w:val="FF0000"/>
                <w:sz w:val="20"/>
                <w:szCs w:val="20"/>
                <w:highlight w:val="yellow"/>
              </w:rPr>
            </w:pPr>
            <w:r w:rsidRPr="006333CA">
              <w:rPr>
                <w:sz w:val="20"/>
                <w:szCs w:val="20"/>
              </w:rPr>
              <w:t>13</w:t>
            </w:r>
            <w:r w:rsidRPr="006333CA">
              <w:rPr>
                <w:sz w:val="20"/>
                <w:szCs w:val="20"/>
                <w:vertAlign w:val="superscript"/>
              </w:rPr>
              <w:t>th</w:t>
            </w:r>
            <w:r w:rsidRPr="006333CA">
              <w:rPr>
                <w:sz w:val="20"/>
                <w:szCs w:val="20"/>
              </w:rPr>
              <w:t xml:space="preserve"> February 2026</w:t>
            </w:r>
          </w:p>
        </w:tc>
        <w:tc>
          <w:tcPr>
            <w:tcW w:w="3473" w:type="dxa"/>
            <w:tcBorders>
              <w:top w:val="nil"/>
              <w:left w:val="single" w:sz="4" w:space="0" w:color="auto"/>
              <w:bottom w:val="single" w:sz="4" w:space="0" w:color="auto"/>
              <w:right w:val="single" w:sz="4" w:space="0" w:color="auto"/>
            </w:tcBorders>
            <w:shd w:val="clear" w:color="auto" w:fill="FFFFFF" w:themeFill="background1"/>
          </w:tcPr>
          <w:p w14:paraId="7C3BE806" w14:textId="77777777" w:rsidR="00EB12DD" w:rsidRPr="006333CA" w:rsidRDefault="00EB12DD" w:rsidP="0032518E">
            <w:pPr>
              <w:rPr>
                <w:b/>
                <w:sz w:val="20"/>
                <w:szCs w:val="20"/>
              </w:rPr>
            </w:pPr>
          </w:p>
        </w:tc>
      </w:tr>
      <w:tr w:rsidR="0032518E" w:rsidRPr="005C5112" w14:paraId="365973AE"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0A89E9" w14:textId="77777777" w:rsidR="0032518E" w:rsidRPr="006333CA" w:rsidRDefault="0032518E" w:rsidP="0032518E">
            <w:pPr>
              <w:rPr>
                <w:b/>
                <w:sz w:val="20"/>
                <w:szCs w:val="20"/>
              </w:rPr>
            </w:pPr>
            <w:r w:rsidRPr="006333CA">
              <w:rPr>
                <w:b/>
                <w:sz w:val="20"/>
                <w:szCs w:val="20"/>
              </w:rPr>
              <w:t>Conflicts of interest identified</w:t>
            </w:r>
          </w:p>
        </w:tc>
      </w:tr>
      <w:tr w:rsidR="0032518E" w:rsidRPr="005C5112" w14:paraId="421BAD0D"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B7B15B" w14:textId="77777777" w:rsidR="0032518E" w:rsidRPr="006333CA" w:rsidRDefault="0032518E" w:rsidP="0032518E">
            <w:pPr>
              <w:rPr>
                <w:b/>
                <w:sz w:val="20"/>
                <w:szCs w:val="20"/>
              </w:rPr>
            </w:pPr>
          </w:p>
        </w:tc>
      </w:tr>
      <w:tr w:rsidR="0032518E" w:rsidRPr="005C5112" w14:paraId="0A69A08F" w14:textId="77777777" w:rsidTr="2849742D">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CAA005" w14:textId="77777777" w:rsidR="0032518E" w:rsidRPr="006333CA" w:rsidRDefault="0032518E" w:rsidP="0032518E">
            <w:pPr>
              <w:rPr>
                <w:b/>
                <w:sz w:val="20"/>
                <w:szCs w:val="20"/>
              </w:rPr>
            </w:pPr>
            <w:r w:rsidRPr="006333CA">
              <w:rPr>
                <w:b/>
                <w:sz w:val="20"/>
                <w:szCs w:val="20"/>
              </w:rPr>
              <w:t xml:space="preserve">Implications </w:t>
            </w:r>
          </w:p>
        </w:tc>
      </w:tr>
      <w:tr w:rsidR="00634E44" w:rsidRPr="005C5112" w14:paraId="5B1F35E8"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13F08" w14:textId="77777777" w:rsidR="0032518E" w:rsidRPr="006333CA" w:rsidRDefault="0032518E" w:rsidP="0032518E">
            <w:pPr>
              <w:rPr>
                <w:b/>
                <w:i/>
                <w:sz w:val="20"/>
                <w:szCs w:val="20"/>
              </w:rPr>
            </w:pPr>
            <w:r w:rsidRPr="006333CA">
              <w:rPr>
                <w:i/>
                <w:sz w:val="20"/>
                <w:szCs w:val="20"/>
              </w:rPr>
              <w:lastRenderedPageBreak/>
              <w:t>If yes, please provide a brief risk description and reference number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BC869" w14:textId="77777777" w:rsidR="0032518E" w:rsidRPr="006333CA" w:rsidRDefault="0032518E" w:rsidP="0032518E">
            <w:pPr>
              <w:rPr>
                <w:b/>
                <w:sz w:val="20"/>
                <w:szCs w:val="20"/>
              </w:rPr>
            </w:pPr>
            <w:r w:rsidRPr="006333CA">
              <w:rPr>
                <w:b/>
                <w:sz w:val="20"/>
                <w:szCs w:val="20"/>
              </w:rPr>
              <w:t>YES</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427F5" w14:textId="77777777" w:rsidR="0032518E" w:rsidRPr="006333CA" w:rsidRDefault="0032518E" w:rsidP="0032518E">
            <w:pPr>
              <w:rPr>
                <w:b/>
                <w:sz w:val="20"/>
                <w:szCs w:val="20"/>
              </w:rPr>
            </w:pPr>
            <w:r w:rsidRPr="006333CA">
              <w:rPr>
                <w:b/>
                <w:sz w:val="20"/>
                <w:szCs w:val="20"/>
              </w:rPr>
              <w:t>NO</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DA43E" w14:textId="77777777" w:rsidR="0032518E" w:rsidRPr="006333CA" w:rsidRDefault="0032518E" w:rsidP="0032518E">
            <w:pPr>
              <w:rPr>
                <w:b/>
                <w:sz w:val="20"/>
                <w:szCs w:val="20"/>
              </w:rPr>
            </w:pPr>
            <w:r w:rsidRPr="006333CA">
              <w:rPr>
                <w:b/>
                <w:sz w:val="20"/>
                <w:szCs w:val="20"/>
              </w:rPr>
              <w:t>N/A</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2A7E1" w14:textId="77777777" w:rsidR="0032518E" w:rsidRPr="006333CA" w:rsidRDefault="0032518E" w:rsidP="0032518E">
            <w:pPr>
              <w:rPr>
                <w:b/>
                <w:sz w:val="20"/>
                <w:szCs w:val="20"/>
              </w:rPr>
            </w:pPr>
            <w:r w:rsidRPr="006333CA">
              <w:rPr>
                <w:b/>
                <w:sz w:val="20"/>
                <w:szCs w:val="20"/>
              </w:rPr>
              <w:t>Comments</w:t>
            </w:r>
          </w:p>
        </w:tc>
      </w:tr>
      <w:tr w:rsidR="00634E44" w:rsidRPr="005C5112" w14:paraId="11C564F5"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3F6F2" w14:textId="77777777" w:rsidR="0032518E" w:rsidRPr="006333CA" w:rsidRDefault="0032518E" w:rsidP="0032518E">
            <w:pPr>
              <w:shd w:val="clear" w:color="auto" w:fill="FFFFFF" w:themeFill="background1"/>
              <w:rPr>
                <w:sz w:val="20"/>
                <w:szCs w:val="20"/>
              </w:rPr>
            </w:pPr>
            <w:r w:rsidRPr="006333CA">
              <w:rPr>
                <w:sz w:val="20"/>
                <w:szCs w:val="20"/>
              </w:rPr>
              <w:t>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90CF" w14:textId="77777777" w:rsidR="0032518E" w:rsidRPr="006333CA" w:rsidRDefault="0032518E" w:rsidP="0032518E">
            <w:pPr>
              <w:shd w:val="clear" w:color="auto" w:fill="FFFFFF" w:themeFill="background1"/>
              <w:rPr>
                <w:sz w:val="20"/>
                <w:szCs w:val="20"/>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2872"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6FB0" w14:textId="1D7A7926" w:rsidR="0032518E" w:rsidRPr="006333CA" w:rsidRDefault="0058373B" w:rsidP="0032518E">
            <w:pPr>
              <w:shd w:val="clear" w:color="auto" w:fill="FFFFFF" w:themeFill="background1"/>
              <w:rPr>
                <w:sz w:val="20"/>
                <w:szCs w:val="20"/>
              </w:rPr>
            </w:pPr>
            <w:r w:rsidRPr="006333CA">
              <w:rPr>
                <w:sz w:val="20"/>
                <w:szCs w:val="20"/>
              </w:rPr>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CE7759" w14:textId="77777777" w:rsidR="0032518E" w:rsidRPr="006333CA" w:rsidRDefault="0032518E" w:rsidP="0032518E">
            <w:pPr>
              <w:shd w:val="clear" w:color="auto" w:fill="FFFFFF" w:themeFill="background1"/>
              <w:rPr>
                <w:sz w:val="20"/>
                <w:szCs w:val="20"/>
              </w:rPr>
            </w:pPr>
          </w:p>
        </w:tc>
      </w:tr>
      <w:tr w:rsidR="00634E44" w:rsidRPr="005C5112" w14:paraId="254FF2B9"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EB364" w14:textId="77777777" w:rsidR="0032518E" w:rsidRPr="006333CA" w:rsidRDefault="0032518E" w:rsidP="0032518E">
            <w:pPr>
              <w:shd w:val="clear" w:color="auto" w:fill="FFFFFF" w:themeFill="background1"/>
              <w:rPr>
                <w:sz w:val="20"/>
                <w:szCs w:val="20"/>
              </w:rPr>
            </w:pPr>
            <w:r w:rsidRPr="006333CA">
              <w:rPr>
                <w:sz w:val="20"/>
                <w:szCs w:val="20"/>
              </w:rPr>
              <w:t>Equality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4D980" w14:textId="77777777" w:rsidR="0032518E" w:rsidRPr="006333CA" w:rsidRDefault="0032518E" w:rsidP="0032518E">
            <w:pPr>
              <w:shd w:val="clear" w:color="auto" w:fill="FFFFFF" w:themeFill="background1"/>
              <w:rPr>
                <w:sz w:val="20"/>
                <w:szCs w:val="20"/>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B2A1"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F9ADFF" w14:textId="7E8677B9" w:rsidR="0032518E" w:rsidRPr="006333CA" w:rsidRDefault="0058373B" w:rsidP="0032518E">
            <w:pPr>
              <w:shd w:val="clear" w:color="auto" w:fill="FFFFFF" w:themeFill="background1"/>
              <w:rPr>
                <w:sz w:val="20"/>
                <w:szCs w:val="20"/>
              </w:rPr>
            </w:pPr>
            <w:r w:rsidRPr="006333CA">
              <w:rPr>
                <w:sz w:val="20"/>
                <w:szCs w:val="20"/>
              </w:rPr>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94CB81" w14:textId="77777777" w:rsidR="0032518E" w:rsidRPr="006333CA" w:rsidRDefault="0032518E" w:rsidP="0032518E">
            <w:pPr>
              <w:shd w:val="clear" w:color="auto" w:fill="FFFFFF" w:themeFill="background1"/>
              <w:rPr>
                <w:sz w:val="20"/>
                <w:szCs w:val="20"/>
              </w:rPr>
            </w:pPr>
          </w:p>
        </w:tc>
      </w:tr>
      <w:tr w:rsidR="00634E44" w:rsidRPr="005C5112" w14:paraId="66B5C93F"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F7B67" w14:textId="77777777" w:rsidR="0032518E" w:rsidRPr="006333CA" w:rsidRDefault="0032518E" w:rsidP="0032518E">
            <w:pPr>
              <w:shd w:val="clear" w:color="auto" w:fill="FFFFFF" w:themeFill="background1"/>
              <w:rPr>
                <w:sz w:val="20"/>
                <w:szCs w:val="20"/>
              </w:rPr>
            </w:pPr>
            <w:r w:rsidRPr="006333CA">
              <w:rPr>
                <w:sz w:val="20"/>
                <w:szCs w:val="20"/>
              </w:rPr>
              <w:t>Privacy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DC9E0" w14:textId="77777777" w:rsidR="0032518E" w:rsidRPr="006333CA" w:rsidRDefault="0032518E" w:rsidP="0032518E">
            <w:pPr>
              <w:shd w:val="clear" w:color="auto" w:fill="FFFFFF" w:themeFill="background1"/>
              <w:rPr>
                <w:sz w:val="20"/>
                <w:szCs w:val="20"/>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67DB4"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285F" w14:textId="0FEECF5C" w:rsidR="0032518E" w:rsidRPr="006333CA" w:rsidRDefault="0020221E" w:rsidP="0032518E">
            <w:pPr>
              <w:shd w:val="clear" w:color="auto" w:fill="FFFFFF" w:themeFill="background1"/>
              <w:rPr>
                <w:sz w:val="20"/>
                <w:szCs w:val="20"/>
              </w:rPr>
            </w:pPr>
            <w:r w:rsidRPr="006333CA">
              <w:rPr>
                <w:sz w:val="20"/>
                <w:szCs w:val="20"/>
              </w:rPr>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06B760" w14:textId="77777777" w:rsidR="0032518E" w:rsidRPr="006333CA" w:rsidRDefault="0032518E" w:rsidP="0032518E">
            <w:pPr>
              <w:shd w:val="clear" w:color="auto" w:fill="FFFFFF" w:themeFill="background1"/>
              <w:rPr>
                <w:sz w:val="20"/>
                <w:szCs w:val="20"/>
              </w:rPr>
            </w:pPr>
          </w:p>
        </w:tc>
      </w:tr>
      <w:tr w:rsidR="00634E44" w:rsidRPr="005C5112" w14:paraId="1FE14D43"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65AE3" w14:textId="77777777" w:rsidR="0032518E" w:rsidRPr="006333CA" w:rsidRDefault="0032518E" w:rsidP="0032518E">
            <w:pPr>
              <w:shd w:val="clear" w:color="auto" w:fill="FFFFFF" w:themeFill="background1"/>
              <w:rPr>
                <w:sz w:val="20"/>
                <w:szCs w:val="20"/>
              </w:rPr>
            </w:pPr>
            <w:r w:rsidRPr="006333CA">
              <w:rPr>
                <w:sz w:val="20"/>
                <w:szCs w:val="20"/>
              </w:rPr>
              <w:t>Financial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9B0FA" w14:textId="77777777" w:rsidR="0032518E" w:rsidRPr="006333CA" w:rsidRDefault="0032518E" w:rsidP="0032518E">
            <w:pPr>
              <w:shd w:val="clear" w:color="auto" w:fill="FFFFFF" w:themeFill="background1"/>
              <w:rPr>
                <w:sz w:val="20"/>
                <w:szCs w:val="20"/>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199F"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FEC873" w14:textId="5795C913" w:rsidR="0032518E" w:rsidRPr="006333CA" w:rsidRDefault="0020221E" w:rsidP="0032518E">
            <w:pPr>
              <w:shd w:val="clear" w:color="auto" w:fill="FFFFFF" w:themeFill="background1"/>
              <w:rPr>
                <w:sz w:val="20"/>
                <w:szCs w:val="20"/>
              </w:rPr>
            </w:pPr>
            <w:r w:rsidRPr="006333CA">
              <w:rPr>
                <w:sz w:val="20"/>
                <w:szCs w:val="20"/>
              </w:rPr>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5C9587" w14:textId="77777777" w:rsidR="0032518E" w:rsidRPr="006333CA" w:rsidRDefault="0032518E" w:rsidP="0032518E">
            <w:pPr>
              <w:shd w:val="clear" w:color="auto" w:fill="FFFFFF" w:themeFill="background1"/>
              <w:rPr>
                <w:sz w:val="20"/>
                <w:szCs w:val="20"/>
              </w:rPr>
            </w:pPr>
          </w:p>
        </w:tc>
      </w:tr>
      <w:tr w:rsidR="00634E44" w:rsidRPr="005C5112" w14:paraId="5C4FFB60"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DC86D" w14:textId="77777777" w:rsidR="0032518E" w:rsidRPr="006333CA" w:rsidRDefault="0032518E" w:rsidP="0032518E">
            <w:pPr>
              <w:shd w:val="clear" w:color="auto" w:fill="FFFFFF" w:themeFill="background1"/>
              <w:rPr>
                <w:sz w:val="20"/>
                <w:szCs w:val="20"/>
              </w:rPr>
            </w:pPr>
            <w:r w:rsidRPr="006333CA">
              <w:rPr>
                <w:sz w:val="20"/>
                <w:szCs w:val="20"/>
              </w:rPr>
              <w:t>Associated risks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C335" w14:textId="284FB0C6" w:rsidR="0032518E" w:rsidRPr="006333CA" w:rsidRDefault="0020221E" w:rsidP="0032518E">
            <w:pPr>
              <w:shd w:val="clear" w:color="auto" w:fill="FFFFFF" w:themeFill="background1"/>
              <w:rPr>
                <w:sz w:val="20"/>
                <w:szCs w:val="20"/>
              </w:rPr>
            </w:pPr>
            <w:r w:rsidRPr="006333CA">
              <w:rPr>
                <w:sz w:val="20"/>
                <w:szCs w:val="20"/>
              </w:rPr>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F39846"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25B555" w14:textId="77777777" w:rsidR="0032518E" w:rsidRPr="006333CA" w:rsidRDefault="0032518E" w:rsidP="0032518E">
            <w:pPr>
              <w:shd w:val="clear" w:color="auto" w:fill="FFFFFF" w:themeFill="background1"/>
              <w:rPr>
                <w:sz w:val="20"/>
                <w:szCs w:val="20"/>
              </w:rPr>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AA5A1F" w14:textId="405768F1" w:rsidR="0032518E" w:rsidRPr="006333CA" w:rsidRDefault="00DB12E1" w:rsidP="1084E06B">
            <w:pPr>
              <w:shd w:val="clear" w:color="auto" w:fill="FFFFFF" w:themeFill="background1"/>
              <w:rPr>
                <w:sz w:val="20"/>
                <w:szCs w:val="20"/>
              </w:rPr>
            </w:pPr>
            <w:r w:rsidRPr="006333CA">
              <w:rPr>
                <w:sz w:val="20"/>
                <w:szCs w:val="20"/>
              </w:rPr>
              <w:t xml:space="preserve">Any risks for </w:t>
            </w:r>
            <w:r w:rsidR="00BC1AE6" w:rsidRPr="006333CA">
              <w:rPr>
                <w:sz w:val="20"/>
                <w:szCs w:val="20"/>
              </w:rPr>
              <w:t>s</w:t>
            </w:r>
            <w:r w:rsidR="02C205EC" w:rsidRPr="006333CA">
              <w:rPr>
                <w:sz w:val="20"/>
                <w:szCs w:val="20"/>
              </w:rPr>
              <w:t>ub-</w:t>
            </w:r>
            <w:r w:rsidR="00BC1AE6" w:rsidRPr="006333CA">
              <w:rPr>
                <w:sz w:val="20"/>
                <w:szCs w:val="20"/>
              </w:rPr>
              <w:t>c</w:t>
            </w:r>
            <w:r w:rsidR="008B6A86" w:rsidRPr="006333CA">
              <w:rPr>
                <w:sz w:val="20"/>
                <w:szCs w:val="20"/>
              </w:rPr>
              <w:t>ommittee awareness are included in th</w:t>
            </w:r>
            <w:r w:rsidR="00BC1AE6" w:rsidRPr="006333CA">
              <w:rPr>
                <w:sz w:val="20"/>
                <w:szCs w:val="20"/>
              </w:rPr>
              <w:t>is</w:t>
            </w:r>
            <w:r w:rsidR="008B6A86" w:rsidRPr="006333CA">
              <w:rPr>
                <w:sz w:val="20"/>
                <w:szCs w:val="20"/>
              </w:rPr>
              <w:t xml:space="preserve"> triple A report </w:t>
            </w:r>
          </w:p>
        </w:tc>
      </w:tr>
      <w:tr w:rsidR="00634E44" w:rsidRPr="005C5112" w14:paraId="4BD30B52"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B80DA" w14:textId="77777777" w:rsidR="0032518E" w:rsidRPr="006333CA" w:rsidRDefault="0032518E" w:rsidP="0032518E">
            <w:pPr>
              <w:shd w:val="clear" w:color="auto" w:fill="FFFFFF" w:themeFill="background1"/>
              <w:rPr>
                <w:sz w:val="20"/>
                <w:szCs w:val="20"/>
              </w:rPr>
            </w:pPr>
            <w:r w:rsidRPr="006333CA">
              <w:rPr>
                <w:sz w:val="20"/>
                <w:szCs w:val="20"/>
              </w:rPr>
              <w:t>Are associated risks detailed on the ICS Risk Register?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CFAF" w14:textId="143D71BA" w:rsidR="0032518E" w:rsidRPr="006333CA" w:rsidRDefault="0020221E" w:rsidP="0032518E">
            <w:pPr>
              <w:shd w:val="clear" w:color="auto" w:fill="FFFFFF" w:themeFill="background1"/>
              <w:rPr>
                <w:sz w:val="20"/>
                <w:szCs w:val="20"/>
              </w:rPr>
            </w:pPr>
            <w:r w:rsidRPr="006333CA">
              <w:rPr>
                <w:sz w:val="20"/>
                <w:szCs w:val="20"/>
              </w:rPr>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E5806" w14:textId="77777777" w:rsidR="0032518E" w:rsidRPr="006333CA" w:rsidRDefault="0032518E" w:rsidP="0032518E">
            <w:pPr>
              <w:shd w:val="clear" w:color="auto" w:fill="FFFFFF" w:themeFill="background1"/>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3A3CB" w14:textId="77777777" w:rsidR="0032518E" w:rsidRPr="006333CA" w:rsidRDefault="0032518E" w:rsidP="0032518E">
            <w:pPr>
              <w:shd w:val="clear" w:color="auto" w:fill="FFFFFF" w:themeFill="background1"/>
              <w:rPr>
                <w:sz w:val="20"/>
                <w:szCs w:val="20"/>
              </w:rPr>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6F4C68" w14:textId="69BDE232" w:rsidR="0032518E" w:rsidRPr="006333CA" w:rsidRDefault="0020221E" w:rsidP="0032518E">
            <w:pPr>
              <w:shd w:val="clear" w:color="auto" w:fill="FFFFFF" w:themeFill="background1"/>
              <w:rPr>
                <w:sz w:val="20"/>
                <w:szCs w:val="20"/>
              </w:rPr>
            </w:pPr>
            <w:r w:rsidRPr="006333CA">
              <w:rPr>
                <w:sz w:val="20"/>
                <w:szCs w:val="20"/>
              </w:rPr>
              <w:t xml:space="preserve">Where applicable </w:t>
            </w:r>
          </w:p>
        </w:tc>
      </w:tr>
      <w:tr w:rsidR="0032518E" w:rsidRPr="005C5112" w14:paraId="2D3C6CF9" w14:textId="77777777" w:rsidTr="2849742D">
        <w:tc>
          <w:tcPr>
            <w:tcW w:w="2972" w:type="dxa"/>
            <w:tcBorders>
              <w:top w:val="single" w:sz="4" w:space="0" w:color="auto"/>
              <w:left w:val="nil"/>
              <w:bottom w:val="single" w:sz="4" w:space="0" w:color="auto"/>
              <w:right w:val="nil"/>
            </w:tcBorders>
            <w:shd w:val="clear" w:color="auto" w:fill="FFFFFF" w:themeFill="background1"/>
          </w:tcPr>
          <w:p w14:paraId="7A6624F3" w14:textId="77777777" w:rsidR="0032518E" w:rsidRPr="006333CA" w:rsidRDefault="0032518E" w:rsidP="0032518E">
            <w:pPr>
              <w:rPr>
                <w:b/>
                <w:sz w:val="20"/>
                <w:szCs w:val="20"/>
              </w:rPr>
            </w:pPr>
          </w:p>
        </w:tc>
        <w:tc>
          <w:tcPr>
            <w:tcW w:w="6521" w:type="dxa"/>
            <w:gridSpan w:val="5"/>
            <w:tcBorders>
              <w:top w:val="single" w:sz="4" w:space="0" w:color="auto"/>
              <w:left w:val="nil"/>
              <w:bottom w:val="single" w:sz="4" w:space="0" w:color="auto"/>
              <w:right w:val="nil"/>
            </w:tcBorders>
          </w:tcPr>
          <w:p w14:paraId="3BA46827" w14:textId="77777777" w:rsidR="0032518E" w:rsidRPr="006333CA" w:rsidRDefault="0032518E" w:rsidP="0032518E">
            <w:pPr>
              <w:rPr>
                <w:sz w:val="20"/>
                <w:szCs w:val="20"/>
              </w:rPr>
            </w:pPr>
          </w:p>
        </w:tc>
      </w:tr>
      <w:tr w:rsidR="0032518E" w:rsidRPr="005C5112" w14:paraId="6174AA5C" w14:textId="77777777" w:rsidTr="2849742D">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2D46E8" w14:textId="77777777" w:rsidR="0032518E" w:rsidRPr="006333CA" w:rsidRDefault="0032518E" w:rsidP="0032518E">
            <w:pPr>
              <w:rPr>
                <w:b/>
                <w:sz w:val="20"/>
                <w:szCs w:val="20"/>
              </w:rPr>
            </w:pPr>
            <w:r w:rsidRPr="006333CA">
              <w:rPr>
                <w:b/>
                <w:sz w:val="20"/>
                <w:szCs w:val="20"/>
              </w:rPr>
              <w:t>Report authorised by</w:t>
            </w:r>
          </w:p>
        </w:tc>
        <w:tc>
          <w:tcPr>
            <w:tcW w:w="6521" w:type="dxa"/>
            <w:gridSpan w:val="5"/>
            <w:tcBorders>
              <w:top w:val="single" w:sz="4" w:space="0" w:color="auto"/>
              <w:left w:val="single" w:sz="4" w:space="0" w:color="auto"/>
              <w:bottom w:val="single" w:sz="4" w:space="0" w:color="auto"/>
              <w:right w:val="single" w:sz="4" w:space="0" w:color="auto"/>
            </w:tcBorders>
          </w:tcPr>
          <w:p w14:paraId="1E05D979" w14:textId="78ED941C" w:rsidR="0032518E" w:rsidRPr="006333CA" w:rsidRDefault="7E5F36FF" w:rsidP="7DD04102">
            <w:pPr>
              <w:rPr>
                <w:sz w:val="20"/>
                <w:szCs w:val="20"/>
              </w:rPr>
            </w:pPr>
            <w:r w:rsidRPr="006333CA">
              <w:rPr>
                <w:sz w:val="20"/>
                <w:szCs w:val="20"/>
              </w:rPr>
              <w:t>Craig Harris</w:t>
            </w:r>
            <w:r w:rsidR="6D7D0A76" w:rsidRPr="006333CA">
              <w:rPr>
                <w:sz w:val="20"/>
                <w:szCs w:val="20"/>
              </w:rPr>
              <w:t>,</w:t>
            </w:r>
            <w:r w:rsidRPr="006333CA">
              <w:rPr>
                <w:sz w:val="20"/>
                <w:szCs w:val="20"/>
              </w:rPr>
              <w:t xml:space="preserve"> Chief Operating Officer </w:t>
            </w:r>
            <w:r w:rsidR="006D0EE9">
              <w:rPr>
                <w:sz w:val="20"/>
                <w:szCs w:val="20"/>
              </w:rPr>
              <w:t>and Chief Commissioner</w:t>
            </w:r>
          </w:p>
        </w:tc>
      </w:tr>
    </w:tbl>
    <w:p w14:paraId="00C48FF6" w14:textId="77777777" w:rsidR="009D617C" w:rsidRPr="006333CA" w:rsidRDefault="009D617C" w:rsidP="6873A0FE">
      <w:pPr>
        <w:rPr>
          <w:rFonts w:ascii="Arial" w:eastAsia="Arial" w:hAnsi="Arial" w:cs="Arial"/>
          <w:color w:val="000000" w:themeColor="text1"/>
          <w:sz w:val="20"/>
          <w:szCs w:val="20"/>
        </w:rPr>
      </w:pPr>
    </w:p>
    <w:p w14:paraId="5C19C5BC" w14:textId="281EF843" w:rsidR="00DE649C" w:rsidRPr="006333CA" w:rsidRDefault="40471C97" w:rsidP="009D617C">
      <w:pPr>
        <w:pStyle w:val="Heading1"/>
        <w:spacing w:before="120" w:line="240" w:lineRule="auto"/>
        <w:ind w:hanging="142"/>
        <w:jc w:val="center"/>
        <w:rPr>
          <w:rFonts w:ascii="Arial" w:eastAsia="Arial" w:hAnsi="Arial" w:cs="Arial"/>
          <w:sz w:val="20"/>
          <w:szCs w:val="20"/>
        </w:rPr>
      </w:pPr>
      <w:r w:rsidRPr="006333CA">
        <w:rPr>
          <w:rFonts w:ascii="Arial" w:eastAsia="Arial" w:hAnsi="Arial" w:cs="Arial"/>
          <w:sz w:val="20"/>
          <w:szCs w:val="20"/>
        </w:rPr>
        <w:t>ICB Primary Care Contracts Sub</w:t>
      </w:r>
      <w:r w:rsidR="00BC1AE6" w:rsidRPr="006333CA">
        <w:rPr>
          <w:rFonts w:ascii="Arial" w:eastAsia="Arial" w:hAnsi="Arial" w:cs="Arial"/>
          <w:sz w:val="20"/>
          <w:szCs w:val="20"/>
        </w:rPr>
        <w:t>-c</w:t>
      </w:r>
      <w:r w:rsidRPr="006333CA">
        <w:rPr>
          <w:rFonts w:ascii="Arial" w:eastAsia="Arial" w:hAnsi="Arial" w:cs="Arial"/>
          <w:sz w:val="20"/>
          <w:szCs w:val="20"/>
        </w:rPr>
        <w:t>ommittee</w:t>
      </w:r>
    </w:p>
    <w:p w14:paraId="7C613732" w14:textId="213C5D7D" w:rsidR="17074F03" w:rsidRPr="006333CA" w:rsidRDefault="00A31500" w:rsidP="1084E06B">
      <w:pPr>
        <w:jc w:val="center"/>
        <w:rPr>
          <w:rFonts w:ascii="Arial" w:eastAsia="Arial" w:hAnsi="Arial" w:cs="Arial"/>
          <w:b/>
          <w:color w:val="000000" w:themeColor="text1"/>
          <w:sz w:val="20"/>
          <w:szCs w:val="20"/>
        </w:rPr>
      </w:pPr>
      <w:r w:rsidRPr="006333CA">
        <w:rPr>
          <w:rFonts w:ascii="Arial" w:eastAsia="Arial" w:hAnsi="Arial" w:cs="Arial"/>
          <w:b/>
          <w:color w:val="000000" w:themeColor="text1"/>
          <w:sz w:val="20"/>
          <w:szCs w:val="20"/>
        </w:rPr>
        <w:t>February</w:t>
      </w:r>
      <w:r w:rsidR="009E093E" w:rsidRPr="006333CA">
        <w:rPr>
          <w:rFonts w:ascii="Arial" w:eastAsia="Arial" w:hAnsi="Arial" w:cs="Arial"/>
          <w:b/>
          <w:color w:val="000000" w:themeColor="text1"/>
          <w:sz w:val="20"/>
          <w:szCs w:val="20"/>
        </w:rPr>
        <w:t xml:space="preserve"> 2026</w:t>
      </w:r>
    </w:p>
    <w:p w14:paraId="27B5AE25" w14:textId="011CF769" w:rsidR="00DE649C" w:rsidRPr="006333CA" w:rsidRDefault="40471C97" w:rsidP="00BC1AE6">
      <w:pPr>
        <w:spacing w:after="0"/>
        <w:ind w:left="-993" w:right="-897"/>
        <w:jc w:val="center"/>
        <w:rPr>
          <w:rFonts w:ascii="Arial" w:eastAsia="Arial" w:hAnsi="Arial" w:cs="Arial"/>
          <w:color w:val="000000" w:themeColor="text1"/>
          <w:sz w:val="20"/>
          <w:szCs w:val="20"/>
        </w:rPr>
      </w:pPr>
      <w:r w:rsidRPr="006333CA">
        <w:rPr>
          <w:rFonts w:ascii="Arial" w:hAnsi="Arial" w:cs="Arial"/>
          <w:noProof/>
          <w:sz w:val="20"/>
          <w:szCs w:val="20"/>
        </w:rPr>
        <w:drawing>
          <wp:inline distT="0" distB="0" distL="0" distR="0" wp14:anchorId="709713A0" wp14:editId="03F99B9A">
            <wp:extent cx="5724524" cy="76200"/>
            <wp:effectExtent l="0" t="0" r="0" b="0"/>
            <wp:docPr id="841569286" name="Picture 841569286" descr="Straight Connector 1, Shape">
              <a:extLst xmlns:a="http://schemas.openxmlformats.org/drawingml/2006/main">
                <a:ext uri="{FF2B5EF4-FFF2-40B4-BE49-F238E27FC236}">
                  <a16:creationId xmlns:a16="http://schemas.microsoft.com/office/drawing/2014/main" id="{4893E06A-D268-44A4-9041-EF384121C9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76200"/>
                    </a:xfrm>
                    <a:prstGeom prst="rect">
                      <a:avLst/>
                    </a:prstGeom>
                  </pic:spPr>
                </pic:pic>
              </a:graphicData>
            </a:graphic>
          </wp:inline>
        </w:drawing>
      </w:r>
    </w:p>
    <w:p w14:paraId="7F933576" w14:textId="2945C8D8" w:rsidR="00DE649C" w:rsidRPr="006333CA" w:rsidRDefault="00DE649C" w:rsidP="360C4CB1">
      <w:pPr>
        <w:spacing w:after="0"/>
        <w:rPr>
          <w:rFonts w:ascii="Arial" w:eastAsia="Arial" w:hAnsi="Arial" w:cs="Arial"/>
          <w:color w:val="000000" w:themeColor="text1"/>
          <w:sz w:val="20"/>
          <w:szCs w:val="20"/>
        </w:rPr>
      </w:pPr>
    </w:p>
    <w:p w14:paraId="593360F6" w14:textId="5BBE2B22" w:rsidR="00DE649C" w:rsidRPr="006333CA" w:rsidRDefault="40471C97" w:rsidP="009D617C">
      <w:pPr>
        <w:spacing w:after="0"/>
        <w:jc w:val="center"/>
        <w:rPr>
          <w:rFonts w:ascii="Arial" w:eastAsia="Arial" w:hAnsi="Arial" w:cs="Arial"/>
          <w:color w:val="000000" w:themeColor="text1"/>
          <w:sz w:val="20"/>
          <w:szCs w:val="20"/>
        </w:rPr>
      </w:pPr>
      <w:r w:rsidRPr="006333CA">
        <w:rPr>
          <w:rFonts w:ascii="Arial" w:eastAsia="Arial" w:hAnsi="Arial" w:cs="Arial"/>
          <w:b/>
          <w:color w:val="000000" w:themeColor="text1"/>
          <w:sz w:val="20"/>
          <w:szCs w:val="20"/>
          <w:lang w:val="en-US"/>
        </w:rPr>
        <w:t>Sub</w:t>
      </w:r>
      <w:r w:rsidR="00BC1AE6" w:rsidRPr="006333CA">
        <w:rPr>
          <w:rFonts w:ascii="Arial" w:eastAsia="Arial" w:hAnsi="Arial" w:cs="Arial"/>
          <w:b/>
          <w:color w:val="000000" w:themeColor="text1"/>
          <w:sz w:val="20"/>
          <w:szCs w:val="20"/>
          <w:lang w:val="en-US"/>
        </w:rPr>
        <w:t>-c</w:t>
      </w:r>
      <w:r w:rsidRPr="006333CA">
        <w:rPr>
          <w:rFonts w:ascii="Arial" w:eastAsia="Arial" w:hAnsi="Arial" w:cs="Arial"/>
          <w:b/>
          <w:color w:val="000000" w:themeColor="text1"/>
          <w:sz w:val="20"/>
          <w:szCs w:val="20"/>
          <w:lang w:val="en-US"/>
        </w:rPr>
        <w:t>ommittee Escalation and Assurance Report</w:t>
      </w:r>
    </w:p>
    <w:p w14:paraId="654FCBB4" w14:textId="392583DF" w:rsidR="00DE649C" w:rsidRPr="006333CA" w:rsidRDefault="00DE649C" w:rsidP="360C4CB1">
      <w:pPr>
        <w:spacing w:after="0" w:line="240" w:lineRule="auto"/>
        <w:rPr>
          <w:rFonts w:ascii="Arial" w:eastAsia="Arial" w:hAnsi="Arial" w:cs="Arial"/>
          <w:color w:val="000000" w:themeColor="text1"/>
          <w:sz w:val="20"/>
          <w:szCs w:val="20"/>
        </w:rPr>
      </w:pPr>
    </w:p>
    <w:p w14:paraId="22D858D8" w14:textId="3A6AC784" w:rsidR="00DE649C" w:rsidRPr="006333CA" w:rsidRDefault="40471C97" w:rsidP="360C4CB1">
      <w:pPr>
        <w:spacing w:after="0" w:line="240" w:lineRule="auto"/>
        <w:rPr>
          <w:rFonts w:ascii="Arial" w:eastAsia="Arial" w:hAnsi="Arial" w:cs="Arial"/>
          <w:color w:val="000000" w:themeColor="text1"/>
          <w:sz w:val="20"/>
          <w:szCs w:val="20"/>
        </w:rPr>
      </w:pPr>
      <w:r w:rsidRPr="006333CA">
        <w:rPr>
          <w:rFonts w:ascii="Arial" w:eastAsia="Arial" w:hAnsi="Arial" w:cs="Arial"/>
          <w:b/>
          <w:color w:val="000000" w:themeColor="text1"/>
          <w:sz w:val="20"/>
          <w:szCs w:val="20"/>
          <w:lang w:val="en-US"/>
        </w:rPr>
        <w:t> </w:t>
      </w:r>
    </w:p>
    <w:p w14:paraId="341B6AF6" w14:textId="1F95AFAD" w:rsidR="00DE649C" w:rsidRPr="006333CA" w:rsidRDefault="40471C97" w:rsidP="360C4CB1">
      <w:pPr>
        <w:pStyle w:val="ListParagraph"/>
        <w:numPr>
          <w:ilvl w:val="0"/>
          <w:numId w:val="11"/>
        </w:numPr>
        <w:ind w:left="567"/>
        <w:rPr>
          <w:rFonts w:eastAsia="Arial" w:cs="Arial"/>
          <w:b/>
          <w:color w:val="000000" w:themeColor="text1"/>
          <w:sz w:val="20"/>
          <w:szCs w:val="20"/>
        </w:rPr>
      </w:pPr>
      <w:r w:rsidRPr="006333CA">
        <w:rPr>
          <w:rFonts w:eastAsia="Arial" w:cs="Arial"/>
          <w:b/>
          <w:color w:val="000000" w:themeColor="text1"/>
          <w:sz w:val="20"/>
          <w:szCs w:val="20"/>
          <w:lang w:val="en-US"/>
        </w:rPr>
        <w:t xml:space="preserve">Introduction </w:t>
      </w:r>
    </w:p>
    <w:p w14:paraId="1D5A13E5" w14:textId="01C2FED0" w:rsidR="00DE649C" w:rsidRPr="006333CA" w:rsidRDefault="40471C97" w:rsidP="360C4CB1">
      <w:pPr>
        <w:spacing w:after="0" w:line="240" w:lineRule="auto"/>
        <w:rPr>
          <w:rFonts w:ascii="Arial" w:eastAsia="Arial" w:hAnsi="Arial" w:cs="Arial"/>
          <w:color w:val="000000" w:themeColor="text1"/>
          <w:sz w:val="20"/>
          <w:szCs w:val="20"/>
        </w:rPr>
      </w:pPr>
      <w:r w:rsidRPr="006333CA">
        <w:rPr>
          <w:rFonts w:ascii="Arial" w:eastAsia="Arial" w:hAnsi="Arial" w:cs="Arial"/>
          <w:b/>
          <w:color w:val="000000" w:themeColor="text1"/>
          <w:sz w:val="20"/>
          <w:szCs w:val="20"/>
          <w:lang w:val="en-US"/>
        </w:rPr>
        <w:t> </w:t>
      </w:r>
    </w:p>
    <w:p w14:paraId="04C83678" w14:textId="252DFC94" w:rsidR="00DE649C" w:rsidRPr="006333CA" w:rsidRDefault="2FAE5617" w:rsidP="000B2206">
      <w:pPr>
        <w:pStyle w:val="ListParagraph"/>
        <w:numPr>
          <w:ilvl w:val="1"/>
          <w:numId w:val="10"/>
        </w:numPr>
        <w:tabs>
          <w:tab w:val="left" w:pos="565"/>
        </w:tabs>
        <w:rPr>
          <w:rFonts w:eastAsia="Arial" w:cs="Arial"/>
          <w:color w:val="000000" w:themeColor="text1"/>
          <w:sz w:val="20"/>
          <w:szCs w:val="20"/>
        </w:rPr>
      </w:pPr>
      <w:r w:rsidRPr="006333CA">
        <w:rPr>
          <w:rFonts w:eastAsia="Arial" w:cs="Arial"/>
          <w:color w:val="000000" w:themeColor="text1"/>
          <w:sz w:val="20"/>
          <w:szCs w:val="20"/>
          <w:lang w:val="en-US"/>
        </w:rPr>
        <w:t>T</w:t>
      </w:r>
      <w:r w:rsidRPr="006333CA">
        <w:rPr>
          <w:rFonts w:eastAsia="Arial" w:cs="Arial"/>
          <w:color w:val="000000" w:themeColor="text1"/>
          <w:sz w:val="20"/>
          <w:szCs w:val="20"/>
        </w:rPr>
        <w:t>his report highlights key matters</w:t>
      </w:r>
      <w:r w:rsidR="6F7E7C74" w:rsidRPr="006333CA">
        <w:rPr>
          <w:rFonts w:eastAsia="Arial" w:cs="Arial"/>
          <w:color w:val="000000" w:themeColor="text1"/>
          <w:sz w:val="20"/>
          <w:szCs w:val="20"/>
        </w:rPr>
        <w:t xml:space="preserve"> and</w:t>
      </w:r>
      <w:r w:rsidRPr="006333CA">
        <w:rPr>
          <w:rFonts w:eastAsia="Arial" w:cs="Arial"/>
          <w:color w:val="000000" w:themeColor="text1"/>
          <w:sz w:val="20"/>
          <w:szCs w:val="20"/>
        </w:rPr>
        <w:t xml:space="preserve"> issues discussed at the </w:t>
      </w:r>
      <w:r w:rsidR="00BC1AE6" w:rsidRPr="006333CA">
        <w:rPr>
          <w:rFonts w:eastAsia="Arial" w:cs="Arial"/>
          <w:color w:val="000000" w:themeColor="text1"/>
          <w:sz w:val="20"/>
          <w:szCs w:val="20"/>
        </w:rPr>
        <w:t>group</w:t>
      </w:r>
      <w:r w:rsidRPr="006333CA">
        <w:rPr>
          <w:rFonts w:eastAsia="Arial" w:cs="Arial"/>
          <w:color w:val="000000" w:themeColor="text1"/>
          <w:sz w:val="20"/>
          <w:szCs w:val="20"/>
        </w:rPr>
        <w:t xml:space="preserve"> meetings since the last report to advise, assure and alert the </w:t>
      </w:r>
      <w:r w:rsidR="00BC1AE6" w:rsidRPr="006333CA">
        <w:rPr>
          <w:rFonts w:eastAsia="Arial" w:cs="Arial"/>
          <w:color w:val="000000" w:themeColor="text1"/>
          <w:sz w:val="20"/>
          <w:szCs w:val="20"/>
        </w:rPr>
        <w:t>s</w:t>
      </w:r>
      <w:r w:rsidRPr="006333CA">
        <w:rPr>
          <w:rFonts w:eastAsia="Arial" w:cs="Arial"/>
          <w:color w:val="000000" w:themeColor="text1"/>
          <w:sz w:val="20"/>
          <w:szCs w:val="20"/>
        </w:rPr>
        <w:t>ub</w:t>
      </w:r>
      <w:r w:rsidR="00BC1AE6" w:rsidRPr="006333CA">
        <w:rPr>
          <w:rFonts w:eastAsia="Arial" w:cs="Arial"/>
          <w:color w:val="000000" w:themeColor="text1"/>
          <w:sz w:val="20"/>
          <w:szCs w:val="20"/>
        </w:rPr>
        <w:t>-c</w:t>
      </w:r>
      <w:r w:rsidRPr="006333CA">
        <w:rPr>
          <w:rFonts w:eastAsia="Arial" w:cs="Arial"/>
          <w:color w:val="000000" w:themeColor="text1"/>
          <w:sz w:val="20"/>
          <w:szCs w:val="20"/>
        </w:rPr>
        <w:t>ommittee.</w:t>
      </w:r>
    </w:p>
    <w:p w14:paraId="23ADC9E3" w14:textId="020E8443" w:rsidR="00DE649C" w:rsidRPr="006333CA" w:rsidRDefault="00DE649C" w:rsidP="360C4CB1">
      <w:pPr>
        <w:tabs>
          <w:tab w:val="left" w:pos="565"/>
        </w:tabs>
        <w:spacing w:after="0" w:line="240" w:lineRule="auto"/>
        <w:rPr>
          <w:rFonts w:ascii="Arial" w:eastAsia="Arial" w:hAnsi="Arial" w:cs="Arial"/>
          <w:color w:val="000000" w:themeColor="text1"/>
          <w:sz w:val="20"/>
          <w:szCs w:val="20"/>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1830"/>
        <w:gridCol w:w="2970"/>
      </w:tblGrid>
      <w:tr w:rsidR="008B6828" w:rsidRPr="005C5112" w14:paraId="3436A76C" w14:textId="77777777" w:rsidTr="360C4CB1">
        <w:trPr>
          <w:trHeight w:val="300"/>
        </w:trPr>
        <w:tc>
          <w:tcPr>
            <w:tcW w:w="4815" w:type="dxa"/>
            <w:tcMar>
              <w:left w:w="105" w:type="dxa"/>
              <w:right w:w="105" w:type="dxa"/>
            </w:tcMar>
          </w:tcPr>
          <w:p w14:paraId="41695AD5" w14:textId="1BBBEF97" w:rsidR="360C4CB1" w:rsidRPr="006333CA" w:rsidRDefault="360C4CB1" w:rsidP="360C4CB1">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Committee: Primary Medical Services Group</w:t>
            </w:r>
          </w:p>
        </w:tc>
        <w:tc>
          <w:tcPr>
            <w:tcW w:w="1830" w:type="dxa"/>
            <w:tcMar>
              <w:left w:w="105" w:type="dxa"/>
              <w:right w:w="105" w:type="dxa"/>
            </w:tcMar>
          </w:tcPr>
          <w:p w14:paraId="75C95E8D" w14:textId="367989EE" w:rsidR="360C4CB1" w:rsidRPr="006333CA" w:rsidRDefault="360C4CB1" w:rsidP="360C4CB1">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 xml:space="preserve">Date: </w:t>
            </w:r>
            <w:r w:rsidR="00BA5D1B" w:rsidRPr="006333CA">
              <w:rPr>
                <w:rFonts w:ascii="Arial" w:eastAsia="Arial" w:hAnsi="Arial" w:cs="Arial"/>
                <w:color w:val="808080" w:themeColor="background1" w:themeShade="80"/>
                <w:sz w:val="20"/>
                <w:szCs w:val="20"/>
                <w:lang w:val="en-US"/>
              </w:rPr>
              <w:t>4</w:t>
            </w:r>
            <w:r w:rsidR="00BA5D1B" w:rsidRPr="006333CA">
              <w:rPr>
                <w:rFonts w:ascii="Arial" w:eastAsia="Arial" w:hAnsi="Arial" w:cs="Arial"/>
                <w:color w:val="808080" w:themeColor="background1" w:themeShade="80"/>
                <w:sz w:val="20"/>
                <w:szCs w:val="20"/>
                <w:vertAlign w:val="superscript"/>
                <w:lang w:val="en-US"/>
              </w:rPr>
              <w:t>th</w:t>
            </w:r>
            <w:r w:rsidR="00BA5D1B" w:rsidRPr="006333CA">
              <w:rPr>
                <w:rFonts w:ascii="Arial" w:eastAsia="Arial" w:hAnsi="Arial" w:cs="Arial"/>
                <w:color w:val="808080" w:themeColor="background1" w:themeShade="80"/>
                <w:sz w:val="20"/>
                <w:szCs w:val="20"/>
                <w:lang w:val="en-US"/>
              </w:rPr>
              <w:t xml:space="preserve"> February </w:t>
            </w:r>
            <w:r w:rsidR="00C24108" w:rsidRPr="006333CA">
              <w:rPr>
                <w:rFonts w:ascii="Arial" w:eastAsia="Arial" w:hAnsi="Arial" w:cs="Arial"/>
                <w:color w:val="808080" w:themeColor="background1" w:themeShade="80"/>
                <w:sz w:val="20"/>
                <w:szCs w:val="20"/>
                <w:lang w:val="en-US"/>
              </w:rPr>
              <w:t>2026</w:t>
            </w:r>
          </w:p>
        </w:tc>
        <w:tc>
          <w:tcPr>
            <w:tcW w:w="2970" w:type="dxa"/>
            <w:tcMar>
              <w:left w:w="105" w:type="dxa"/>
              <w:right w:w="105" w:type="dxa"/>
            </w:tcMar>
          </w:tcPr>
          <w:p w14:paraId="1D7A0A65" w14:textId="529335CA" w:rsidR="360C4CB1" w:rsidRPr="006333CA" w:rsidRDefault="360C4CB1" w:rsidP="360C4CB1">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 xml:space="preserve">Chair: </w:t>
            </w:r>
            <w:r w:rsidR="00355A02" w:rsidRPr="006333CA">
              <w:rPr>
                <w:rFonts w:ascii="Arial" w:eastAsia="Arial" w:hAnsi="Arial" w:cs="Arial"/>
                <w:color w:val="808080" w:themeColor="background1" w:themeShade="80"/>
                <w:sz w:val="20"/>
                <w:szCs w:val="20"/>
                <w:lang w:val="en-US"/>
              </w:rPr>
              <w:t>Peter Tinson</w:t>
            </w:r>
          </w:p>
        </w:tc>
      </w:tr>
    </w:tbl>
    <w:p w14:paraId="40D9E41E" w14:textId="7142090A" w:rsidR="00DE649C" w:rsidRPr="006333CA" w:rsidRDefault="00DE649C" w:rsidP="360C4CB1">
      <w:pPr>
        <w:spacing w:after="0" w:line="240" w:lineRule="auto"/>
        <w:ind w:left="1440"/>
        <w:contextualSpacing/>
        <w:rPr>
          <w:rFonts w:ascii="Arial" w:eastAsia="Arial" w:hAnsi="Arial" w:cs="Arial"/>
          <w:color w:val="000000" w:themeColor="text1"/>
          <w:sz w:val="20"/>
          <w:szCs w:val="20"/>
        </w:rPr>
      </w:pPr>
    </w:p>
    <w:tbl>
      <w:tblPr>
        <w:tblStyle w:val="TableGrid"/>
        <w:tblW w:w="9597" w:type="dxa"/>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44"/>
        <w:gridCol w:w="4252"/>
        <w:gridCol w:w="2501"/>
      </w:tblGrid>
      <w:tr w:rsidR="00033407" w:rsidRPr="005C5112" w14:paraId="4DA4D59D" w14:textId="77777777" w:rsidTr="7DD04102">
        <w:trPr>
          <w:trHeight w:val="300"/>
        </w:trPr>
        <w:tc>
          <w:tcPr>
            <w:tcW w:w="9597" w:type="dxa"/>
            <w:gridSpan w:val="3"/>
            <w:shd w:val="clear" w:color="auto" w:fill="0070C0"/>
            <w:tcMar>
              <w:left w:w="105" w:type="dxa"/>
              <w:right w:w="105" w:type="dxa"/>
            </w:tcMar>
            <w:vAlign w:val="center"/>
          </w:tcPr>
          <w:p w14:paraId="10A0F729" w14:textId="2D136C7D" w:rsidR="360C4CB1" w:rsidRPr="006333CA" w:rsidRDefault="360C4CB1" w:rsidP="360C4CB1">
            <w:pPr>
              <w:contextualSpacing/>
              <w:rPr>
                <w:rFonts w:ascii="Arial" w:eastAsia="Arial" w:hAnsi="Arial" w:cs="Arial"/>
                <w:color w:val="FFFFFF" w:themeColor="background1"/>
                <w:sz w:val="20"/>
                <w:szCs w:val="20"/>
              </w:rPr>
            </w:pPr>
            <w:r w:rsidRPr="006333CA">
              <w:rPr>
                <w:rFonts w:ascii="Arial" w:eastAsia="Arial" w:hAnsi="Arial" w:cs="Arial"/>
                <w:b/>
                <w:smallCaps/>
                <w:color w:val="FFFFFF" w:themeColor="background1"/>
                <w:sz w:val="20"/>
                <w:szCs w:val="20"/>
              </w:rPr>
              <w:t>K</w:t>
            </w:r>
            <w:r w:rsidRPr="006333CA">
              <w:rPr>
                <w:rFonts w:ascii="Arial" w:eastAsia="Arial" w:hAnsi="Arial" w:cs="Arial"/>
                <w:b/>
                <w:color w:val="FFFFFF" w:themeColor="background1"/>
                <w:sz w:val="20"/>
                <w:szCs w:val="20"/>
              </w:rPr>
              <w:t>ey Items Discussed</w:t>
            </w:r>
          </w:p>
        </w:tc>
      </w:tr>
      <w:tr w:rsidR="00572E71" w:rsidRPr="005C5112" w14:paraId="65B468B2" w14:textId="77777777" w:rsidTr="7DD04102">
        <w:trPr>
          <w:trHeight w:val="300"/>
        </w:trPr>
        <w:tc>
          <w:tcPr>
            <w:tcW w:w="2844" w:type="dxa"/>
            <w:shd w:val="clear" w:color="auto" w:fill="FFFFFF" w:themeFill="background1"/>
            <w:tcMar>
              <w:left w:w="105" w:type="dxa"/>
              <w:right w:w="105" w:type="dxa"/>
            </w:tcMar>
          </w:tcPr>
          <w:p w14:paraId="3F706A89" w14:textId="09345F11" w:rsidR="360C4CB1" w:rsidRPr="006333CA" w:rsidRDefault="360C4CB1" w:rsidP="000B1012">
            <w:pPr>
              <w:contextualSpacing/>
              <w:jc w:val="center"/>
              <w:rPr>
                <w:rFonts w:ascii="Arial" w:eastAsia="Arial" w:hAnsi="Arial" w:cs="Arial"/>
                <w:sz w:val="20"/>
                <w:szCs w:val="20"/>
              </w:rPr>
            </w:pPr>
            <w:r w:rsidRPr="006333CA">
              <w:rPr>
                <w:rFonts w:ascii="Arial" w:eastAsia="Arial" w:hAnsi="Arial" w:cs="Arial"/>
                <w:b/>
                <w:sz w:val="20"/>
                <w:szCs w:val="20"/>
              </w:rPr>
              <w:t>Issue</w:t>
            </w:r>
          </w:p>
        </w:tc>
        <w:tc>
          <w:tcPr>
            <w:tcW w:w="4252" w:type="dxa"/>
            <w:shd w:val="clear" w:color="auto" w:fill="FFFFFF" w:themeFill="background1"/>
            <w:tcMar>
              <w:left w:w="105" w:type="dxa"/>
              <w:right w:w="105" w:type="dxa"/>
            </w:tcMar>
          </w:tcPr>
          <w:p w14:paraId="7C37298E" w14:textId="6EE77514" w:rsidR="360C4CB1" w:rsidRPr="006333CA" w:rsidRDefault="360C4CB1" w:rsidP="000B1012">
            <w:pPr>
              <w:contextualSpacing/>
              <w:jc w:val="center"/>
              <w:rPr>
                <w:rFonts w:ascii="Arial" w:eastAsia="Arial" w:hAnsi="Arial" w:cs="Arial"/>
                <w:sz w:val="20"/>
                <w:szCs w:val="20"/>
              </w:rPr>
            </w:pPr>
            <w:r w:rsidRPr="006333CA">
              <w:rPr>
                <w:rFonts w:ascii="Arial" w:eastAsia="Arial" w:hAnsi="Arial" w:cs="Arial"/>
                <w:b/>
                <w:sz w:val="20"/>
                <w:szCs w:val="20"/>
              </w:rPr>
              <w:t>Committee Update</w:t>
            </w:r>
          </w:p>
        </w:tc>
        <w:tc>
          <w:tcPr>
            <w:tcW w:w="2501" w:type="dxa"/>
            <w:shd w:val="clear" w:color="auto" w:fill="FFFFFF" w:themeFill="background1"/>
            <w:tcMar>
              <w:left w:w="105" w:type="dxa"/>
              <w:right w:w="105" w:type="dxa"/>
            </w:tcMar>
          </w:tcPr>
          <w:p w14:paraId="77D81487" w14:textId="4F40CD93" w:rsidR="360C4CB1" w:rsidRPr="006333CA" w:rsidRDefault="360C4CB1" w:rsidP="000B1012">
            <w:pPr>
              <w:contextualSpacing/>
              <w:jc w:val="center"/>
              <w:rPr>
                <w:rFonts w:ascii="Arial" w:eastAsia="Arial" w:hAnsi="Arial" w:cs="Arial"/>
                <w:sz w:val="20"/>
                <w:szCs w:val="20"/>
              </w:rPr>
            </w:pPr>
            <w:r w:rsidRPr="006333CA">
              <w:rPr>
                <w:rFonts w:ascii="Arial" w:eastAsia="Arial" w:hAnsi="Arial" w:cs="Arial"/>
                <w:b/>
                <w:sz w:val="20"/>
                <w:szCs w:val="20"/>
              </w:rPr>
              <w:t>Action</w:t>
            </w:r>
          </w:p>
        </w:tc>
      </w:tr>
      <w:tr w:rsidR="00033407" w:rsidRPr="005C5112" w14:paraId="759B50BB" w14:textId="77777777" w:rsidTr="7DD04102">
        <w:trPr>
          <w:trHeight w:val="300"/>
        </w:trPr>
        <w:tc>
          <w:tcPr>
            <w:tcW w:w="9597" w:type="dxa"/>
            <w:gridSpan w:val="3"/>
            <w:shd w:val="clear" w:color="auto" w:fill="FF5050"/>
            <w:tcMar>
              <w:left w:w="105" w:type="dxa"/>
              <w:right w:w="105" w:type="dxa"/>
            </w:tcMar>
          </w:tcPr>
          <w:p w14:paraId="43165316" w14:textId="32008A03" w:rsidR="360C4CB1" w:rsidRPr="006333CA" w:rsidRDefault="360C4CB1" w:rsidP="360C4CB1">
            <w:pPr>
              <w:contextualSpacing/>
              <w:rPr>
                <w:rFonts w:ascii="Arial" w:eastAsia="Arial" w:hAnsi="Arial" w:cs="Arial"/>
                <w:color w:val="FFFFFF" w:themeColor="background1"/>
                <w:sz w:val="20"/>
                <w:szCs w:val="20"/>
              </w:rPr>
            </w:pPr>
            <w:r w:rsidRPr="006333CA">
              <w:rPr>
                <w:rFonts w:ascii="Arial" w:eastAsia="Arial" w:hAnsi="Arial" w:cs="Arial"/>
                <w:b/>
                <w:color w:val="FFFFFF" w:themeColor="background1"/>
                <w:sz w:val="20"/>
                <w:szCs w:val="20"/>
              </w:rPr>
              <w:t xml:space="preserve">Alert </w:t>
            </w:r>
          </w:p>
        </w:tc>
      </w:tr>
      <w:tr w:rsidR="00634E44" w:rsidRPr="005C5112" w14:paraId="13FAA908" w14:textId="77777777" w:rsidTr="7DD04102">
        <w:trPr>
          <w:trHeight w:val="300"/>
        </w:trPr>
        <w:tc>
          <w:tcPr>
            <w:tcW w:w="2844" w:type="dxa"/>
            <w:tcMar>
              <w:left w:w="105" w:type="dxa"/>
              <w:right w:w="105" w:type="dxa"/>
            </w:tcMar>
          </w:tcPr>
          <w:p w14:paraId="442ADC51" w14:textId="2BEF1DD3" w:rsidR="360C4CB1" w:rsidRPr="006333CA" w:rsidRDefault="360C4CB1" w:rsidP="360C4CB1">
            <w:pPr>
              <w:contextualSpacing/>
              <w:rPr>
                <w:rFonts w:ascii="Arial" w:eastAsia="Arial" w:hAnsi="Arial" w:cs="Arial"/>
                <w:sz w:val="20"/>
                <w:szCs w:val="20"/>
              </w:rPr>
            </w:pPr>
          </w:p>
        </w:tc>
        <w:tc>
          <w:tcPr>
            <w:tcW w:w="4252" w:type="dxa"/>
            <w:tcMar>
              <w:left w:w="105" w:type="dxa"/>
              <w:right w:w="105" w:type="dxa"/>
            </w:tcMar>
          </w:tcPr>
          <w:p w14:paraId="548EE28B" w14:textId="2C2F582F" w:rsidR="360C4CB1" w:rsidRPr="006333CA" w:rsidRDefault="360C4CB1" w:rsidP="000B1012">
            <w:pPr>
              <w:spacing w:line="233" w:lineRule="auto"/>
              <w:contextualSpacing/>
              <w:jc w:val="center"/>
              <w:rPr>
                <w:rFonts w:ascii="Arial" w:eastAsia="Arial" w:hAnsi="Arial" w:cs="Arial"/>
                <w:sz w:val="20"/>
                <w:szCs w:val="20"/>
              </w:rPr>
            </w:pPr>
            <w:r w:rsidRPr="006333CA">
              <w:rPr>
                <w:rFonts w:ascii="Arial" w:eastAsia="Arial" w:hAnsi="Arial" w:cs="Arial"/>
                <w:b/>
                <w:sz w:val="20"/>
                <w:szCs w:val="20"/>
              </w:rPr>
              <w:t>Nothing to Escalate</w:t>
            </w:r>
          </w:p>
        </w:tc>
        <w:tc>
          <w:tcPr>
            <w:tcW w:w="2501" w:type="dxa"/>
            <w:tcMar>
              <w:left w:w="105" w:type="dxa"/>
              <w:right w:w="105" w:type="dxa"/>
            </w:tcMar>
          </w:tcPr>
          <w:p w14:paraId="6E3344FB" w14:textId="429649D6" w:rsidR="360C4CB1" w:rsidRPr="006333CA" w:rsidRDefault="360C4CB1" w:rsidP="360C4CB1">
            <w:pPr>
              <w:contextualSpacing/>
              <w:rPr>
                <w:rFonts w:ascii="Arial" w:eastAsia="Arial" w:hAnsi="Arial" w:cs="Arial"/>
                <w:sz w:val="20"/>
                <w:szCs w:val="20"/>
              </w:rPr>
            </w:pPr>
          </w:p>
        </w:tc>
      </w:tr>
      <w:tr w:rsidR="00033407" w:rsidRPr="005C5112" w14:paraId="66E11D01" w14:textId="77777777" w:rsidTr="7DD04102">
        <w:trPr>
          <w:trHeight w:val="300"/>
        </w:trPr>
        <w:tc>
          <w:tcPr>
            <w:tcW w:w="9597" w:type="dxa"/>
            <w:gridSpan w:val="3"/>
            <w:shd w:val="clear" w:color="auto" w:fill="FFC000"/>
            <w:tcMar>
              <w:left w:w="105" w:type="dxa"/>
              <w:right w:w="105" w:type="dxa"/>
            </w:tcMar>
          </w:tcPr>
          <w:p w14:paraId="06FF2436" w14:textId="5057BD5E" w:rsidR="360C4CB1" w:rsidRPr="006333CA" w:rsidRDefault="360C4CB1" w:rsidP="360C4CB1">
            <w:pPr>
              <w:contextualSpacing/>
              <w:rPr>
                <w:rFonts w:ascii="Arial" w:eastAsia="Arial" w:hAnsi="Arial" w:cs="Arial"/>
                <w:color w:val="000000" w:themeColor="text1"/>
                <w:sz w:val="20"/>
                <w:szCs w:val="20"/>
              </w:rPr>
            </w:pPr>
            <w:r w:rsidRPr="006333CA">
              <w:rPr>
                <w:rFonts w:ascii="Arial" w:eastAsia="Arial" w:hAnsi="Arial" w:cs="Arial"/>
                <w:b/>
                <w:color w:val="000000" w:themeColor="text1"/>
                <w:sz w:val="20"/>
                <w:szCs w:val="20"/>
              </w:rPr>
              <w:t xml:space="preserve">Advise </w:t>
            </w:r>
          </w:p>
        </w:tc>
      </w:tr>
      <w:tr w:rsidR="00634E44" w:rsidRPr="005C5112" w14:paraId="7073C70A" w14:textId="77777777" w:rsidTr="7DD04102">
        <w:trPr>
          <w:trHeight w:val="300"/>
        </w:trPr>
        <w:tc>
          <w:tcPr>
            <w:tcW w:w="2844" w:type="dxa"/>
            <w:tcMar>
              <w:left w:w="105" w:type="dxa"/>
              <w:right w:w="105" w:type="dxa"/>
            </w:tcMar>
          </w:tcPr>
          <w:p w14:paraId="02212B74" w14:textId="3E0FAD58" w:rsidR="360C4CB1" w:rsidRPr="006333CA" w:rsidRDefault="00C74088" w:rsidP="360C4CB1">
            <w:pPr>
              <w:spacing w:line="233" w:lineRule="auto"/>
              <w:rPr>
                <w:rFonts w:ascii="Arial" w:eastAsia="Arial" w:hAnsi="Arial" w:cs="Arial"/>
                <w:sz w:val="20"/>
                <w:szCs w:val="20"/>
              </w:rPr>
            </w:pPr>
            <w:r w:rsidRPr="006333CA">
              <w:rPr>
                <w:rFonts w:ascii="Arial" w:eastAsia="Arial" w:hAnsi="Arial" w:cs="Arial"/>
                <w:sz w:val="20"/>
                <w:szCs w:val="20"/>
              </w:rPr>
              <w:t>Microsuction Of Ear Service Les - Future Arrangements</w:t>
            </w:r>
          </w:p>
        </w:tc>
        <w:tc>
          <w:tcPr>
            <w:tcW w:w="4252" w:type="dxa"/>
            <w:tcMar>
              <w:left w:w="105" w:type="dxa"/>
              <w:right w:w="105" w:type="dxa"/>
            </w:tcMar>
          </w:tcPr>
          <w:p w14:paraId="183CC6D0" w14:textId="49C15F42" w:rsidR="00AB5C08" w:rsidRPr="006333CA" w:rsidRDefault="00AB5C08" w:rsidP="00AB5C08">
            <w:pPr>
              <w:rPr>
                <w:rFonts w:ascii="Arial" w:eastAsia="Arial" w:hAnsi="Arial" w:cs="Arial"/>
                <w:sz w:val="20"/>
                <w:szCs w:val="20"/>
              </w:rPr>
            </w:pPr>
            <w:r w:rsidRPr="006333CA">
              <w:rPr>
                <w:rFonts w:ascii="Arial" w:eastAsia="Arial" w:hAnsi="Arial" w:cs="Arial"/>
                <w:sz w:val="20"/>
                <w:szCs w:val="20"/>
              </w:rPr>
              <w:t xml:space="preserve">The group reviewed the current and future position of Microsuction services across Lancashire and South Cumbria. Fylde and Wyre are the only locality still delivering a Microsuction LES, while other areas use Tier 2 ENT services or, in Pennine Lancashire, community treatment rooms where Microsuction is not a core service and is under review. </w:t>
            </w:r>
          </w:p>
          <w:p w14:paraId="1CF80A91" w14:textId="77777777" w:rsidR="00AB5C08" w:rsidRPr="006333CA" w:rsidRDefault="00AB5C08" w:rsidP="00AB5C08">
            <w:pPr>
              <w:rPr>
                <w:rFonts w:ascii="Arial" w:eastAsia="Arial" w:hAnsi="Arial" w:cs="Arial"/>
                <w:sz w:val="20"/>
                <w:szCs w:val="20"/>
              </w:rPr>
            </w:pPr>
          </w:p>
          <w:p w14:paraId="68356C63" w14:textId="77777777" w:rsidR="00AB5C08" w:rsidRPr="006333CA" w:rsidRDefault="00AB5C08" w:rsidP="00AB5C08">
            <w:pPr>
              <w:rPr>
                <w:rFonts w:ascii="Arial" w:eastAsia="Arial" w:hAnsi="Arial" w:cs="Arial"/>
                <w:sz w:val="20"/>
                <w:szCs w:val="20"/>
              </w:rPr>
            </w:pPr>
            <w:r w:rsidRPr="006333CA">
              <w:rPr>
                <w:rFonts w:ascii="Arial" w:eastAsia="Arial" w:hAnsi="Arial" w:cs="Arial"/>
                <w:sz w:val="20"/>
                <w:szCs w:val="20"/>
              </w:rPr>
              <w:t>An ICB</w:t>
            </w:r>
            <w:r w:rsidRPr="006333CA">
              <w:rPr>
                <w:rFonts w:ascii="Arial" w:eastAsia="Arial" w:hAnsi="Arial" w:cs="Arial"/>
                <w:sz w:val="20"/>
                <w:szCs w:val="20"/>
              </w:rPr>
              <w:noBreakHyphen/>
              <w:t>wide clinical policy on earwax removal is being developed. Three options were considered: immediate decommissioning of the Fylde and Wyre LES, temporary continuation, or transferring funding to Planned Care to establish a single Tier 2 ENT</w:t>
            </w:r>
            <w:r w:rsidRPr="006333CA">
              <w:rPr>
                <w:rFonts w:ascii="Arial" w:eastAsia="Arial" w:hAnsi="Arial" w:cs="Arial"/>
                <w:sz w:val="20"/>
                <w:szCs w:val="20"/>
              </w:rPr>
              <w:noBreakHyphen/>
              <w:t xml:space="preserve">based model. </w:t>
            </w:r>
          </w:p>
          <w:p w14:paraId="6B995930" w14:textId="77777777" w:rsidR="00AB5C08" w:rsidRPr="006333CA" w:rsidRDefault="00AB5C08" w:rsidP="00AB5C08">
            <w:pPr>
              <w:rPr>
                <w:rFonts w:ascii="Arial" w:eastAsia="Arial" w:hAnsi="Arial" w:cs="Arial"/>
                <w:sz w:val="20"/>
                <w:szCs w:val="20"/>
              </w:rPr>
            </w:pPr>
          </w:p>
          <w:p w14:paraId="091F5BDD" w14:textId="77777777" w:rsidR="00AB5C08" w:rsidRPr="006333CA" w:rsidRDefault="00AB5C08" w:rsidP="00AB5C08">
            <w:pPr>
              <w:rPr>
                <w:rFonts w:ascii="Arial" w:eastAsia="Arial" w:hAnsi="Arial" w:cs="Arial"/>
                <w:sz w:val="20"/>
                <w:szCs w:val="20"/>
              </w:rPr>
            </w:pPr>
            <w:r w:rsidRPr="006333CA">
              <w:rPr>
                <w:rFonts w:ascii="Arial" w:eastAsia="Arial" w:hAnsi="Arial" w:cs="Arial"/>
                <w:sz w:val="20"/>
                <w:szCs w:val="20"/>
              </w:rPr>
              <w:t xml:space="preserve">The preferred option is to reallocate approximately £19,000 annually to Planned Care, supported by any savings from the Pennine review, to create a consistent and equitable service across the system. </w:t>
            </w:r>
          </w:p>
          <w:p w14:paraId="7E23992E" w14:textId="77777777" w:rsidR="00AB5C08" w:rsidRPr="006333CA" w:rsidRDefault="00AB5C08" w:rsidP="00AB5C08">
            <w:pPr>
              <w:rPr>
                <w:rFonts w:ascii="Arial" w:eastAsia="Arial" w:hAnsi="Arial" w:cs="Arial"/>
                <w:sz w:val="20"/>
                <w:szCs w:val="20"/>
              </w:rPr>
            </w:pPr>
          </w:p>
          <w:p w14:paraId="5BD3F2A7" w14:textId="77777777" w:rsidR="00AB5C08" w:rsidRPr="006333CA" w:rsidRDefault="00AB5C08" w:rsidP="00AB5C08">
            <w:pPr>
              <w:rPr>
                <w:rFonts w:ascii="Arial" w:eastAsia="Arial" w:hAnsi="Arial" w:cs="Arial"/>
                <w:sz w:val="20"/>
                <w:szCs w:val="20"/>
              </w:rPr>
            </w:pPr>
            <w:r w:rsidRPr="006333CA">
              <w:rPr>
                <w:rFonts w:ascii="Arial" w:eastAsia="Arial" w:hAnsi="Arial" w:cs="Arial"/>
                <w:sz w:val="20"/>
                <w:szCs w:val="20"/>
              </w:rPr>
              <w:t>A six</w:t>
            </w:r>
            <w:r w:rsidRPr="006333CA">
              <w:rPr>
                <w:rFonts w:ascii="Arial" w:eastAsia="Arial" w:hAnsi="Arial" w:cs="Arial"/>
                <w:sz w:val="20"/>
                <w:szCs w:val="20"/>
              </w:rPr>
              <w:noBreakHyphen/>
              <w:t xml:space="preserve">month extension of the Fylde and Wyre LES will be required to maintain continuity during mobilisation. </w:t>
            </w:r>
          </w:p>
          <w:p w14:paraId="3B29ACE3" w14:textId="77777777" w:rsidR="00AB5C08" w:rsidRPr="006333CA" w:rsidRDefault="00AB5C08" w:rsidP="00AB5C08">
            <w:pPr>
              <w:rPr>
                <w:rFonts w:ascii="Arial" w:eastAsia="Arial" w:hAnsi="Arial" w:cs="Arial"/>
                <w:sz w:val="20"/>
                <w:szCs w:val="20"/>
              </w:rPr>
            </w:pPr>
          </w:p>
          <w:p w14:paraId="4432AEF6" w14:textId="3555F407" w:rsidR="005477D0" w:rsidRPr="006333CA" w:rsidRDefault="00AB5C08" w:rsidP="7DD04102">
            <w:pPr>
              <w:rPr>
                <w:rFonts w:ascii="Arial" w:eastAsia="Arial" w:hAnsi="Arial" w:cs="Arial"/>
                <w:sz w:val="20"/>
                <w:szCs w:val="20"/>
              </w:rPr>
            </w:pPr>
            <w:r w:rsidRPr="006333CA">
              <w:rPr>
                <w:rFonts w:ascii="Arial" w:eastAsia="Arial" w:hAnsi="Arial" w:cs="Arial"/>
                <w:sz w:val="20"/>
                <w:szCs w:val="20"/>
              </w:rPr>
              <w:t>The group endorsed this approach as it ensures consistency, patient continuity, and alignment with the emerging clinical policy.</w:t>
            </w:r>
          </w:p>
        </w:tc>
        <w:tc>
          <w:tcPr>
            <w:tcW w:w="2501" w:type="dxa"/>
            <w:tcMar>
              <w:left w:w="105" w:type="dxa"/>
              <w:right w:w="105" w:type="dxa"/>
            </w:tcMar>
          </w:tcPr>
          <w:p w14:paraId="46223209" w14:textId="416E2A04" w:rsidR="360C4CB1" w:rsidRPr="006333CA" w:rsidRDefault="009B284A" w:rsidP="7DD04102">
            <w:pPr>
              <w:widowControl w:val="0"/>
              <w:rPr>
                <w:rFonts w:ascii="Arial" w:eastAsia="Calibri" w:hAnsi="Arial" w:cs="Arial"/>
                <w:sz w:val="20"/>
                <w:szCs w:val="20"/>
                <w:highlight w:val="yellow"/>
              </w:rPr>
            </w:pPr>
            <w:r w:rsidRPr="006333CA">
              <w:rPr>
                <w:rFonts w:ascii="Arial" w:eastAsia="Calibri" w:hAnsi="Arial" w:cs="Arial"/>
                <w:sz w:val="20"/>
                <w:szCs w:val="20"/>
              </w:rPr>
              <w:lastRenderedPageBreak/>
              <w:t>The review of the earwax removal policy will need to cover both primary and secondary care pathways</w:t>
            </w:r>
            <w:r w:rsidR="00AA36A1" w:rsidRPr="006333CA">
              <w:rPr>
                <w:rFonts w:ascii="Arial" w:eastAsia="Calibri" w:hAnsi="Arial" w:cs="Arial"/>
                <w:sz w:val="20"/>
                <w:szCs w:val="20"/>
              </w:rPr>
              <w:t>,</w:t>
            </w:r>
            <w:r w:rsidRPr="006333CA">
              <w:rPr>
                <w:rFonts w:ascii="Arial" w:eastAsia="Calibri" w:hAnsi="Arial" w:cs="Arial"/>
                <w:sz w:val="20"/>
                <w:szCs w:val="20"/>
              </w:rPr>
              <w:t xml:space="preserve"> and this requirement will be incorporated into the final recommendation.</w:t>
            </w:r>
          </w:p>
        </w:tc>
      </w:tr>
      <w:tr w:rsidR="00634E44" w:rsidRPr="005C5112" w14:paraId="1510E007" w14:textId="77777777" w:rsidTr="7DD04102">
        <w:trPr>
          <w:trHeight w:val="300"/>
        </w:trPr>
        <w:tc>
          <w:tcPr>
            <w:tcW w:w="2844" w:type="dxa"/>
            <w:tcMar>
              <w:left w:w="105" w:type="dxa"/>
              <w:right w:w="105" w:type="dxa"/>
            </w:tcMar>
          </w:tcPr>
          <w:p w14:paraId="59D31E65" w14:textId="034C0248" w:rsidR="360C4CB1" w:rsidRPr="006333CA" w:rsidRDefault="00D54389" w:rsidP="360C4CB1">
            <w:pPr>
              <w:spacing w:line="233" w:lineRule="auto"/>
              <w:rPr>
                <w:rFonts w:ascii="Arial" w:eastAsia="Arial" w:hAnsi="Arial" w:cs="Arial"/>
                <w:sz w:val="20"/>
                <w:szCs w:val="20"/>
              </w:rPr>
            </w:pPr>
            <w:r w:rsidRPr="006333CA">
              <w:rPr>
                <w:rFonts w:ascii="Arial" w:eastAsia="Arial" w:hAnsi="Arial" w:cs="Arial"/>
                <w:sz w:val="20"/>
                <w:szCs w:val="20"/>
              </w:rPr>
              <w:t>South King Street – Breach for Early Closure</w:t>
            </w:r>
          </w:p>
        </w:tc>
        <w:tc>
          <w:tcPr>
            <w:tcW w:w="4252" w:type="dxa"/>
            <w:tcMar>
              <w:left w:w="105" w:type="dxa"/>
              <w:right w:w="105" w:type="dxa"/>
            </w:tcMar>
          </w:tcPr>
          <w:p w14:paraId="7B37652A" w14:textId="73E07641" w:rsidR="00630272" w:rsidRPr="006333CA" w:rsidRDefault="00630272" w:rsidP="00630272">
            <w:pPr>
              <w:widowControl w:val="0"/>
              <w:rPr>
                <w:rFonts w:ascii="Arial" w:eastAsia="Arial" w:hAnsi="Arial" w:cs="Arial"/>
                <w:sz w:val="20"/>
                <w:szCs w:val="20"/>
              </w:rPr>
            </w:pPr>
            <w:r w:rsidRPr="006333CA">
              <w:rPr>
                <w:rFonts w:ascii="Arial" w:eastAsia="Arial" w:hAnsi="Arial" w:cs="Arial"/>
                <w:sz w:val="20"/>
                <w:szCs w:val="20"/>
              </w:rPr>
              <w:t>South King Street Medical Centre closed its premises at 6:</w:t>
            </w:r>
            <w:r w:rsidR="006B2D04">
              <w:rPr>
                <w:rFonts w:ascii="Arial" w:eastAsia="Arial" w:hAnsi="Arial" w:cs="Arial"/>
                <w:sz w:val="20"/>
                <w:szCs w:val="20"/>
              </w:rPr>
              <w:t>0</w:t>
            </w:r>
            <w:r w:rsidRPr="006333CA">
              <w:rPr>
                <w:rFonts w:ascii="Arial" w:eastAsia="Arial" w:hAnsi="Arial" w:cs="Arial"/>
                <w:sz w:val="20"/>
                <w:szCs w:val="20"/>
              </w:rPr>
              <w:t>0 pm on 24 December due to staff sickness, leaving no clinician on site and resulting in no in</w:t>
            </w:r>
            <w:r w:rsidRPr="006333CA">
              <w:rPr>
                <w:rFonts w:ascii="Arial" w:eastAsia="Arial" w:hAnsi="Arial" w:cs="Arial"/>
                <w:sz w:val="20"/>
                <w:szCs w:val="20"/>
              </w:rPr>
              <w:noBreakHyphen/>
              <w:t xml:space="preserve">person provision during core contractual hours, despite remote access being maintained. </w:t>
            </w:r>
          </w:p>
          <w:p w14:paraId="4C60977A" w14:textId="77777777" w:rsidR="00630272" w:rsidRPr="006333CA" w:rsidRDefault="00630272" w:rsidP="00630272">
            <w:pPr>
              <w:widowControl w:val="0"/>
              <w:rPr>
                <w:rFonts w:ascii="Arial" w:eastAsia="Arial" w:hAnsi="Arial" w:cs="Arial"/>
                <w:sz w:val="20"/>
                <w:szCs w:val="20"/>
              </w:rPr>
            </w:pPr>
          </w:p>
          <w:p w14:paraId="3DC2A637" w14:textId="77777777" w:rsidR="007C33F4" w:rsidRPr="006333CA" w:rsidRDefault="00630272" w:rsidP="00630272">
            <w:pPr>
              <w:widowControl w:val="0"/>
              <w:rPr>
                <w:rFonts w:ascii="Arial" w:eastAsia="Arial" w:hAnsi="Arial" w:cs="Arial"/>
                <w:sz w:val="20"/>
                <w:szCs w:val="20"/>
              </w:rPr>
            </w:pPr>
            <w:r w:rsidRPr="006333CA">
              <w:rPr>
                <w:rFonts w:ascii="Arial" w:eastAsia="Arial" w:hAnsi="Arial" w:cs="Arial"/>
                <w:sz w:val="20"/>
                <w:szCs w:val="20"/>
              </w:rPr>
              <w:t>This was confirmed as a breach of the GMS contract, and the Primary Care team determined it could not be considered remedied as the non</w:t>
            </w:r>
            <w:r w:rsidRPr="006333CA">
              <w:rPr>
                <w:rFonts w:ascii="Arial" w:eastAsia="Arial" w:hAnsi="Arial" w:cs="Arial"/>
                <w:sz w:val="20"/>
                <w:szCs w:val="20"/>
              </w:rPr>
              <w:noBreakHyphen/>
              <w:t xml:space="preserve">compliance had already occurred. </w:t>
            </w:r>
          </w:p>
          <w:p w14:paraId="1D7733EC" w14:textId="77777777" w:rsidR="007C33F4" w:rsidRPr="006333CA" w:rsidRDefault="007C33F4" w:rsidP="00630272">
            <w:pPr>
              <w:widowControl w:val="0"/>
              <w:rPr>
                <w:rFonts w:ascii="Arial" w:eastAsia="Arial" w:hAnsi="Arial" w:cs="Arial"/>
                <w:sz w:val="20"/>
                <w:szCs w:val="20"/>
              </w:rPr>
            </w:pPr>
          </w:p>
          <w:p w14:paraId="5276B170" w14:textId="77777777" w:rsidR="007C33F4" w:rsidRPr="006333CA" w:rsidRDefault="00630272" w:rsidP="00630272">
            <w:pPr>
              <w:widowControl w:val="0"/>
              <w:rPr>
                <w:rFonts w:ascii="Arial" w:eastAsia="Arial" w:hAnsi="Arial" w:cs="Arial"/>
                <w:sz w:val="20"/>
                <w:szCs w:val="20"/>
              </w:rPr>
            </w:pPr>
            <w:r w:rsidRPr="006333CA">
              <w:rPr>
                <w:rFonts w:ascii="Arial" w:eastAsia="Arial" w:hAnsi="Arial" w:cs="Arial"/>
                <w:sz w:val="20"/>
                <w:szCs w:val="20"/>
              </w:rPr>
              <w:t xml:space="preserve">While some LMC representatives felt a breach notice was disproportionate given the short duration and prior notification to the ICB, it was noted that the contract provides no warning notice mechanism and that consistent application of contractual requirements is essential. </w:t>
            </w:r>
          </w:p>
          <w:p w14:paraId="4B335B24" w14:textId="77777777" w:rsidR="007C33F4" w:rsidRPr="006333CA" w:rsidRDefault="007C33F4" w:rsidP="00630272">
            <w:pPr>
              <w:widowControl w:val="0"/>
              <w:rPr>
                <w:rFonts w:ascii="Arial" w:eastAsia="Arial" w:hAnsi="Arial" w:cs="Arial"/>
                <w:sz w:val="20"/>
                <w:szCs w:val="20"/>
              </w:rPr>
            </w:pPr>
          </w:p>
          <w:p w14:paraId="1047F4FE" w14:textId="6AAC6DB0" w:rsidR="360C4CB1" w:rsidRPr="006333CA" w:rsidRDefault="00630272" w:rsidP="7DD04102">
            <w:pPr>
              <w:widowControl w:val="0"/>
              <w:rPr>
                <w:rFonts w:ascii="Arial" w:eastAsia="Arial" w:hAnsi="Arial" w:cs="Arial"/>
                <w:sz w:val="20"/>
                <w:szCs w:val="20"/>
              </w:rPr>
            </w:pPr>
            <w:r w:rsidRPr="006333CA">
              <w:rPr>
                <w:rFonts w:ascii="Arial" w:eastAsia="Arial" w:hAnsi="Arial" w:cs="Arial"/>
                <w:sz w:val="20"/>
                <w:szCs w:val="20"/>
              </w:rPr>
              <w:t>The group therefore agreed to issue a breach notice and to engage with the practice to explain the rationale, reinforce the need for contractual consistency, and acknowledge the challenging circumstances.</w:t>
            </w:r>
          </w:p>
        </w:tc>
        <w:tc>
          <w:tcPr>
            <w:tcW w:w="2501" w:type="dxa"/>
            <w:tcMar>
              <w:left w:w="105" w:type="dxa"/>
              <w:right w:w="105" w:type="dxa"/>
            </w:tcMar>
          </w:tcPr>
          <w:p w14:paraId="6BA159ED" w14:textId="77777777" w:rsidR="360C4CB1" w:rsidRPr="006333CA" w:rsidRDefault="00760C37" w:rsidP="003C4561">
            <w:pPr>
              <w:rPr>
                <w:rFonts w:ascii="Arial" w:eastAsia="Arial" w:hAnsi="Arial" w:cs="Arial"/>
                <w:sz w:val="20"/>
                <w:szCs w:val="20"/>
              </w:rPr>
            </w:pPr>
            <w:r w:rsidRPr="006333CA">
              <w:rPr>
                <w:rFonts w:ascii="Arial" w:eastAsia="Arial" w:hAnsi="Arial" w:cs="Arial"/>
                <w:sz w:val="20"/>
                <w:szCs w:val="20"/>
              </w:rPr>
              <w:t xml:space="preserve">The </w:t>
            </w:r>
            <w:r w:rsidR="005B4E46" w:rsidRPr="006333CA">
              <w:rPr>
                <w:rFonts w:ascii="Arial" w:eastAsia="Arial" w:hAnsi="Arial" w:cs="Arial"/>
                <w:sz w:val="20"/>
                <w:szCs w:val="20"/>
              </w:rPr>
              <w:t>Blackpool, North Lancashire and South Cumbria Place Team will i</w:t>
            </w:r>
            <w:r w:rsidR="00B439A7" w:rsidRPr="006333CA">
              <w:rPr>
                <w:rFonts w:ascii="Arial" w:eastAsia="Arial" w:hAnsi="Arial" w:cs="Arial"/>
                <w:sz w:val="20"/>
                <w:szCs w:val="20"/>
              </w:rPr>
              <w:t>ssue a breach notice</w:t>
            </w:r>
            <w:r w:rsidR="005B4E46" w:rsidRPr="006333CA">
              <w:rPr>
                <w:rFonts w:ascii="Arial" w:eastAsia="Arial" w:hAnsi="Arial" w:cs="Arial"/>
                <w:sz w:val="20"/>
                <w:szCs w:val="20"/>
              </w:rPr>
              <w:t xml:space="preserve"> and hold a follow</w:t>
            </w:r>
            <w:r w:rsidR="005B4E46" w:rsidRPr="006333CA">
              <w:rPr>
                <w:rFonts w:ascii="Cambria Math" w:eastAsia="Arial" w:hAnsi="Cambria Math" w:cs="Cambria Math"/>
                <w:sz w:val="20"/>
                <w:szCs w:val="20"/>
              </w:rPr>
              <w:t>‑</w:t>
            </w:r>
            <w:r w:rsidR="005B4E46" w:rsidRPr="006333CA">
              <w:rPr>
                <w:rFonts w:ascii="Arial" w:eastAsia="Arial" w:hAnsi="Arial" w:cs="Arial"/>
                <w:sz w:val="20"/>
                <w:szCs w:val="20"/>
              </w:rPr>
              <w:t>up conversation with the practice</w:t>
            </w:r>
            <w:r w:rsidR="00A147E7" w:rsidRPr="006333CA">
              <w:rPr>
                <w:rFonts w:ascii="Arial" w:eastAsia="Arial" w:hAnsi="Arial" w:cs="Arial"/>
                <w:sz w:val="20"/>
                <w:szCs w:val="20"/>
              </w:rPr>
              <w:t>.</w:t>
            </w:r>
          </w:p>
          <w:p w14:paraId="3649D595" w14:textId="77777777" w:rsidR="00A147E7" w:rsidRPr="006333CA" w:rsidRDefault="00A147E7" w:rsidP="003C4561">
            <w:pPr>
              <w:rPr>
                <w:rFonts w:ascii="Arial" w:eastAsia="Arial" w:hAnsi="Arial" w:cs="Arial"/>
                <w:sz w:val="20"/>
                <w:szCs w:val="20"/>
              </w:rPr>
            </w:pPr>
          </w:p>
          <w:p w14:paraId="6D25D8CF" w14:textId="2B549FEB" w:rsidR="00A147E7" w:rsidRPr="006333CA" w:rsidRDefault="00A147E7" w:rsidP="003C4561">
            <w:pPr>
              <w:rPr>
                <w:rFonts w:ascii="Arial" w:eastAsia="Arial" w:hAnsi="Arial" w:cs="Arial"/>
                <w:sz w:val="20"/>
                <w:szCs w:val="20"/>
              </w:rPr>
            </w:pPr>
            <w:r w:rsidRPr="006333CA">
              <w:rPr>
                <w:rFonts w:ascii="Arial" w:eastAsia="Arial" w:hAnsi="Arial" w:cs="Arial"/>
                <w:sz w:val="20"/>
                <w:szCs w:val="20"/>
              </w:rPr>
              <w:t>NHS England will be informed about the Breach.</w:t>
            </w:r>
          </w:p>
        </w:tc>
      </w:tr>
      <w:tr w:rsidR="00634E44" w:rsidRPr="005C5112" w14:paraId="2EEC4684" w14:textId="77777777" w:rsidTr="7DD04102">
        <w:trPr>
          <w:trHeight w:val="300"/>
        </w:trPr>
        <w:tc>
          <w:tcPr>
            <w:tcW w:w="2844" w:type="dxa"/>
            <w:tcMar>
              <w:left w:w="105" w:type="dxa"/>
              <w:right w:w="105" w:type="dxa"/>
            </w:tcMar>
          </w:tcPr>
          <w:p w14:paraId="2844E974" w14:textId="17F124EE" w:rsidR="360C4CB1" w:rsidRPr="006333CA" w:rsidRDefault="00D54389" w:rsidP="360C4CB1">
            <w:pPr>
              <w:spacing w:line="233" w:lineRule="auto"/>
              <w:rPr>
                <w:rFonts w:ascii="Arial" w:eastAsia="Arial" w:hAnsi="Arial" w:cs="Arial"/>
                <w:sz w:val="20"/>
                <w:szCs w:val="20"/>
              </w:rPr>
            </w:pPr>
            <w:r w:rsidRPr="006333CA">
              <w:rPr>
                <w:rFonts w:ascii="Arial" w:eastAsia="Arial" w:hAnsi="Arial" w:cs="Arial"/>
                <w:sz w:val="20"/>
                <w:szCs w:val="20"/>
              </w:rPr>
              <w:t>Highfield Surgery – Minor Surgery Des Claims </w:t>
            </w:r>
          </w:p>
        </w:tc>
        <w:tc>
          <w:tcPr>
            <w:tcW w:w="4252" w:type="dxa"/>
            <w:tcMar>
              <w:left w:w="105" w:type="dxa"/>
              <w:right w:w="105" w:type="dxa"/>
            </w:tcMar>
          </w:tcPr>
          <w:p w14:paraId="68B9EEE0" w14:textId="77777777" w:rsidR="003F433D" w:rsidRPr="006333CA" w:rsidRDefault="003F433D" w:rsidP="003F433D">
            <w:pPr>
              <w:pStyle w:val="Default"/>
              <w:rPr>
                <w:rFonts w:ascii="Arial" w:eastAsia="Calibri" w:hAnsi="Arial" w:cs="Arial"/>
                <w:sz w:val="20"/>
                <w:szCs w:val="20"/>
              </w:rPr>
            </w:pPr>
            <w:r w:rsidRPr="006333CA">
              <w:rPr>
                <w:rFonts w:ascii="Arial" w:eastAsia="Calibri" w:hAnsi="Arial" w:cs="Arial"/>
                <w:sz w:val="20"/>
                <w:szCs w:val="20"/>
              </w:rPr>
              <w:t xml:space="preserve">Highfield Surgery submitted backdated minor surgery claims totalling just under £14,000 for activity undertaken between 2019/20 and 2023/24, following the discovery of historic miscoding by a new GP. </w:t>
            </w:r>
          </w:p>
          <w:p w14:paraId="7387FE7B" w14:textId="77777777" w:rsidR="003F433D" w:rsidRPr="006333CA" w:rsidRDefault="003F433D" w:rsidP="003F433D">
            <w:pPr>
              <w:pStyle w:val="Default"/>
              <w:rPr>
                <w:rFonts w:ascii="Arial" w:eastAsia="Calibri" w:hAnsi="Arial" w:cs="Arial"/>
                <w:sz w:val="20"/>
                <w:szCs w:val="20"/>
              </w:rPr>
            </w:pPr>
          </w:p>
          <w:p w14:paraId="29F86413" w14:textId="77777777" w:rsidR="003F433D" w:rsidRPr="006333CA" w:rsidRDefault="003F433D" w:rsidP="003F433D">
            <w:pPr>
              <w:pStyle w:val="Default"/>
              <w:rPr>
                <w:rFonts w:ascii="Arial" w:eastAsia="Calibri" w:hAnsi="Arial" w:cs="Arial"/>
                <w:sz w:val="20"/>
                <w:szCs w:val="20"/>
              </w:rPr>
            </w:pPr>
            <w:r w:rsidRPr="006333CA">
              <w:rPr>
                <w:rFonts w:ascii="Arial" w:eastAsia="Calibri" w:hAnsi="Arial" w:cs="Arial"/>
                <w:sz w:val="20"/>
                <w:szCs w:val="20"/>
              </w:rPr>
              <w:t>Validation checks confirmed there was no duplication and that recent increases in correctly coded claims reflect improved coding accuracy.</w:t>
            </w:r>
          </w:p>
          <w:p w14:paraId="34464E2A" w14:textId="77777777" w:rsidR="003F433D" w:rsidRPr="006333CA" w:rsidRDefault="003F433D" w:rsidP="003F433D">
            <w:pPr>
              <w:pStyle w:val="Default"/>
              <w:rPr>
                <w:rFonts w:ascii="Arial" w:eastAsia="Calibri" w:hAnsi="Arial" w:cs="Arial"/>
                <w:sz w:val="20"/>
                <w:szCs w:val="20"/>
              </w:rPr>
            </w:pPr>
          </w:p>
          <w:p w14:paraId="6C43CBA6" w14:textId="77777777" w:rsidR="003F433D" w:rsidRPr="006333CA" w:rsidRDefault="003F433D" w:rsidP="003F433D">
            <w:pPr>
              <w:pStyle w:val="Default"/>
              <w:rPr>
                <w:rFonts w:ascii="Arial" w:eastAsia="Calibri" w:hAnsi="Arial" w:cs="Arial"/>
                <w:sz w:val="20"/>
                <w:szCs w:val="20"/>
              </w:rPr>
            </w:pPr>
            <w:r w:rsidRPr="006333CA">
              <w:rPr>
                <w:rFonts w:ascii="Arial" w:eastAsia="Calibri" w:hAnsi="Arial" w:cs="Arial"/>
                <w:sz w:val="20"/>
                <w:szCs w:val="20"/>
              </w:rPr>
              <w:t xml:space="preserve">Under the SFE, practices may claim up to six years after a procedure, and there is no local specification or contractual basis for the ICB to reject these submissions; a review of DES and CQRS guidance also identified no grounds for refusal. </w:t>
            </w:r>
          </w:p>
          <w:p w14:paraId="5321A086" w14:textId="77777777" w:rsidR="003F433D" w:rsidRPr="006333CA" w:rsidRDefault="003F433D" w:rsidP="003F433D">
            <w:pPr>
              <w:pStyle w:val="Default"/>
              <w:rPr>
                <w:rFonts w:ascii="Arial" w:eastAsia="Calibri" w:hAnsi="Arial" w:cs="Arial"/>
                <w:sz w:val="20"/>
                <w:szCs w:val="20"/>
              </w:rPr>
            </w:pPr>
          </w:p>
          <w:p w14:paraId="26B3970C" w14:textId="6323A386" w:rsidR="360C4CB1" w:rsidRPr="006333CA" w:rsidRDefault="009B284A" w:rsidP="001606F0">
            <w:pPr>
              <w:pStyle w:val="Default"/>
              <w:rPr>
                <w:rFonts w:ascii="Arial" w:eastAsia="Calibri" w:hAnsi="Arial" w:cs="Arial"/>
                <w:sz w:val="20"/>
                <w:szCs w:val="20"/>
              </w:rPr>
            </w:pPr>
            <w:r w:rsidRPr="006333CA">
              <w:rPr>
                <w:rFonts w:ascii="Arial" w:eastAsia="Calibri" w:hAnsi="Arial" w:cs="Arial"/>
                <w:sz w:val="20"/>
                <w:szCs w:val="20"/>
              </w:rPr>
              <w:t xml:space="preserve">The group therefore agreed that the claims should be approved and paid. </w:t>
            </w:r>
          </w:p>
        </w:tc>
        <w:tc>
          <w:tcPr>
            <w:tcW w:w="2501" w:type="dxa"/>
            <w:tcMar>
              <w:left w:w="105" w:type="dxa"/>
              <w:right w:w="105" w:type="dxa"/>
            </w:tcMar>
          </w:tcPr>
          <w:p w14:paraId="3E0401C7" w14:textId="72EE1776" w:rsidR="360C4CB1" w:rsidRPr="006333CA" w:rsidRDefault="00D74C10" w:rsidP="008767EA">
            <w:pPr>
              <w:rPr>
                <w:rFonts w:ascii="Arial" w:eastAsia="Arial" w:hAnsi="Arial" w:cs="Arial"/>
                <w:sz w:val="20"/>
                <w:szCs w:val="20"/>
              </w:rPr>
            </w:pPr>
            <w:r w:rsidRPr="006333CA">
              <w:rPr>
                <w:rFonts w:ascii="Arial" w:eastAsia="Arial" w:hAnsi="Arial" w:cs="Arial"/>
                <w:sz w:val="20"/>
                <w:szCs w:val="20"/>
              </w:rPr>
              <w:t>An update of the minor surgery specification will take place. Including clearer coding requirements, defined claim timeframes, and alignment with both LES and national DES expectations, with the aim of implementing improvements from 1 April onwards</w:t>
            </w:r>
          </w:p>
        </w:tc>
      </w:tr>
      <w:tr w:rsidR="007D5A16" w:rsidRPr="005C5112" w14:paraId="00A06E50" w14:textId="77777777" w:rsidTr="7DD04102">
        <w:trPr>
          <w:trHeight w:val="300"/>
        </w:trPr>
        <w:tc>
          <w:tcPr>
            <w:tcW w:w="2844" w:type="dxa"/>
            <w:tcMar>
              <w:left w:w="105" w:type="dxa"/>
              <w:right w:w="105" w:type="dxa"/>
            </w:tcMar>
          </w:tcPr>
          <w:p w14:paraId="408B0913" w14:textId="53DA5A32" w:rsidR="007D5A16" w:rsidRPr="006333CA" w:rsidRDefault="00D54389" w:rsidP="00D54389">
            <w:pPr>
              <w:spacing w:line="233" w:lineRule="auto"/>
              <w:rPr>
                <w:rFonts w:ascii="Arial" w:hAnsi="Arial" w:cs="Arial"/>
                <w:sz w:val="20"/>
                <w:szCs w:val="20"/>
              </w:rPr>
            </w:pPr>
            <w:r w:rsidRPr="006333CA">
              <w:rPr>
                <w:rFonts w:ascii="Arial" w:hAnsi="Arial" w:cs="Arial"/>
                <w:sz w:val="20"/>
                <w:szCs w:val="20"/>
              </w:rPr>
              <w:lastRenderedPageBreak/>
              <w:t>Primrose Bank Application to Adjust Opening Hours</w:t>
            </w:r>
          </w:p>
        </w:tc>
        <w:tc>
          <w:tcPr>
            <w:tcW w:w="4252" w:type="dxa"/>
            <w:tcMar>
              <w:left w:w="105" w:type="dxa"/>
              <w:right w:w="105" w:type="dxa"/>
            </w:tcMar>
          </w:tcPr>
          <w:p w14:paraId="1DBD8B79" w14:textId="77777777" w:rsidR="008E416C" w:rsidRPr="006333CA" w:rsidRDefault="008E416C" w:rsidP="008E416C">
            <w:pPr>
              <w:rPr>
                <w:rFonts w:ascii="Arial" w:hAnsi="Arial" w:cs="Arial"/>
                <w:sz w:val="20"/>
                <w:szCs w:val="20"/>
              </w:rPr>
            </w:pPr>
            <w:r w:rsidRPr="006333CA">
              <w:rPr>
                <w:rFonts w:ascii="Arial" w:hAnsi="Arial" w:cs="Arial"/>
                <w:sz w:val="20"/>
                <w:szCs w:val="20"/>
              </w:rPr>
              <w:t xml:space="preserve">Primrose Bank Medical Centre has requested to close its Ewood Medical Centre branch on Fridays, redirecting all patients to the main site with clear communication and ongoing monitoring. </w:t>
            </w:r>
          </w:p>
          <w:p w14:paraId="0B9C7195" w14:textId="77777777" w:rsidR="008E416C" w:rsidRPr="006333CA" w:rsidRDefault="008E416C" w:rsidP="008E416C">
            <w:pPr>
              <w:rPr>
                <w:rFonts w:ascii="Arial" w:hAnsi="Arial" w:cs="Arial"/>
                <w:sz w:val="20"/>
                <w:szCs w:val="20"/>
              </w:rPr>
            </w:pPr>
          </w:p>
          <w:p w14:paraId="76F55C89" w14:textId="77777777" w:rsidR="007D5A16" w:rsidRPr="006333CA" w:rsidRDefault="008E416C" w:rsidP="008E416C">
            <w:pPr>
              <w:rPr>
                <w:rFonts w:ascii="Arial" w:hAnsi="Arial" w:cs="Arial"/>
                <w:sz w:val="20"/>
                <w:szCs w:val="20"/>
              </w:rPr>
            </w:pPr>
            <w:r w:rsidRPr="006333CA">
              <w:rPr>
                <w:rFonts w:ascii="Arial" w:hAnsi="Arial" w:cs="Arial"/>
                <w:sz w:val="20"/>
                <w:szCs w:val="20"/>
              </w:rPr>
              <w:t>The practice cites financial sustainability concerns due to a significant reduction in the branch’s patient usage. However, the group raised concerns about the impact on patients in a deprived area particularly those with mobility or transport challenges alongside questions about the reliability of list</w:t>
            </w:r>
            <w:r w:rsidRPr="006333CA">
              <w:rPr>
                <w:rFonts w:ascii="Cambria Math" w:hAnsi="Cambria Math" w:cs="Cambria Math"/>
                <w:sz w:val="20"/>
                <w:szCs w:val="20"/>
              </w:rPr>
              <w:t>‑</w:t>
            </w:r>
            <w:r w:rsidRPr="006333CA">
              <w:rPr>
                <w:rFonts w:ascii="Arial" w:hAnsi="Arial" w:cs="Arial"/>
                <w:sz w:val="20"/>
                <w:szCs w:val="20"/>
              </w:rPr>
              <w:t>size data, insufficient clarity on the financial case, and potential operational risks such as managing documents and maintaining continuity.</w:t>
            </w:r>
          </w:p>
          <w:p w14:paraId="204EC561" w14:textId="77777777" w:rsidR="008E416C" w:rsidRPr="006333CA" w:rsidRDefault="008E416C" w:rsidP="008E416C">
            <w:pPr>
              <w:rPr>
                <w:rFonts w:ascii="Arial" w:hAnsi="Arial" w:cs="Arial"/>
                <w:sz w:val="20"/>
                <w:szCs w:val="20"/>
              </w:rPr>
            </w:pPr>
          </w:p>
          <w:p w14:paraId="30E7FDBD" w14:textId="0D5384CF" w:rsidR="008E416C" w:rsidRPr="006333CA" w:rsidRDefault="00A041DC" w:rsidP="008E416C">
            <w:pPr>
              <w:rPr>
                <w:rFonts w:ascii="Arial" w:eastAsia="Calibri" w:hAnsi="Arial" w:cs="Arial"/>
                <w:sz w:val="20"/>
                <w:szCs w:val="20"/>
              </w:rPr>
            </w:pPr>
            <w:r w:rsidRPr="006333CA">
              <w:rPr>
                <w:rFonts w:ascii="Arial" w:hAnsi="Arial" w:cs="Arial"/>
                <w:sz w:val="20"/>
                <w:szCs w:val="20"/>
              </w:rPr>
              <w:t>The group agreed to not approve the request to adjust opening hours and requested further analysis of the request and report back to the group.</w:t>
            </w:r>
          </w:p>
        </w:tc>
        <w:tc>
          <w:tcPr>
            <w:tcW w:w="2501" w:type="dxa"/>
            <w:tcMar>
              <w:left w:w="105" w:type="dxa"/>
              <w:right w:w="105" w:type="dxa"/>
            </w:tcMar>
          </w:tcPr>
          <w:p w14:paraId="4EFDFB59" w14:textId="1901567A" w:rsidR="007D5A16" w:rsidRPr="006333CA" w:rsidRDefault="00FC4CE2" w:rsidP="008767EA">
            <w:pPr>
              <w:rPr>
                <w:rFonts w:ascii="Arial" w:eastAsia="Arial" w:hAnsi="Arial" w:cs="Arial"/>
                <w:sz w:val="20"/>
                <w:szCs w:val="20"/>
              </w:rPr>
            </w:pPr>
            <w:r w:rsidRPr="006333CA">
              <w:rPr>
                <w:rFonts w:ascii="Arial" w:eastAsia="Arial" w:hAnsi="Arial" w:cs="Arial"/>
                <w:sz w:val="20"/>
                <w:szCs w:val="20"/>
              </w:rPr>
              <w:t>Further work is required to understand the financial drivers, operational implications, data validity, and options for maintaining accessibility. The Pennine Place Team will carry out additional analysis and report back.</w:t>
            </w:r>
          </w:p>
        </w:tc>
      </w:tr>
      <w:tr w:rsidR="00D54389" w:rsidRPr="005C5112" w14:paraId="0EF31ED8" w14:textId="77777777" w:rsidTr="7DD04102">
        <w:trPr>
          <w:trHeight w:val="300"/>
        </w:trPr>
        <w:tc>
          <w:tcPr>
            <w:tcW w:w="2844" w:type="dxa"/>
            <w:tcMar>
              <w:left w:w="105" w:type="dxa"/>
              <w:right w:w="105" w:type="dxa"/>
            </w:tcMar>
          </w:tcPr>
          <w:p w14:paraId="51E28B0A" w14:textId="2681F874" w:rsidR="00D54389" w:rsidRPr="006333CA" w:rsidRDefault="00D54389" w:rsidP="00D54389">
            <w:pPr>
              <w:spacing w:line="233" w:lineRule="auto"/>
              <w:rPr>
                <w:rFonts w:ascii="Arial" w:hAnsi="Arial" w:cs="Arial"/>
                <w:sz w:val="20"/>
                <w:szCs w:val="20"/>
              </w:rPr>
            </w:pPr>
            <w:r w:rsidRPr="006333CA">
              <w:rPr>
                <w:rFonts w:ascii="Arial" w:hAnsi="Arial" w:cs="Arial"/>
                <w:sz w:val="20"/>
                <w:szCs w:val="20"/>
              </w:rPr>
              <w:t>SMS Funding in Primary Care (General Practices) 2025-26 </w:t>
            </w:r>
          </w:p>
        </w:tc>
        <w:tc>
          <w:tcPr>
            <w:tcW w:w="4252" w:type="dxa"/>
            <w:tcMar>
              <w:left w:w="105" w:type="dxa"/>
              <w:right w:w="105" w:type="dxa"/>
            </w:tcMar>
          </w:tcPr>
          <w:p w14:paraId="69BFDD66" w14:textId="77777777" w:rsidR="008651CB" w:rsidRPr="006333CA" w:rsidRDefault="008651CB" w:rsidP="7DD04102">
            <w:pPr>
              <w:rPr>
                <w:rFonts w:ascii="Arial" w:eastAsia="Calibri" w:hAnsi="Arial" w:cs="Arial"/>
                <w:sz w:val="20"/>
                <w:szCs w:val="20"/>
              </w:rPr>
            </w:pPr>
            <w:r w:rsidRPr="006333CA">
              <w:rPr>
                <w:rFonts w:ascii="Arial" w:eastAsia="Calibri" w:hAnsi="Arial" w:cs="Arial"/>
                <w:sz w:val="20"/>
                <w:szCs w:val="20"/>
              </w:rPr>
              <w:t>Under the NHS England GP IT Operating Model, ICBs must fund SMS and electronic messaging used for direct patient communication. For 2025/26, the ICB allocated around £1 million, and current forecasts show the budget remains on track.</w:t>
            </w:r>
          </w:p>
          <w:p w14:paraId="37572748" w14:textId="77777777" w:rsidR="008651CB" w:rsidRPr="006333CA" w:rsidRDefault="008651CB" w:rsidP="7DD04102">
            <w:pPr>
              <w:rPr>
                <w:rFonts w:ascii="Arial" w:eastAsia="Calibri" w:hAnsi="Arial" w:cs="Arial"/>
                <w:sz w:val="20"/>
                <w:szCs w:val="20"/>
              </w:rPr>
            </w:pPr>
          </w:p>
          <w:p w14:paraId="55543664" w14:textId="77777777" w:rsidR="008651CB" w:rsidRPr="006333CA" w:rsidRDefault="008651CB" w:rsidP="7DD04102">
            <w:pPr>
              <w:rPr>
                <w:rFonts w:ascii="Arial" w:eastAsia="Calibri" w:hAnsi="Arial" w:cs="Arial"/>
                <w:sz w:val="20"/>
                <w:szCs w:val="20"/>
              </w:rPr>
            </w:pPr>
            <w:r w:rsidRPr="006333CA">
              <w:rPr>
                <w:rFonts w:ascii="Arial" w:eastAsia="Calibri" w:hAnsi="Arial" w:cs="Arial"/>
                <w:sz w:val="20"/>
                <w:szCs w:val="20"/>
              </w:rPr>
              <w:t>Practices received fair</w:t>
            </w:r>
            <w:r w:rsidRPr="006333CA">
              <w:rPr>
                <w:rFonts w:ascii="Cambria Math" w:eastAsia="Calibri" w:hAnsi="Cambria Math" w:cs="Cambria Math"/>
                <w:sz w:val="20"/>
                <w:szCs w:val="20"/>
              </w:rPr>
              <w:t>‑</w:t>
            </w:r>
            <w:r w:rsidRPr="006333CA">
              <w:rPr>
                <w:rFonts w:ascii="Arial" w:eastAsia="Calibri" w:hAnsi="Arial" w:cs="Arial"/>
                <w:sz w:val="20"/>
                <w:szCs w:val="20"/>
              </w:rPr>
              <w:t xml:space="preserve">share SMS allocations, but some exceeded these by 200–500% due to increased digital demand, triage models, merger communication, and new patient registrations. </w:t>
            </w:r>
          </w:p>
          <w:p w14:paraId="0A04B1E7" w14:textId="77777777" w:rsidR="008651CB" w:rsidRPr="006333CA" w:rsidRDefault="008651CB" w:rsidP="7DD04102">
            <w:pPr>
              <w:rPr>
                <w:rFonts w:ascii="Arial" w:eastAsia="Calibri" w:hAnsi="Arial" w:cs="Arial"/>
                <w:sz w:val="20"/>
                <w:szCs w:val="20"/>
              </w:rPr>
            </w:pPr>
            <w:r w:rsidRPr="006333CA">
              <w:rPr>
                <w:rFonts w:ascii="Arial" w:eastAsia="Calibri" w:hAnsi="Arial" w:cs="Arial"/>
                <w:sz w:val="20"/>
                <w:szCs w:val="20"/>
              </w:rPr>
              <w:t xml:space="preserve">National guidance confirms that although SMS itself is not mandatory, digital messaging is a contractual requirement and must be funded by ICBs. </w:t>
            </w:r>
          </w:p>
          <w:p w14:paraId="638367D0" w14:textId="77777777" w:rsidR="008651CB" w:rsidRPr="006333CA" w:rsidRDefault="008651CB" w:rsidP="7DD04102">
            <w:pPr>
              <w:rPr>
                <w:rFonts w:ascii="Arial" w:eastAsia="Calibri" w:hAnsi="Arial" w:cs="Arial"/>
                <w:sz w:val="20"/>
                <w:szCs w:val="20"/>
              </w:rPr>
            </w:pPr>
          </w:p>
          <w:p w14:paraId="0200663B" w14:textId="77777777" w:rsidR="008651CB" w:rsidRPr="006333CA" w:rsidRDefault="008651CB" w:rsidP="7DD04102">
            <w:pPr>
              <w:rPr>
                <w:rFonts w:ascii="Arial" w:eastAsia="Calibri" w:hAnsi="Arial" w:cs="Arial"/>
                <w:sz w:val="20"/>
                <w:szCs w:val="20"/>
              </w:rPr>
            </w:pPr>
            <w:r w:rsidRPr="006333CA">
              <w:rPr>
                <w:rFonts w:ascii="Arial" w:eastAsia="Calibri" w:hAnsi="Arial" w:cs="Arial"/>
                <w:sz w:val="20"/>
                <w:szCs w:val="20"/>
              </w:rPr>
              <w:t xml:space="preserve">Given limited options to restrict usage and rising demand, the group agreed to use the overall underspend to cover overspend in 2025/26, with no recharge to practices. </w:t>
            </w:r>
          </w:p>
          <w:p w14:paraId="65DA303F" w14:textId="77777777" w:rsidR="00A66A31" w:rsidRPr="006333CA" w:rsidRDefault="00A66A31" w:rsidP="7DD04102">
            <w:pPr>
              <w:rPr>
                <w:rFonts w:ascii="Arial" w:eastAsia="Calibri" w:hAnsi="Arial" w:cs="Arial"/>
                <w:sz w:val="20"/>
                <w:szCs w:val="20"/>
              </w:rPr>
            </w:pPr>
          </w:p>
          <w:p w14:paraId="7AFCD9F8" w14:textId="4E245E36" w:rsidR="00A66A31" w:rsidRPr="006333CA" w:rsidRDefault="00A66A31" w:rsidP="7DD04102">
            <w:pPr>
              <w:rPr>
                <w:rFonts w:ascii="Arial" w:eastAsia="Calibri" w:hAnsi="Arial" w:cs="Arial"/>
                <w:sz w:val="20"/>
                <w:szCs w:val="20"/>
              </w:rPr>
            </w:pPr>
            <w:r w:rsidRPr="006333CA">
              <w:rPr>
                <w:rFonts w:ascii="Arial" w:eastAsia="Calibri" w:hAnsi="Arial" w:cs="Arial"/>
                <w:sz w:val="20"/>
                <w:szCs w:val="20"/>
              </w:rPr>
              <w:t>The Primary Medical Services Group agreed to meet all SMS costs for the current year by using the overall budget underspend to offset any practice overspend. As a result, no practices will be recharged for exceeding their SMS allocation, and the total SMS expenditure remains within the ICB’s approved financial envelope with no additional cost pressures.</w:t>
            </w:r>
          </w:p>
        </w:tc>
        <w:tc>
          <w:tcPr>
            <w:tcW w:w="2501" w:type="dxa"/>
            <w:tcMar>
              <w:left w:w="105" w:type="dxa"/>
              <w:right w:w="105" w:type="dxa"/>
            </w:tcMar>
          </w:tcPr>
          <w:p w14:paraId="767FDDCD" w14:textId="77777777" w:rsidR="00A66A31" w:rsidRPr="006333CA" w:rsidRDefault="00A66A31" w:rsidP="00A66A31">
            <w:pPr>
              <w:rPr>
                <w:rFonts w:ascii="Arial" w:eastAsia="Calibri" w:hAnsi="Arial" w:cs="Arial"/>
                <w:sz w:val="20"/>
                <w:szCs w:val="20"/>
              </w:rPr>
            </w:pPr>
            <w:r w:rsidRPr="006333CA">
              <w:rPr>
                <w:rFonts w:ascii="Arial" w:eastAsia="Calibri" w:hAnsi="Arial" w:cs="Arial"/>
                <w:sz w:val="20"/>
                <w:szCs w:val="20"/>
              </w:rPr>
              <w:t>For 2026/27, the group will develop a more sustainable approach, including new mechanisms to manage usage, targeted monitoring, early support for high</w:t>
            </w:r>
            <w:r w:rsidRPr="006333CA">
              <w:rPr>
                <w:rFonts w:ascii="Cambria Math" w:eastAsia="Calibri" w:hAnsi="Cambria Math" w:cs="Cambria Math"/>
                <w:sz w:val="20"/>
                <w:szCs w:val="20"/>
              </w:rPr>
              <w:t>‑</w:t>
            </w:r>
            <w:r w:rsidRPr="006333CA">
              <w:rPr>
                <w:rFonts w:ascii="Arial" w:eastAsia="Calibri" w:hAnsi="Arial" w:cs="Arial"/>
                <w:sz w:val="20"/>
                <w:szCs w:val="20"/>
              </w:rPr>
              <w:t>use practices, and joint work with the LMC.</w:t>
            </w:r>
          </w:p>
          <w:p w14:paraId="5142E90B" w14:textId="77777777" w:rsidR="00D54389" w:rsidRPr="006333CA" w:rsidRDefault="00D54389" w:rsidP="008767EA">
            <w:pPr>
              <w:rPr>
                <w:rFonts w:ascii="Arial" w:eastAsia="Arial" w:hAnsi="Arial" w:cs="Arial"/>
                <w:sz w:val="20"/>
                <w:szCs w:val="20"/>
              </w:rPr>
            </w:pPr>
          </w:p>
        </w:tc>
      </w:tr>
      <w:tr w:rsidR="00D54389" w:rsidRPr="005C5112" w14:paraId="0F44A68B" w14:textId="77777777" w:rsidTr="7DD04102">
        <w:trPr>
          <w:trHeight w:val="300"/>
        </w:trPr>
        <w:tc>
          <w:tcPr>
            <w:tcW w:w="2844" w:type="dxa"/>
            <w:tcMar>
              <w:left w:w="105" w:type="dxa"/>
              <w:right w:w="105" w:type="dxa"/>
            </w:tcMar>
          </w:tcPr>
          <w:p w14:paraId="7C170D5C" w14:textId="106A4671" w:rsidR="00D54389" w:rsidRPr="006333CA" w:rsidRDefault="00FE749D" w:rsidP="00D54389">
            <w:pPr>
              <w:spacing w:line="233" w:lineRule="auto"/>
              <w:rPr>
                <w:rFonts w:ascii="Arial" w:hAnsi="Arial" w:cs="Arial"/>
                <w:sz w:val="20"/>
                <w:szCs w:val="20"/>
              </w:rPr>
            </w:pPr>
            <w:r w:rsidRPr="006333CA">
              <w:rPr>
                <w:rFonts w:ascii="Arial" w:hAnsi="Arial" w:cs="Arial"/>
                <w:sz w:val="20"/>
                <w:szCs w:val="20"/>
              </w:rPr>
              <w:t>Buckshaw Village Surgery Y02466 – Continuity of Primary Care Medical Services to the Registered Population </w:t>
            </w:r>
          </w:p>
        </w:tc>
        <w:tc>
          <w:tcPr>
            <w:tcW w:w="4252" w:type="dxa"/>
            <w:tcMar>
              <w:left w:w="105" w:type="dxa"/>
              <w:right w:w="105" w:type="dxa"/>
            </w:tcMar>
          </w:tcPr>
          <w:p w14:paraId="21CCB721" w14:textId="20CBC152" w:rsidR="00334CA5" w:rsidRPr="006333CA" w:rsidRDefault="00334CA5" w:rsidP="00334CA5">
            <w:pPr>
              <w:rPr>
                <w:rFonts w:ascii="Arial" w:eastAsia="Calibri" w:hAnsi="Arial" w:cs="Arial"/>
                <w:sz w:val="20"/>
                <w:szCs w:val="20"/>
              </w:rPr>
            </w:pPr>
            <w:r w:rsidRPr="006333CA">
              <w:rPr>
                <w:rFonts w:ascii="Arial" w:eastAsia="Calibri" w:hAnsi="Arial" w:cs="Arial"/>
                <w:sz w:val="20"/>
                <w:szCs w:val="20"/>
              </w:rPr>
              <w:t>Buckshaw Village Surgery’s APMS contract is nearing its extension point. The group reviewed key risks to service continuity, including the vulnerability of a single</w:t>
            </w:r>
            <w:r w:rsidRPr="006333CA">
              <w:rPr>
                <w:rFonts w:ascii="Arial" w:eastAsia="Calibri" w:hAnsi="Arial" w:cs="Arial"/>
                <w:sz w:val="20"/>
                <w:szCs w:val="20"/>
              </w:rPr>
              <w:noBreakHyphen/>
              <w:t>handed contractor, the absence of a signed premises lease, and previously raised concerns about access and appointment data.</w:t>
            </w:r>
          </w:p>
          <w:p w14:paraId="599FE14A" w14:textId="77777777" w:rsidR="00334CA5" w:rsidRPr="006333CA" w:rsidRDefault="00334CA5" w:rsidP="00334CA5">
            <w:pPr>
              <w:rPr>
                <w:rFonts w:ascii="Arial" w:eastAsia="Calibri" w:hAnsi="Arial" w:cs="Arial"/>
                <w:sz w:val="20"/>
                <w:szCs w:val="20"/>
              </w:rPr>
            </w:pPr>
          </w:p>
          <w:p w14:paraId="459A24A9" w14:textId="77777777" w:rsidR="00334CA5" w:rsidRPr="006333CA" w:rsidRDefault="00334CA5" w:rsidP="00334CA5">
            <w:pPr>
              <w:rPr>
                <w:rFonts w:ascii="Arial" w:eastAsia="Calibri" w:hAnsi="Arial" w:cs="Arial"/>
                <w:sz w:val="20"/>
                <w:szCs w:val="20"/>
              </w:rPr>
            </w:pPr>
            <w:r w:rsidRPr="006333CA">
              <w:rPr>
                <w:rFonts w:ascii="Arial" w:eastAsia="Calibri" w:hAnsi="Arial" w:cs="Arial"/>
                <w:sz w:val="20"/>
                <w:szCs w:val="20"/>
              </w:rPr>
              <w:lastRenderedPageBreak/>
              <w:t>The practice confirmed it is recruiting an additional clinical partner to improve resilience, expecting this to be in place by the end of September. A signed partnership agreement will be required as evidence for the extension starting 1 October.</w:t>
            </w:r>
          </w:p>
          <w:p w14:paraId="4A529F05" w14:textId="77777777" w:rsidR="00334CA5" w:rsidRPr="006333CA" w:rsidRDefault="00334CA5" w:rsidP="00334CA5">
            <w:pPr>
              <w:rPr>
                <w:rFonts w:ascii="Arial" w:eastAsia="Calibri" w:hAnsi="Arial" w:cs="Arial"/>
                <w:sz w:val="20"/>
                <w:szCs w:val="20"/>
              </w:rPr>
            </w:pPr>
          </w:p>
          <w:p w14:paraId="71337200" w14:textId="77777777" w:rsidR="00334CA5" w:rsidRPr="006333CA" w:rsidRDefault="00334CA5" w:rsidP="00334CA5">
            <w:pPr>
              <w:rPr>
                <w:rFonts w:ascii="Arial" w:eastAsia="Calibri" w:hAnsi="Arial" w:cs="Arial"/>
                <w:sz w:val="20"/>
                <w:szCs w:val="20"/>
              </w:rPr>
            </w:pPr>
            <w:r w:rsidRPr="006333CA">
              <w:rPr>
                <w:rFonts w:ascii="Arial" w:eastAsia="Calibri" w:hAnsi="Arial" w:cs="Arial"/>
                <w:sz w:val="20"/>
                <w:szCs w:val="20"/>
              </w:rPr>
              <w:t>Lease issues remain unresolved. The practice highlighted significant concerns with the landlord’s proposed terms, including liability for expensive rooftop equipment, costs for unused air conditioning, unmetered electricity, and charges for a non</w:t>
            </w:r>
            <w:r w:rsidRPr="006333CA">
              <w:rPr>
                <w:rFonts w:ascii="Arial" w:eastAsia="Calibri" w:hAnsi="Arial" w:cs="Arial"/>
                <w:sz w:val="20"/>
                <w:szCs w:val="20"/>
              </w:rPr>
              <w:noBreakHyphen/>
              <w:t xml:space="preserve">existent helipad. </w:t>
            </w:r>
          </w:p>
          <w:p w14:paraId="457D3FA9" w14:textId="5EAB6AF7" w:rsidR="00334CA5" w:rsidRPr="006333CA" w:rsidRDefault="00334CA5" w:rsidP="00334CA5">
            <w:pPr>
              <w:rPr>
                <w:rFonts w:ascii="Arial" w:eastAsia="Calibri" w:hAnsi="Arial" w:cs="Arial"/>
                <w:sz w:val="20"/>
                <w:szCs w:val="20"/>
              </w:rPr>
            </w:pPr>
            <w:r w:rsidRPr="006333CA">
              <w:rPr>
                <w:rFonts w:ascii="Arial" w:eastAsia="Calibri" w:hAnsi="Arial" w:cs="Arial"/>
                <w:sz w:val="20"/>
                <w:szCs w:val="20"/>
              </w:rPr>
              <w:t>The group agreed these concerns were reasonable and noted similar challenges across NHS Property Services sites.</w:t>
            </w:r>
          </w:p>
          <w:p w14:paraId="37FBB2E5" w14:textId="77777777" w:rsidR="00334CA5" w:rsidRPr="006333CA" w:rsidRDefault="00334CA5" w:rsidP="7DD04102">
            <w:pPr>
              <w:rPr>
                <w:rFonts w:ascii="Arial" w:eastAsia="Calibri" w:hAnsi="Arial" w:cs="Arial"/>
                <w:sz w:val="20"/>
                <w:szCs w:val="20"/>
              </w:rPr>
            </w:pPr>
            <w:r w:rsidRPr="006333CA">
              <w:rPr>
                <w:rFonts w:ascii="Arial" w:eastAsia="Calibri" w:hAnsi="Arial" w:cs="Arial"/>
                <w:sz w:val="20"/>
                <w:szCs w:val="20"/>
              </w:rPr>
              <w:t xml:space="preserve">Access and activity data were also considered. </w:t>
            </w:r>
          </w:p>
          <w:p w14:paraId="11EBB673" w14:textId="77777777" w:rsidR="00334CA5" w:rsidRPr="006333CA" w:rsidRDefault="00334CA5" w:rsidP="7DD04102">
            <w:pPr>
              <w:rPr>
                <w:rFonts w:ascii="Arial" w:eastAsia="Calibri" w:hAnsi="Arial" w:cs="Arial"/>
                <w:sz w:val="20"/>
                <w:szCs w:val="20"/>
              </w:rPr>
            </w:pPr>
          </w:p>
          <w:p w14:paraId="0CAD7AE8" w14:textId="77777777" w:rsidR="00D54389" w:rsidRPr="006333CA" w:rsidRDefault="00334CA5" w:rsidP="7DD04102">
            <w:pPr>
              <w:rPr>
                <w:rFonts w:ascii="Arial" w:eastAsia="Calibri" w:hAnsi="Arial" w:cs="Arial"/>
                <w:sz w:val="20"/>
                <w:szCs w:val="20"/>
              </w:rPr>
            </w:pPr>
            <w:r w:rsidRPr="006333CA">
              <w:rPr>
                <w:rFonts w:ascii="Arial" w:eastAsia="Calibri" w:hAnsi="Arial" w:cs="Arial"/>
                <w:sz w:val="20"/>
                <w:szCs w:val="20"/>
              </w:rPr>
              <w:t>The practice demonstrated that appointment provision is above average and that earlier issues were mainly due to GPAD data inaccuracies rather than performance problems.</w:t>
            </w:r>
          </w:p>
          <w:p w14:paraId="13C09001" w14:textId="77777777" w:rsidR="001650F2" w:rsidRPr="006333CA" w:rsidRDefault="001650F2" w:rsidP="7DD04102">
            <w:pPr>
              <w:rPr>
                <w:rFonts w:ascii="Arial" w:eastAsia="Calibri" w:hAnsi="Arial" w:cs="Arial"/>
                <w:sz w:val="20"/>
                <w:szCs w:val="20"/>
              </w:rPr>
            </w:pPr>
          </w:p>
          <w:p w14:paraId="1B6872B4" w14:textId="5D614410" w:rsidR="00D54389" w:rsidRPr="006333CA" w:rsidRDefault="001650F2" w:rsidP="7DD04102">
            <w:pPr>
              <w:rPr>
                <w:rFonts w:ascii="Arial" w:eastAsia="Calibri" w:hAnsi="Arial" w:cs="Arial"/>
                <w:sz w:val="20"/>
                <w:szCs w:val="20"/>
              </w:rPr>
            </w:pPr>
            <w:r w:rsidRPr="006333CA">
              <w:rPr>
                <w:rFonts w:ascii="Arial" w:hAnsi="Arial" w:cs="Arial"/>
                <w:color w:val="000000"/>
                <w:sz w:val="20"/>
                <w:szCs w:val="20"/>
              </w:rPr>
              <w:t>The Primary Medical Services Group agreed to meet all SMS costs for the current year by using the overall budget underspend to offset any practice overspend. As a result, no practices will be recharged for exceeding their SMS allocation, and the total SMS expenditure remains within the ICB’s approved financial envelope with no additional cost pressures.</w:t>
            </w:r>
          </w:p>
        </w:tc>
        <w:tc>
          <w:tcPr>
            <w:tcW w:w="2501" w:type="dxa"/>
            <w:tcMar>
              <w:left w:w="105" w:type="dxa"/>
              <w:right w:w="105" w:type="dxa"/>
            </w:tcMar>
          </w:tcPr>
          <w:p w14:paraId="11053165" w14:textId="12253DAE" w:rsidR="00D54389" w:rsidRPr="006333CA" w:rsidRDefault="00313E6E" w:rsidP="008767EA">
            <w:pPr>
              <w:rPr>
                <w:rFonts w:ascii="Arial" w:eastAsia="Arial" w:hAnsi="Arial" w:cs="Arial"/>
                <w:sz w:val="20"/>
                <w:szCs w:val="20"/>
              </w:rPr>
            </w:pPr>
            <w:r w:rsidRPr="006333CA">
              <w:rPr>
                <w:rFonts w:ascii="Arial" w:eastAsia="Arial" w:hAnsi="Arial" w:cs="Arial"/>
                <w:sz w:val="20"/>
                <w:szCs w:val="20"/>
              </w:rPr>
              <w:lastRenderedPageBreak/>
              <w:t xml:space="preserve">Recommend a full </w:t>
            </w:r>
            <w:r w:rsidR="00FA494A" w:rsidRPr="006333CA">
              <w:rPr>
                <w:rFonts w:ascii="Arial" w:eastAsia="Arial" w:hAnsi="Arial" w:cs="Arial"/>
                <w:sz w:val="20"/>
                <w:szCs w:val="20"/>
              </w:rPr>
              <w:t>five-year</w:t>
            </w:r>
            <w:r w:rsidRPr="006333CA">
              <w:rPr>
                <w:rFonts w:ascii="Arial" w:eastAsia="Arial" w:hAnsi="Arial" w:cs="Arial"/>
                <w:sz w:val="20"/>
                <w:szCs w:val="20"/>
              </w:rPr>
              <w:t xml:space="preserve"> contract extension to the Primary Care Contracting Subcommittee, subject to the new clinical partner being formally in place, and acknowledged that </w:t>
            </w:r>
            <w:r w:rsidRPr="006333CA">
              <w:rPr>
                <w:rFonts w:ascii="Arial" w:eastAsia="Arial" w:hAnsi="Arial" w:cs="Arial"/>
                <w:sz w:val="20"/>
                <w:szCs w:val="20"/>
              </w:rPr>
              <w:lastRenderedPageBreak/>
              <w:t>although the lease remains unsigned, the associated risks are manageable and there is no ground to block the extension.</w:t>
            </w:r>
          </w:p>
        </w:tc>
      </w:tr>
      <w:tr w:rsidR="00FE749D" w:rsidRPr="005C5112" w14:paraId="033FC7CC" w14:textId="77777777" w:rsidTr="7DD04102">
        <w:trPr>
          <w:trHeight w:val="300"/>
        </w:trPr>
        <w:tc>
          <w:tcPr>
            <w:tcW w:w="2844" w:type="dxa"/>
            <w:tcMar>
              <w:left w:w="105" w:type="dxa"/>
              <w:right w:w="105" w:type="dxa"/>
            </w:tcMar>
          </w:tcPr>
          <w:p w14:paraId="5F0F656A" w14:textId="27182BD6" w:rsidR="00FE749D" w:rsidRPr="006333CA" w:rsidRDefault="00FE749D" w:rsidP="00D54389">
            <w:pPr>
              <w:spacing w:line="233" w:lineRule="auto"/>
              <w:rPr>
                <w:rFonts w:ascii="Arial" w:hAnsi="Arial" w:cs="Arial"/>
                <w:sz w:val="20"/>
                <w:szCs w:val="20"/>
              </w:rPr>
            </w:pPr>
            <w:r w:rsidRPr="006333CA">
              <w:rPr>
                <w:rFonts w:ascii="Arial" w:hAnsi="Arial" w:cs="Arial"/>
                <w:sz w:val="20"/>
                <w:szCs w:val="20"/>
              </w:rPr>
              <w:lastRenderedPageBreak/>
              <w:t>CAIP Update </w:t>
            </w:r>
          </w:p>
        </w:tc>
        <w:tc>
          <w:tcPr>
            <w:tcW w:w="4252" w:type="dxa"/>
            <w:tcMar>
              <w:left w:w="105" w:type="dxa"/>
              <w:right w:w="105" w:type="dxa"/>
            </w:tcMar>
          </w:tcPr>
          <w:p w14:paraId="28992906" w14:textId="6C27929D" w:rsidR="0028486B" w:rsidRPr="006333CA" w:rsidRDefault="0028486B" w:rsidP="0028486B">
            <w:pPr>
              <w:rPr>
                <w:rFonts w:ascii="Arial" w:hAnsi="Arial" w:cs="Arial"/>
                <w:color w:val="000000"/>
                <w:sz w:val="20"/>
                <w:szCs w:val="20"/>
              </w:rPr>
            </w:pPr>
            <w:r w:rsidRPr="006333CA">
              <w:rPr>
                <w:rFonts w:ascii="Arial" w:hAnsi="Arial" w:cs="Arial"/>
                <w:color w:val="000000"/>
                <w:sz w:val="20"/>
                <w:szCs w:val="20"/>
              </w:rPr>
              <w:t>The update provided a summary of CAIP submissions received from PCNs since 17 December, outlining those that had been approved and those still undergoing review. Three submissions have been validated and approved, while a further three remain under assessment. The group was asked to note the submissions still in progress and to approve those already validated and recommended for payment. During the discussion, clarification was sought regarding the number of outstanding PCN submissions for the final month of the CAIP schem</w:t>
            </w:r>
            <w:r w:rsidR="006B2D04">
              <w:rPr>
                <w:rFonts w:ascii="Arial" w:hAnsi="Arial" w:cs="Arial"/>
                <w:color w:val="000000"/>
                <w:sz w:val="20"/>
                <w:szCs w:val="20"/>
              </w:rPr>
              <w:t>e</w:t>
            </w:r>
            <w:r w:rsidRPr="006333CA">
              <w:rPr>
                <w:rFonts w:ascii="Arial" w:hAnsi="Arial" w:cs="Arial"/>
                <w:color w:val="000000"/>
                <w:sz w:val="20"/>
                <w:szCs w:val="20"/>
              </w:rPr>
              <w:t>. It was also acknowledged that, as with the previous year, a year</w:t>
            </w:r>
            <w:r w:rsidRPr="006333CA">
              <w:rPr>
                <w:rFonts w:ascii="Cambria Math" w:hAnsi="Cambria Math" w:cs="Cambria Math"/>
                <w:color w:val="000000"/>
                <w:sz w:val="20"/>
                <w:szCs w:val="20"/>
              </w:rPr>
              <w:t>‑</w:t>
            </w:r>
            <w:r w:rsidRPr="006333CA">
              <w:rPr>
                <w:rFonts w:ascii="Arial" w:hAnsi="Arial" w:cs="Arial"/>
                <w:color w:val="000000"/>
                <w:sz w:val="20"/>
                <w:szCs w:val="20"/>
              </w:rPr>
              <w:t>end summary report is expected and will be presented at the next meeting.</w:t>
            </w:r>
          </w:p>
          <w:p w14:paraId="36D1F35A" w14:textId="77777777" w:rsidR="00FE749D" w:rsidRPr="006333CA" w:rsidRDefault="00FE749D" w:rsidP="7DD04102">
            <w:pPr>
              <w:rPr>
                <w:rFonts w:ascii="Arial" w:eastAsia="Calibri" w:hAnsi="Arial" w:cs="Arial"/>
                <w:sz w:val="20"/>
                <w:szCs w:val="20"/>
              </w:rPr>
            </w:pPr>
          </w:p>
          <w:p w14:paraId="6CB28818" w14:textId="5C115AD1" w:rsidR="00FE749D" w:rsidRPr="006333CA" w:rsidRDefault="00003E12" w:rsidP="7DD04102">
            <w:pPr>
              <w:rPr>
                <w:rFonts w:ascii="Arial" w:eastAsia="Calibri" w:hAnsi="Arial" w:cs="Arial"/>
                <w:sz w:val="20"/>
                <w:szCs w:val="20"/>
              </w:rPr>
            </w:pPr>
            <w:r w:rsidRPr="006333CA">
              <w:rPr>
                <w:rFonts w:ascii="Arial" w:eastAsia="Calibri" w:hAnsi="Arial" w:cs="Arial"/>
                <w:sz w:val="20"/>
                <w:szCs w:val="20"/>
              </w:rPr>
              <w:t>The Primary Medical Services group approved the three validated submissions, noted the remaining three still under review, and agreed that a further year</w:t>
            </w:r>
            <w:r w:rsidRPr="006333CA">
              <w:rPr>
                <w:rFonts w:ascii="Cambria Math" w:eastAsia="Calibri" w:hAnsi="Cambria Math" w:cs="Cambria Math"/>
                <w:sz w:val="20"/>
                <w:szCs w:val="20"/>
              </w:rPr>
              <w:t>‑</w:t>
            </w:r>
            <w:r w:rsidRPr="006333CA">
              <w:rPr>
                <w:rFonts w:ascii="Arial" w:eastAsia="Calibri" w:hAnsi="Arial" w:cs="Arial"/>
                <w:sz w:val="20"/>
                <w:szCs w:val="20"/>
              </w:rPr>
              <w:t>end CAIP summary paper would be brought forward for consideration at the next meeting.</w:t>
            </w:r>
          </w:p>
        </w:tc>
        <w:tc>
          <w:tcPr>
            <w:tcW w:w="2501" w:type="dxa"/>
            <w:tcMar>
              <w:left w:w="105" w:type="dxa"/>
              <w:right w:w="105" w:type="dxa"/>
            </w:tcMar>
          </w:tcPr>
          <w:p w14:paraId="181BF2D6" w14:textId="77777777" w:rsidR="00FE749D" w:rsidRPr="006333CA" w:rsidRDefault="00FE749D" w:rsidP="008767EA">
            <w:pPr>
              <w:rPr>
                <w:rFonts w:ascii="Arial" w:eastAsia="Arial" w:hAnsi="Arial" w:cs="Arial"/>
                <w:sz w:val="20"/>
                <w:szCs w:val="20"/>
              </w:rPr>
            </w:pPr>
          </w:p>
        </w:tc>
      </w:tr>
      <w:tr w:rsidR="00FE749D" w:rsidRPr="005C5112" w14:paraId="2AEC3F8B" w14:textId="77777777" w:rsidTr="7DD04102">
        <w:trPr>
          <w:trHeight w:val="300"/>
        </w:trPr>
        <w:tc>
          <w:tcPr>
            <w:tcW w:w="2844" w:type="dxa"/>
            <w:tcMar>
              <w:left w:w="105" w:type="dxa"/>
              <w:right w:w="105" w:type="dxa"/>
            </w:tcMar>
          </w:tcPr>
          <w:p w14:paraId="33463351" w14:textId="2CB41968" w:rsidR="00FE749D" w:rsidRPr="006333CA" w:rsidRDefault="00FE749D" w:rsidP="00D54389">
            <w:pPr>
              <w:spacing w:line="233" w:lineRule="auto"/>
              <w:rPr>
                <w:rFonts w:ascii="Arial" w:hAnsi="Arial" w:cs="Arial"/>
                <w:sz w:val="20"/>
                <w:szCs w:val="20"/>
              </w:rPr>
            </w:pPr>
            <w:r w:rsidRPr="006333CA">
              <w:rPr>
                <w:rFonts w:ascii="Arial" w:hAnsi="Arial" w:cs="Arial"/>
                <w:sz w:val="20"/>
                <w:szCs w:val="20"/>
              </w:rPr>
              <w:lastRenderedPageBreak/>
              <w:t>Protected Learning Time – Online Consultations </w:t>
            </w:r>
          </w:p>
        </w:tc>
        <w:tc>
          <w:tcPr>
            <w:tcW w:w="4252" w:type="dxa"/>
            <w:tcMar>
              <w:left w:w="105" w:type="dxa"/>
              <w:right w:w="105" w:type="dxa"/>
            </w:tcMar>
          </w:tcPr>
          <w:p w14:paraId="64BFD833" w14:textId="77777777" w:rsidR="00B1708A" w:rsidRPr="006333CA" w:rsidRDefault="00B1708A" w:rsidP="7DD04102">
            <w:pPr>
              <w:rPr>
                <w:rFonts w:ascii="Arial" w:hAnsi="Arial" w:cs="Arial"/>
                <w:color w:val="000000"/>
                <w:sz w:val="20"/>
                <w:szCs w:val="20"/>
              </w:rPr>
            </w:pPr>
            <w:r w:rsidRPr="006333CA">
              <w:rPr>
                <w:rFonts w:ascii="Arial" w:hAnsi="Arial" w:cs="Arial"/>
                <w:color w:val="000000"/>
                <w:sz w:val="20"/>
                <w:szCs w:val="20"/>
              </w:rPr>
              <w:t xml:space="preserve">Practices across Lancashire and South Cumbria requested clearer guidance on what online consultation functions must remain available during PLT sessions, as current NHS England guidance is ambiguous and interpreted inconsistently. </w:t>
            </w:r>
          </w:p>
          <w:p w14:paraId="63FFA74C" w14:textId="77777777" w:rsidR="00B1708A" w:rsidRPr="006333CA" w:rsidRDefault="00B1708A" w:rsidP="7DD04102">
            <w:pPr>
              <w:rPr>
                <w:rFonts w:ascii="Arial" w:hAnsi="Arial" w:cs="Arial"/>
                <w:color w:val="000000"/>
                <w:sz w:val="20"/>
                <w:szCs w:val="20"/>
              </w:rPr>
            </w:pPr>
          </w:p>
          <w:p w14:paraId="6AA86B49" w14:textId="77777777" w:rsidR="00B1708A" w:rsidRPr="006333CA" w:rsidRDefault="00B1708A" w:rsidP="7DD04102">
            <w:pPr>
              <w:rPr>
                <w:rFonts w:ascii="Arial" w:hAnsi="Arial" w:cs="Arial"/>
                <w:color w:val="000000"/>
                <w:sz w:val="20"/>
                <w:szCs w:val="20"/>
              </w:rPr>
            </w:pPr>
            <w:r w:rsidRPr="006333CA">
              <w:rPr>
                <w:rFonts w:ascii="Arial" w:hAnsi="Arial" w:cs="Arial"/>
                <w:color w:val="000000"/>
                <w:sz w:val="20"/>
                <w:szCs w:val="20"/>
              </w:rPr>
              <w:t xml:space="preserve">While the national FAQ outlines clinical versus administrative functions, it does not specify what may be switched off, leading to variation across practices. </w:t>
            </w:r>
          </w:p>
          <w:p w14:paraId="6A87BFF2" w14:textId="77777777" w:rsidR="00B1708A" w:rsidRPr="006333CA" w:rsidRDefault="00B1708A" w:rsidP="7DD04102">
            <w:pPr>
              <w:rPr>
                <w:rFonts w:ascii="Arial" w:hAnsi="Arial" w:cs="Arial"/>
                <w:color w:val="000000"/>
                <w:sz w:val="20"/>
                <w:szCs w:val="20"/>
              </w:rPr>
            </w:pPr>
          </w:p>
          <w:p w14:paraId="23E87FE4" w14:textId="77777777" w:rsidR="00B1708A" w:rsidRPr="006333CA" w:rsidRDefault="00B1708A" w:rsidP="7DD04102">
            <w:pPr>
              <w:rPr>
                <w:rFonts w:ascii="Arial" w:hAnsi="Arial" w:cs="Arial"/>
                <w:color w:val="000000"/>
                <w:sz w:val="20"/>
                <w:szCs w:val="20"/>
              </w:rPr>
            </w:pPr>
            <w:r w:rsidRPr="006333CA">
              <w:rPr>
                <w:rFonts w:ascii="Arial" w:hAnsi="Arial" w:cs="Arial"/>
                <w:color w:val="000000"/>
                <w:sz w:val="20"/>
                <w:szCs w:val="20"/>
              </w:rPr>
              <w:t xml:space="preserve">Practices highlighted safety concerns with keeping the clinical/medical triage function active, as it often receives urgent presentations that cannot be monitored during training. In contrast, routine administrative functions such as fit note requests, referral updates and bookings were recognised as low risk and suitable to remain available. </w:t>
            </w:r>
          </w:p>
          <w:p w14:paraId="089E3C4C" w14:textId="77777777" w:rsidR="00B1708A" w:rsidRPr="006333CA" w:rsidRDefault="00B1708A" w:rsidP="7DD04102">
            <w:pPr>
              <w:rPr>
                <w:rFonts w:ascii="Arial" w:hAnsi="Arial" w:cs="Arial"/>
                <w:color w:val="000000"/>
                <w:sz w:val="20"/>
                <w:szCs w:val="20"/>
              </w:rPr>
            </w:pPr>
          </w:p>
          <w:p w14:paraId="546FD813" w14:textId="297F02E1" w:rsidR="00FE749D" w:rsidRPr="006333CA" w:rsidRDefault="00B1708A" w:rsidP="7DD04102">
            <w:pPr>
              <w:rPr>
                <w:rFonts w:ascii="Arial" w:hAnsi="Arial" w:cs="Arial"/>
                <w:color w:val="000000"/>
                <w:sz w:val="20"/>
                <w:szCs w:val="20"/>
              </w:rPr>
            </w:pPr>
            <w:r w:rsidRPr="006333CA">
              <w:rPr>
                <w:rFonts w:ascii="Arial" w:hAnsi="Arial" w:cs="Arial"/>
                <w:color w:val="000000"/>
                <w:sz w:val="20"/>
                <w:szCs w:val="20"/>
              </w:rPr>
              <w:t>The group also noted the need for consistency across practices and that any agreed approach must apply during core hours and account for existing variation in online triage processes.</w:t>
            </w:r>
          </w:p>
          <w:p w14:paraId="62222DD1" w14:textId="77777777" w:rsidR="00B1708A" w:rsidRPr="006333CA" w:rsidRDefault="00B1708A" w:rsidP="7DD04102">
            <w:pPr>
              <w:rPr>
                <w:rFonts w:ascii="Arial" w:eastAsia="Calibri" w:hAnsi="Arial" w:cs="Arial"/>
                <w:sz w:val="20"/>
                <w:szCs w:val="20"/>
              </w:rPr>
            </w:pPr>
          </w:p>
          <w:p w14:paraId="272B786E" w14:textId="6D139A3A" w:rsidR="00FE749D" w:rsidRPr="006333CA" w:rsidRDefault="00F934AC" w:rsidP="7DD04102">
            <w:pPr>
              <w:rPr>
                <w:rFonts w:ascii="Arial" w:eastAsia="Calibri" w:hAnsi="Arial" w:cs="Arial"/>
                <w:sz w:val="20"/>
                <w:szCs w:val="20"/>
              </w:rPr>
            </w:pPr>
            <w:r w:rsidRPr="006333CA">
              <w:rPr>
                <w:rFonts w:ascii="Arial" w:eastAsia="Calibri" w:hAnsi="Arial" w:cs="Arial"/>
                <w:sz w:val="20"/>
                <w:szCs w:val="20"/>
              </w:rPr>
              <w:t>The Primary Medical Services Group therefore recommended that, during PLT sessions, practices should keep administrative online consultation functions active while switching off medical or clinical triage functions to balance patient safety, operational practicality, national guidance, and alignment with neighbouring ICBs.</w:t>
            </w:r>
          </w:p>
        </w:tc>
        <w:tc>
          <w:tcPr>
            <w:tcW w:w="2501" w:type="dxa"/>
            <w:tcMar>
              <w:left w:w="105" w:type="dxa"/>
              <w:right w:w="105" w:type="dxa"/>
            </w:tcMar>
          </w:tcPr>
          <w:p w14:paraId="49B7CACF" w14:textId="651CC7E1" w:rsidR="00FE749D" w:rsidRPr="006333CA" w:rsidRDefault="00CC7DA2" w:rsidP="008767EA">
            <w:pPr>
              <w:rPr>
                <w:rFonts w:ascii="Arial" w:eastAsia="Arial" w:hAnsi="Arial" w:cs="Arial"/>
                <w:sz w:val="20"/>
                <w:szCs w:val="20"/>
              </w:rPr>
            </w:pPr>
            <w:r w:rsidRPr="006333CA">
              <w:rPr>
                <w:rFonts w:ascii="Arial" w:eastAsia="Arial" w:hAnsi="Arial" w:cs="Arial"/>
                <w:sz w:val="20"/>
                <w:szCs w:val="20"/>
              </w:rPr>
              <w:t>Gather additional detail from ICBs already adopting this approach, raising the issue at the national Heads of Primary Care meeting, and preparing a formal recommendation for the Primary Care Contracting Subcommittee that will outline communication expectations for practices.</w:t>
            </w:r>
          </w:p>
        </w:tc>
      </w:tr>
      <w:tr w:rsidR="00033407" w:rsidRPr="005C5112" w14:paraId="4676E16E" w14:textId="77777777" w:rsidTr="7DD04102">
        <w:trPr>
          <w:trHeight w:val="300"/>
        </w:trPr>
        <w:tc>
          <w:tcPr>
            <w:tcW w:w="9597" w:type="dxa"/>
            <w:gridSpan w:val="3"/>
            <w:shd w:val="clear" w:color="auto" w:fill="00B050"/>
            <w:tcMar>
              <w:left w:w="105" w:type="dxa"/>
              <w:right w:w="105" w:type="dxa"/>
            </w:tcMar>
          </w:tcPr>
          <w:p w14:paraId="4D1DC255" w14:textId="073FA25C"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 xml:space="preserve">Assure </w:t>
            </w:r>
          </w:p>
        </w:tc>
      </w:tr>
      <w:tr w:rsidR="00FE749D" w:rsidRPr="005C5112" w14:paraId="59355F3D" w14:textId="77777777" w:rsidTr="7DD04102">
        <w:trPr>
          <w:trHeight w:val="300"/>
        </w:trPr>
        <w:tc>
          <w:tcPr>
            <w:tcW w:w="2844" w:type="dxa"/>
            <w:tcMar>
              <w:left w:w="105" w:type="dxa"/>
              <w:right w:w="105" w:type="dxa"/>
            </w:tcMar>
          </w:tcPr>
          <w:p w14:paraId="75DD85F7" w14:textId="2277043A" w:rsidR="00FE749D" w:rsidRPr="006333CA" w:rsidRDefault="00FE749D" w:rsidP="00FE749D">
            <w:pPr>
              <w:contextualSpacing/>
              <w:rPr>
                <w:rFonts w:ascii="Arial" w:eastAsia="Arial" w:hAnsi="Arial" w:cs="Arial"/>
                <w:sz w:val="20"/>
                <w:szCs w:val="20"/>
              </w:rPr>
            </w:pPr>
          </w:p>
        </w:tc>
        <w:tc>
          <w:tcPr>
            <w:tcW w:w="4252" w:type="dxa"/>
            <w:tcMar>
              <w:left w:w="105" w:type="dxa"/>
              <w:right w:w="105" w:type="dxa"/>
            </w:tcMar>
          </w:tcPr>
          <w:p w14:paraId="5619704A" w14:textId="548C9DE3" w:rsidR="00FE749D" w:rsidRPr="006333CA" w:rsidRDefault="00FE749D" w:rsidP="00FE749D">
            <w:pPr>
              <w:pStyle w:val="paragraph"/>
              <w:spacing w:beforeAutospacing="0" w:afterAutospacing="0"/>
              <w:jc w:val="center"/>
              <w:rPr>
                <w:rFonts w:ascii="Arial" w:eastAsia="Arial" w:hAnsi="Arial" w:cs="Arial"/>
                <w:sz w:val="20"/>
                <w:szCs w:val="20"/>
              </w:rPr>
            </w:pPr>
            <w:r w:rsidRPr="006333CA">
              <w:rPr>
                <w:rFonts w:ascii="Arial" w:eastAsia="Arial" w:hAnsi="Arial" w:cs="Arial"/>
                <w:b/>
                <w:sz w:val="20"/>
                <w:szCs w:val="20"/>
              </w:rPr>
              <w:t>Nothing to Escalate</w:t>
            </w:r>
          </w:p>
        </w:tc>
        <w:tc>
          <w:tcPr>
            <w:tcW w:w="2501" w:type="dxa"/>
            <w:tcMar>
              <w:left w:w="105" w:type="dxa"/>
              <w:right w:w="105" w:type="dxa"/>
            </w:tcMar>
          </w:tcPr>
          <w:p w14:paraId="0E413185" w14:textId="694FEE97" w:rsidR="00FE749D" w:rsidRPr="006333CA" w:rsidRDefault="00FE749D" w:rsidP="00FE749D">
            <w:pPr>
              <w:contextualSpacing/>
              <w:rPr>
                <w:rFonts w:ascii="Arial" w:eastAsia="Arial" w:hAnsi="Arial" w:cs="Arial"/>
                <w:sz w:val="20"/>
                <w:szCs w:val="20"/>
              </w:rPr>
            </w:pPr>
          </w:p>
        </w:tc>
      </w:tr>
    </w:tbl>
    <w:p w14:paraId="65F91971" w14:textId="5AC3FDBF" w:rsidR="00DE649C" w:rsidRPr="006333CA" w:rsidRDefault="00DE649C" w:rsidP="360C4CB1">
      <w:pPr>
        <w:spacing w:after="0" w:line="240" w:lineRule="auto"/>
        <w:rPr>
          <w:rFonts w:ascii="Arial" w:eastAsia="Arial" w:hAnsi="Arial" w:cs="Arial"/>
          <w:color w:val="000000" w:themeColor="text1"/>
          <w:sz w:val="20"/>
          <w:szCs w:val="20"/>
        </w:rPr>
      </w:pPr>
    </w:p>
    <w:p w14:paraId="7FFEC21A" w14:textId="0DB5E83B" w:rsidR="00DE649C" w:rsidRPr="006333CA" w:rsidRDefault="40471C97" w:rsidP="360C4CB1">
      <w:pPr>
        <w:pStyle w:val="ListParagraph"/>
        <w:numPr>
          <w:ilvl w:val="0"/>
          <w:numId w:val="11"/>
        </w:numPr>
        <w:rPr>
          <w:rFonts w:eastAsia="Arial" w:cs="Arial"/>
          <w:color w:val="000000" w:themeColor="text1"/>
          <w:sz w:val="20"/>
          <w:szCs w:val="20"/>
        </w:rPr>
      </w:pPr>
      <w:r w:rsidRPr="006333CA">
        <w:rPr>
          <w:rFonts w:eastAsia="Arial" w:cs="Arial"/>
          <w:b/>
          <w:color w:val="000000" w:themeColor="text1"/>
          <w:sz w:val="20"/>
          <w:szCs w:val="20"/>
          <w:lang w:val="en-US"/>
        </w:rPr>
        <w:t>Summary of items or issues referred to other committees or the Board over the reporting period.</w:t>
      </w:r>
    </w:p>
    <w:p w14:paraId="18F90775" w14:textId="35336753" w:rsidR="00DE649C" w:rsidRPr="006333CA" w:rsidRDefault="00DE649C" w:rsidP="360C4CB1">
      <w:pPr>
        <w:spacing w:after="0" w:line="240" w:lineRule="auto"/>
        <w:rPr>
          <w:rFonts w:ascii="Arial" w:eastAsia="Arial" w:hAnsi="Arial" w:cs="Arial"/>
          <w:color w:val="000000" w:themeColor="text1"/>
          <w:sz w:val="20"/>
          <w:szCs w:val="20"/>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4650"/>
        <w:gridCol w:w="2850"/>
      </w:tblGrid>
      <w:tr w:rsidR="004979B4" w:rsidRPr="005C5112" w14:paraId="25BA042F" w14:textId="77777777" w:rsidTr="7DD04102">
        <w:trPr>
          <w:trHeight w:val="300"/>
        </w:trPr>
        <w:tc>
          <w:tcPr>
            <w:tcW w:w="2115" w:type="dxa"/>
            <w:shd w:val="clear" w:color="auto" w:fill="B2A1C7" w:themeFill="accent4" w:themeFillTint="99"/>
            <w:tcMar>
              <w:left w:w="105" w:type="dxa"/>
              <w:right w:w="105" w:type="dxa"/>
            </w:tcMar>
          </w:tcPr>
          <w:p w14:paraId="3D752294" w14:textId="43ABA902"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Committee and Date</w:t>
            </w:r>
          </w:p>
        </w:tc>
        <w:tc>
          <w:tcPr>
            <w:tcW w:w="4650" w:type="dxa"/>
            <w:shd w:val="clear" w:color="auto" w:fill="B2A1C7" w:themeFill="accent4" w:themeFillTint="99"/>
            <w:tcMar>
              <w:left w:w="105" w:type="dxa"/>
              <w:right w:w="105" w:type="dxa"/>
            </w:tcMar>
          </w:tcPr>
          <w:p w14:paraId="0BA77647" w14:textId="6A0B6FD4"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Item or Issue</w:t>
            </w:r>
          </w:p>
        </w:tc>
        <w:tc>
          <w:tcPr>
            <w:tcW w:w="2850" w:type="dxa"/>
            <w:shd w:val="clear" w:color="auto" w:fill="B2A1C7" w:themeFill="accent4" w:themeFillTint="99"/>
            <w:tcMar>
              <w:left w:w="105" w:type="dxa"/>
              <w:right w:w="105" w:type="dxa"/>
            </w:tcMar>
          </w:tcPr>
          <w:p w14:paraId="27FFD37C" w14:textId="7DB60021"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Referred to</w:t>
            </w:r>
          </w:p>
        </w:tc>
      </w:tr>
      <w:tr w:rsidR="004979B4" w:rsidRPr="005C5112" w14:paraId="4C5BA2BA" w14:textId="77777777" w:rsidTr="7DD04102">
        <w:trPr>
          <w:trHeight w:val="300"/>
        </w:trPr>
        <w:tc>
          <w:tcPr>
            <w:tcW w:w="2115" w:type="dxa"/>
            <w:shd w:val="clear" w:color="auto" w:fill="FFFFFF" w:themeFill="background1"/>
            <w:tcMar>
              <w:left w:w="105" w:type="dxa"/>
              <w:right w:w="105" w:type="dxa"/>
            </w:tcMar>
          </w:tcPr>
          <w:p w14:paraId="231DCF93" w14:textId="39D334A2" w:rsidR="00995AA8" w:rsidRPr="006333CA" w:rsidRDefault="00995AA8" w:rsidP="360C4CB1">
            <w:pPr>
              <w:contextualSpacing/>
              <w:rPr>
                <w:rFonts w:ascii="Arial" w:eastAsia="Arial" w:hAnsi="Arial" w:cs="Arial"/>
                <w:sz w:val="20"/>
                <w:szCs w:val="20"/>
              </w:rPr>
            </w:pPr>
          </w:p>
        </w:tc>
        <w:tc>
          <w:tcPr>
            <w:tcW w:w="4650" w:type="dxa"/>
            <w:shd w:val="clear" w:color="auto" w:fill="FFFFFF" w:themeFill="background1"/>
            <w:tcMar>
              <w:left w:w="105" w:type="dxa"/>
              <w:right w:w="105" w:type="dxa"/>
            </w:tcMar>
          </w:tcPr>
          <w:p w14:paraId="1EB00284" w14:textId="17214F0E" w:rsidR="360C4CB1" w:rsidRPr="006333CA" w:rsidRDefault="360C4CB1" w:rsidP="360C4CB1">
            <w:pPr>
              <w:rPr>
                <w:rFonts w:ascii="Arial" w:hAnsi="Arial" w:cs="Arial"/>
                <w:sz w:val="20"/>
                <w:szCs w:val="20"/>
              </w:rPr>
            </w:pPr>
          </w:p>
        </w:tc>
        <w:tc>
          <w:tcPr>
            <w:tcW w:w="2850" w:type="dxa"/>
            <w:shd w:val="clear" w:color="auto" w:fill="FFFFFF" w:themeFill="background1"/>
            <w:tcMar>
              <w:left w:w="105" w:type="dxa"/>
              <w:right w:w="105" w:type="dxa"/>
            </w:tcMar>
          </w:tcPr>
          <w:p w14:paraId="1913331F" w14:textId="1E96B819" w:rsidR="360C4CB1" w:rsidRPr="006333CA" w:rsidRDefault="360C4CB1" w:rsidP="7DD04102">
            <w:pPr>
              <w:contextualSpacing/>
              <w:rPr>
                <w:rFonts w:ascii="Arial" w:eastAsia="Arial" w:hAnsi="Arial" w:cs="Arial"/>
                <w:sz w:val="20"/>
                <w:szCs w:val="20"/>
              </w:rPr>
            </w:pPr>
          </w:p>
        </w:tc>
      </w:tr>
    </w:tbl>
    <w:p w14:paraId="6E38FAE6" w14:textId="5F9A52FA" w:rsidR="00DE649C" w:rsidRPr="006333CA" w:rsidRDefault="00DE649C" w:rsidP="360C4CB1">
      <w:pPr>
        <w:rPr>
          <w:rFonts w:ascii="Arial" w:eastAsia="Arial" w:hAnsi="Arial" w:cs="Arial"/>
          <w:color w:val="000000" w:themeColor="text1"/>
          <w:sz w:val="20"/>
          <w:szCs w:val="20"/>
        </w:rPr>
      </w:pPr>
    </w:p>
    <w:p w14:paraId="2B143298" w14:textId="77777777" w:rsidR="00616BBC" w:rsidRPr="006333CA" w:rsidRDefault="00616BBC" w:rsidP="360C4CB1">
      <w:pPr>
        <w:rPr>
          <w:rFonts w:ascii="Arial" w:eastAsia="Arial" w:hAnsi="Arial" w:cs="Arial"/>
          <w:color w:val="000000" w:themeColor="text1"/>
          <w:sz w:val="20"/>
          <w:szCs w:val="20"/>
        </w:rPr>
      </w:pPr>
    </w:p>
    <w:p w14:paraId="47CBF13A" w14:textId="77777777" w:rsidR="00616BBC" w:rsidRPr="006333CA" w:rsidRDefault="00616BBC" w:rsidP="360C4CB1">
      <w:pPr>
        <w:rPr>
          <w:rFonts w:ascii="Arial" w:eastAsia="Arial" w:hAnsi="Arial" w:cs="Arial"/>
          <w:color w:val="000000" w:themeColor="text1"/>
          <w:sz w:val="20"/>
          <w:szCs w:val="20"/>
        </w:rPr>
      </w:pPr>
    </w:p>
    <w:p w14:paraId="2A57F5A8" w14:textId="4BC1CC7C" w:rsidR="287D9140" w:rsidRPr="006333CA" w:rsidRDefault="287D9140" w:rsidP="287D9140">
      <w:pPr>
        <w:rPr>
          <w:rFonts w:ascii="Arial" w:eastAsia="Arial" w:hAnsi="Arial" w:cs="Arial"/>
          <w:color w:val="000000" w:themeColor="text1"/>
          <w:sz w:val="20"/>
          <w:szCs w:val="20"/>
        </w:rPr>
      </w:pPr>
    </w:p>
    <w:p w14:paraId="4D357230" w14:textId="77777777" w:rsidR="00616BBC" w:rsidRPr="006333CA" w:rsidRDefault="00616BBC" w:rsidP="360C4CB1">
      <w:pPr>
        <w:rPr>
          <w:rFonts w:ascii="Arial" w:eastAsia="Arial" w:hAnsi="Arial" w:cs="Arial"/>
          <w:color w:val="000000" w:themeColor="text1"/>
          <w:sz w:val="20"/>
          <w:szCs w:val="20"/>
        </w:rPr>
      </w:pPr>
    </w:p>
    <w:tbl>
      <w:tblPr>
        <w:tblStyle w:val="TableGrid"/>
        <w:tblW w:w="9615" w:type="dxa"/>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1830"/>
        <w:gridCol w:w="2970"/>
      </w:tblGrid>
      <w:tr w:rsidR="000C3354" w:rsidRPr="005C5112" w14:paraId="1EEA5876" w14:textId="77777777" w:rsidTr="000271DE">
        <w:trPr>
          <w:trHeight w:val="300"/>
        </w:trPr>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14:paraId="0D9FB977" w14:textId="6D8F7E1B" w:rsidR="360C4CB1" w:rsidRPr="006333CA" w:rsidRDefault="360C4CB1" w:rsidP="360C4CB1">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lastRenderedPageBreak/>
              <w:t>Committee: Primary Care Dental Services Group</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4D48899D" w14:textId="72C50864" w:rsidR="360C4CB1" w:rsidRPr="006333CA" w:rsidRDefault="360C4CB1" w:rsidP="360C4CB1">
            <w:pPr>
              <w:pStyle w:val="Heading1"/>
              <w:spacing w:before="120"/>
              <w:rPr>
                <w:rFonts w:ascii="Arial" w:eastAsia="Arial" w:hAnsi="Arial" w:cs="Arial"/>
                <w:color w:val="808080" w:themeColor="background1" w:themeShade="80"/>
                <w:sz w:val="20"/>
                <w:szCs w:val="20"/>
              </w:rPr>
            </w:pPr>
            <w:r w:rsidRPr="005A1BE8">
              <w:rPr>
                <w:rFonts w:ascii="Arial" w:eastAsia="Arial" w:hAnsi="Arial" w:cs="Arial"/>
                <w:color w:val="808080" w:themeColor="background1" w:themeShade="80"/>
                <w:sz w:val="20"/>
                <w:szCs w:val="20"/>
                <w:lang w:val="en-US"/>
              </w:rPr>
              <w:t>Date:</w:t>
            </w:r>
            <w:r w:rsidR="00982005" w:rsidRPr="005A1BE8">
              <w:rPr>
                <w:rFonts w:ascii="Arial" w:eastAsia="Arial" w:hAnsi="Arial" w:cs="Arial"/>
                <w:color w:val="808080" w:themeColor="background1" w:themeShade="80"/>
                <w:sz w:val="20"/>
                <w:szCs w:val="20"/>
                <w:lang w:val="en-US"/>
              </w:rPr>
              <w:t xml:space="preserve"> </w:t>
            </w:r>
            <w:r w:rsidR="00671210" w:rsidRPr="005A1BE8">
              <w:rPr>
                <w:rFonts w:ascii="Arial" w:eastAsia="Arial" w:hAnsi="Arial" w:cs="Arial"/>
                <w:color w:val="808080" w:themeColor="background1" w:themeShade="80"/>
                <w:sz w:val="20"/>
                <w:szCs w:val="20"/>
                <w:lang w:val="en-US"/>
              </w:rPr>
              <w:t>1</w:t>
            </w:r>
            <w:r w:rsidR="005A1BE8" w:rsidRPr="005A1BE8">
              <w:rPr>
                <w:rFonts w:ascii="Arial" w:eastAsia="Arial" w:hAnsi="Arial" w:cs="Arial"/>
                <w:color w:val="808080" w:themeColor="background1" w:themeShade="80"/>
                <w:sz w:val="20"/>
                <w:szCs w:val="20"/>
                <w:lang w:val="en-US"/>
              </w:rPr>
              <w:t>9</w:t>
            </w:r>
            <w:r w:rsidR="00671210" w:rsidRPr="005A1BE8">
              <w:rPr>
                <w:rFonts w:ascii="Arial" w:eastAsia="Arial" w:hAnsi="Arial" w:cs="Arial"/>
                <w:color w:val="808080" w:themeColor="background1" w:themeShade="80"/>
                <w:sz w:val="20"/>
                <w:szCs w:val="20"/>
                <w:vertAlign w:val="superscript"/>
                <w:lang w:val="en-US"/>
              </w:rPr>
              <w:t>th</w:t>
            </w:r>
            <w:r w:rsidR="00671210" w:rsidRPr="005A1BE8">
              <w:rPr>
                <w:rFonts w:ascii="Arial" w:eastAsia="Arial" w:hAnsi="Arial" w:cs="Arial"/>
                <w:color w:val="808080" w:themeColor="background1" w:themeShade="80"/>
                <w:sz w:val="20"/>
                <w:szCs w:val="20"/>
                <w:lang w:val="en-US"/>
              </w:rPr>
              <w:t xml:space="preserve"> </w:t>
            </w:r>
            <w:r w:rsidR="005A1BE8" w:rsidRPr="005A1BE8">
              <w:rPr>
                <w:rFonts w:ascii="Arial" w:eastAsia="Arial" w:hAnsi="Arial" w:cs="Arial"/>
                <w:color w:val="808080" w:themeColor="background1" w:themeShade="80"/>
                <w:sz w:val="20"/>
                <w:szCs w:val="20"/>
                <w:lang w:val="en-US"/>
              </w:rPr>
              <w:t>February</w:t>
            </w:r>
            <w:r w:rsidR="00671210" w:rsidRPr="005A1BE8">
              <w:rPr>
                <w:rFonts w:ascii="Arial" w:eastAsia="Arial" w:hAnsi="Arial" w:cs="Arial"/>
                <w:color w:val="808080" w:themeColor="background1" w:themeShade="80"/>
                <w:sz w:val="20"/>
                <w:szCs w:val="20"/>
                <w:lang w:val="en-US"/>
              </w:rPr>
              <w:t xml:space="preserve"> 2026</w:t>
            </w:r>
            <w:r w:rsidR="005A1BE8" w:rsidRPr="005A1BE8">
              <w:rPr>
                <w:rFonts w:ascii="Arial" w:eastAsia="Arial" w:hAnsi="Arial" w:cs="Arial"/>
                <w:color w:val="808080" w:themeColor="background1" w:themeShade="80"/>
                <w:sz w:val="20"/>
                <w:szCs w:val="20"/>
                <w:lang w:val="en-US"/>
              </w:rPr>
              <w:t xml:space="preserve"> </w:t>
            </w:r>
            <w:r w:rsidR="006B2D04">
              <w:rPr>
                <w:rFonts w:ascii="Arial" w:eastAsia="Arial" w:hAnsi="Arial" w:cs="Arial"/>
                <w:color w:val="808080" w:themeColor="background1" w:themeShade="80"/>
                <w:sz w:val="20"/>
                <w:szCs w:val="20"/>
                <w:lang w:val="en-US"/>
              </w:rPr>
              <w:t>–</w:t>
            </w:r>
            <w:r w:rsidR="005A1BE8" w:rsidRPr="005A1BE8">
              <w:rPr>
                <w:rFonts w:ascii="Arial" w:eastAsia="Arial" w:hAnsi="Arial" w:cs="Arial"/>
                <w:color w:val="808080" w:themeColor="background1" w:themeShade="80"/>
                <w:sz w:val="20"/>
                <w:szCs w:val="20"/>
                <w:lang w:val="en-US"/>
              </w:rPr>
              <w:t xml:space="preserve"> Cancelled</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535CCC96" w14:textId="03AE36FE" w:rsidR="360C4CB1" w:rsidRPr="006333CA" w:rsidRDefault="360C4CB1" w:rsidP="360C4CB1">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 xml:space="preserve">Chair: </w:t>
            </w:r>
            <w:r w:rsidR="00ED1E48" w:rsidRPr="006333CA">
              <w:rPr>
                <w:rFonts w:ascii="Arial" w:eastAsia="Arial" w:hAnsi="Arial" w:cs="Arial"/>
                <w:color w:val="808080" w:themeColor="background1" w:themeShade="80"/>
                <w:sz w:val="20"/>
                <w:szCs w:val="20"/>
                <w:lang w:val="en-US"/>
              </w:rPr>
              <w:t>Amy Lepiorz</w:t>
            </w:r>
          </w:p>
        </w:tc>
      </w:tr>
    </w:tbl>
    <w:p w14:paraId="22272E94" w14:textId="42865A50" w:rsidR="00DE649C" w:rsidRPr="006333CA" w:rsidRDefault="00DE649C" w:rsidP="360C4CB1">
      <w:pPr>
        <w:spacing w:after="0" w:line="240" w:lineRule="auto"/>
        <w:ind w:left="1440"/>
        <w:contextualSpacing/>
        <w:rPr>
          <w:rFonts w:ascii="Arial" w:eastAsia="Arial" w:hAnsi="Arial" w:cs="Arial"/>
          <w:color w:val="000000" w:themeColor="text1"/>
          <w:sz w:val="20"/>
          <w:szCs w:val="20"/>
        </w:rPr>
      </w:pPr>
    </w:p>
    <w:tbl>
      <w:tblPr>
        <w:tblStyle w:val="TableGrid"/>
        <w:tblW w:w="9597" w:type="dxa"/>
        <w:tblInd w:w="-300"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2702"/>
        <w:gridCol w:w="4394"/>
        <w:gridCol w:w="2501"/>
      </w:tblGrid>
      <w:tr w:rsidR="004979B4" w:rsidRPr="005C5112" w14:paraId="36F4BB92" w14:textId="77777777" w:rsidTr="7DD04102">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40460945" w14:textId="65157E6B" w:rsidR="360C4CB1" w:rsidRPr="006333CA" w:rsidRDefault="360C4CB1" w:rsidP="360C4CB1">
            <w:pPr>
              <w:spacing w:after="255"/>
              <w:contextualSpacing/>
              <w:rPr>
                <w:rFonts w:ascii="Arial" w:eastAsia="Arial" w:hAnsi="Arial" w:cs="Arial"/>
                <w:color w:val="FFFFFF" w:themeColor="background1"/>
                <w:sz w:val="20"/>
                <w:szCs w:val="20"/>
              </w:rPr>
            </w:pPr>
            <w:r w:rsidRPr="006333CA">
              <w:rPr>
                <w:rFonts w:ascii="Arial" w:eastAsia="Arial" w:hAnsi="Arial" w:cs="Arial"/>
                <w:b/>
                <w:smallCaps/>
                <w:color w:val="FFFFFF" w:themeColor="background1"/>
                <w:sz w:val="20"/>
                <w:szCs w:val="20"/>
              </w:rPr>
              <w:t>K</w:t>
            </w:r>
            <w:r w:rsidRPr="006333CA">
              <w:rPr>
                <w:rFonts w:ascii="Arial" w:eastAsia="Arial" w:hAnsi="Arial" w:cs="Arial"/>
                <w:b/>
                <w:color w:val="FFFFFF" w:themeColor="background1"/>
                <w:sz w:val="20"/>
                <w:szCs w:val="20"/>
              </w:rPr>
              <w:t>ey Items Discussed</w:t>
            </w:r>
          </w:p>
        </w:tc>
      </w:tr>
      <w:tr w:rsidR="004979B4" w:rsidRPr="005C5112" w14:paraId="317FCE8A" w14:textId="77777777" w:rsidTr="7DD04102">
        <w:trPr>
          <w:trHeight w:val="300"/>
        </w:trPr>
        <w:tc>
          <w:tcPr>
            <w:tcW w:w="27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41D69CD" w14:textId="1AAA2A43"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Issue</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73E5CB" w14:textId="4C54E144"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Committee Update</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A542AD4" w14:textId="5D495A69"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Action</w:t>
            </w:r>
          </w:p>
        </w:tc>
      </w:tr>
      <w:tr w:rsidR="000C3354" w:rsidRPr="005C5112" w14:paraId="557DF0A6" w14:textId="77777777" w:rsidTr="7DD04102">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FF5050"/>
            <w:tcMar>
              <w:left w:w="105" w:type="dxa"/>
              <w:right w:w="105" w:type="dxa"/>
            </w:tcMar>
          </w:tcPr>
          <w:p w14:paraId="1A95A818" w14:textId="29A7708D" w:rsidR="360C4CB1" w:rsidRPr="006333CA" w:rsidRDefault="360C4CB1" w:rsidP="360C4CB1">
            <w:pPr>
              <w:spacing w:after="255"/>
              <w:contextualSpacing/>
              <w:rPr>
                <w:rFonts w:ascii="Arial" w:eastAsia="Arial" w:hAnsi="Arial" w:cs="Arial"/>
                <w:color w:val="FFFFFF" w:themeColor="background1"/>
                <w:sz w:val="20"/>
                <w:szCs w:val="20"/>
              </w:rPr>
            </w:pPr>
            <w:r w:rsidRPr="006333CA">
              <w:rPr>
                <w:rFonts w:ascii="Arial" w:eastAsia="Arial" w:hAnsi="Arial" w:cs="Arial"/>
                <w:b/>
                <w:color w:val="FFFFFF" w:themeColor="background1"/>
                <w:sz w:val="20"/>
                <w:szCs w:val="20"/>
              </w:rPr>
              <w:t xml:space="preserve">Alert </w:t>
            </w:r>
          </w:p>
        </w:tc>
      </w:tr>
      <w:tr w:rsidR="000C3354" w:rsidRPr="005C5112" w14:paraId="0DC86FD4" w14:textId="77777777" w:rsidTr="7DD04102">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677E2C35" w14:textId="5DD1544B" w:rsidR="360C4CB1" w:rsidRPr="006333CA" w:rsidRDefault="360C4CB1" w:rsidP="360C4CB1">
            <w:pPr>
              <w:spacing w:after="255"/>
              <w:contextualSpacing/>
              <w:rPr>
                <w:rFonts w:ascii="Arial" w:eastAsia="Arial" w:hAnsi="Arial" w:cs="Arial"/>
                <w:sz w:val="20"/>
                <w:szCs w:val="20"/>
              </w:rPr>
            </w:pP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24BE4859" w14:textId="1393095A" w:rsidR="360C4CB1" w:rsidRPr="006333CA" w:rsidRDefault="00A62347" w:rsidP="003A44DD">
            <w:pPr>
              <w:spacing w:after="255"/>
              <w:contextualSpacing/>
              <w:jc w:val="center"/>
              <w:rPr>
                <w:rFonts w:ascii="Arial" w:eastAsia="Arial" w:hAnsi="Arial" w:cs="Arial"/>
                <w:b/>
                <w:sz w:val="20"/>
                <w:szCs w:val="20"/>
              </w:rPr>
            </w:pPr>
            <w:r w:rsidRPr="006333CA">
              <w:rPr>
                <w:rFonts w:ascii="Arial" w:eastAsia="Arial" w:hAnsi="Arial" w:cs="Arial"/>
                <w:b/>
                <w:sz w:val="20"/>
                <w:szCs w:val="20"/>
              </w:rPr>
              <w:t>Nothing to Escalate</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5EA4C008" w14:textId="708771C4" w:rsidR="360C4CB1" w:rsidRPr="006333CA" w:rsidRDefault="360C4CB1" w:rsidP="360C4CB1">
            <w:pPr>
              <w:spacing w:after="255"/>
              <w:contextualSpacing/>
              <w:rPr>
                <w:rFonts w:ascii="Arial" w:eastAsia="Arial" w:hAnsi="Arial" w:cs="Arial"/>
                <w:sz w:val="20"/>
                <w:szCs w:val="20"/>
              </w:rPr>
            </w:pPr>
          </w:p>
        </w:tc>
      </w:tr>
      <w:tr w:rsidR="000C3354" w:rsidRPr="005C5112" w14:paraId="061A10BE" w14:textId="77777777" w:rsidTr="7DD04102">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1DB91260" w14:textId="78B9F622" w:rsidR="360C4CB1" w:rsidRPr="006333CA" w:rsidRDefault="360C4CB1" w:rsidP="360C4CB1">
            <w:pPr>
              <w:spacing w:after="255"/>
              <w:contextualSpacing/>
              <w:rPr>
                <w:rFonts w:ascii="Arial" w:eastAsia="Arial" w:hAnsi="Arial" w:cs="Arial"/>
                <w:color w:val="000000" w:themeColor="text1"/>
                <w:sz w:val="20"/>
                <w:szCs w:val="20"/>
              </w:rPr>
            </w:pPr>
            <w:r w:rsidRPr="006333CA">
              <w:rPr>
                <w:rFonts w:ascii="Arial" w:eastAsia="Arial" w:hAnsi="Arial" w:cs="Arial"/>
                <w:b/>
                <w:color w:val="000000" w:themeColor="text1"/>
                <w:sz w:val="20"/>
                <w:szCs w:val="20"/>
              </w:rPr>
              <w:t xml:space="preserve">Advise </w:t>
            </w:r>
          </w:p>
        </w:tc>
      </w:tr>
      <w:tr w:rsidR="000C3354" w:rsidRPr="005C5112" w14:paraId="306C9978" w14:textId="77777777" w:rsidTr="7DD04102">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4689DD59" w14:textId="42570507" w:rsidR="360C4CB1" w:rsidRPr="006333CA" w:rsidRDefault="360C4CB1" w:rsidP="360C4CB1">
            <w:pPr>
              <w:rPr>
                <w:rFonts w:ascii="Arial" w:eastAsia="Arial" w:hAnsi="Arial" w:cs="Arial"/>
                <w:color w:val="000000" w:themeColor="text1"/>
                <w:sz w:val="20"/>
                <w:szCs w:val="20"/>
              </w:rPr>
            </w:pP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7C40ACC0" w14:textId="5BC67752" w:rsidR="360C4CB1" w:rsidRPr="006333CA" w:rsidRDefault="005A1BE8" w:rsidP="005A1BE8">
            <w:pPr>
              <w:widowControl w:val="0"/>
              <w:jc w:val="center"/>
              <w:rPr>
                <w:rFonts w:ascii="Arial" w:eastAsia="Arial" w:hAnsi="Arial" w:cs="Arial"/>
                <w:color w:val="000000" w:themeColor="text1"/>
                <w:sz w:val="20"/>
                <w:szCs w:val="20"/>
              </w:rPr>
            </w:pPr>
            <w:r w:rsidRPr="006333CA">
              <w:rPr>
                <w:rFonts w:ascii="Arial" w:eastAsia="Arial" w:hAnsi="Arial" w:cs="Arial"/>
                <w:b/>
                <w:sz w:val="20"/>
                <w:szCs w:val="20"/>
              </w:rPr>
              <w:t>Nothing to Escalate</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0B454EE2" w14:textId="1FF4D0DB" w:rsidR="360C4CB1" w:rsidRPr="006333CA" w:rsidRDefault="360C4CB1" w:rsidP="00A441AB">
            <w:pPr>
              <w:spacing w:after="255"/>
              <w:rPr>
                <w:rFonts w:ascii="Arial" w:eastAsia="Arial" w:hAnsi="Arial" w:cs="Arial"/>
                <w:sz w:val="20"/>
                <w:szCs w:val="20"/>
              </w:rPr>
            </w:pPr>
          </w:p>
        </w:tc>
      </w:tr>
      <w:tr w:rsidR="000C3354" w:rsidRPr="005C5112" w14:paraId="40627EEC" w14:textId="77777777" w:rsidTr="7DD04102">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489E315F" w14:textId="52D031B6"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 xml:space="preserve">Assure </w:t>
            </w:r>
          </w:p>
        </w:tc>
      </w:tr>
      <w:tr w:rsidR="00942F55" w:rsidRPr="005C5112" w14:paraId="4E4DDCCB" w14:textId="77777777" w:rsidTr="7DD04102">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3CDD2C6B" w14:textId="2862808E" w:rsidR="00942F55" w:rsidRPr="006333CA" w:rsidRDefault="00942F55" w:rsidP="00942F55">
            <w:pPr>
              <w:spacing w:after="255"/>
              <w:contextualSpacing/>
              <w:rPr>
                <w:rFonts w:ascii="Arial" w:eastAsia="Times New Roman" w:hAnsi="Arial" w:cs="Arial"/>
                <w:sz w:val="20"/>
                <w:szCs w:val="20"/>
                <w:lang w:eastAsia="en-GB"/>
              </w:rPr>
            </w:pP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0BFDC816" w14:textId="67DC62AC" w:rsidR="00942F55" w:rsidRPr="006333CA" w:rsidRDefault="005A1BE8" w:rsidP="005A1BE8">
            <w:pPr>
              <w:jc w:val="center"/>
              <w:rPr>
                <w:rFonts w:ascii="Arial" w:eastAsia="Times New Roman" w:hAnsi="Arial" w:cs="Arial"/>
                <w:sz w:val="20"/>
                <w:szCs w:val="20"/>
                <w:lang w:eastAsia="en-GB"/>
              </w:rPr>
            </w:pPr>
            <w:r w:rsidRPr="006333CA">
              <w:rPr>
                <w:rFonts w:ascii="Arial" w:eastAsia="Arial" w:hAnsi="Arial" w:cs="Arial"/>
                <w:b/>
                <w:sz w:val="20"/>
                <w:szCs w:val="20"/>
              </w:rPr>
              <w:t>Nothing to Escalate</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21F1A4D9" w14:textId="77777777" w:rsidR="00942F55" w:rsidRPr="006333CA" w:rsidRDefault="00942F55" w:rsidP="00942F55">
            <w:pPr>
              <w:spacing w:after="255"/>
              <w:rPr>
                <w:rFonts w:ascii="Arial" w:eastAsia="Arial" w:hAnsi="Arial" w:cs="Arial"/>
                <w:sz w:val="20"/>
                <w:szCs w:val="20"/>
              </w:rPr>
            </w:pPr>
          </w:p>
        </w:tc>
      </w:tr>
    </w:tbl>
    <w:p w14:paraId="52D18A59" w14:textId="112FF508" w:rsidR="7DD04102" w:rsidRPr="006333CA" w:rsidRDefault="7DD04102">
      <w:pPr>
        <w:rPr>
          <w:rFonts w:ascii="Arial" w:hAnsi="Arial" w:cs="Arial"/>
          <w:sz w:val="20"/>
          <w:szCs w:val="20"/>
        </w:rPr>
      </w:pPr>
    </w:p>
    <w:p w14:paraId="642F68C9" w14:textId="0453857F" w:rsidR="00DE649C" w:rsidRPr="006333CA" w:rsidRDefault="00DE649C" w:rsidP="360C4CB1">
      <w:pPr>
        <w:spacing w:after="0" w:line="240" w:lineRule="auto"/>
        <w:rPr>
          <w:rFonts w:ascii="Arial" w:eastAsia="Arial" w:hAnsi="Arial" w:cs="Arial"/>
          <w:color w:val="000000" w:themeColor="text1"/>
          <w:sz w:val="20"/>
          <w:szCs w:val="20"/>
        </w:rPr>
      </w:pPr>
    </w:p>
    <w:p w14:paraId="4CCF5AD8" w14:textId="0E0E8E52" w:rsidR="00DE649C" w:rsidRPr="006333CA" w:rsidRDefault="40471C97" w:rsidP="360C4CB1">
      <w:pPr>
        <w:pStyle w:val="ListParagraph"/>
        <w:numPr>
          <w:ilvl w:val="0"/>
          <w:numId w:val="5"/>
        </w:numPr>
        <w:ind w:left="567" w:hanging="567"/>
        <w:rPr>
          <w:rFonts w:eastAsia="Arial" w:cs="Arial"/>
          <w:color w:val="000000" w:themeColor="text1"/>
          <w:sz w:val="20"/>
          <w:szCs w:val="20"/>
        </w:rPr>
      </w:pPr>
      <w:r w:rsidRPr="006333CA">
        <w:rPr>
          <w:rFonts w:eastAsia="Arial" w:cs="Arial"/>
          <w:b/>
          <w:color w:val="000000" w:themeColor="text1"/>
          <w:sz w:val="20"/>
          <w:szCs w:val="20"/>
          <w:lang w:val="en-US"/>
        </w:rPr>
        <w:t>Summary of items or issues referred to other committees or the Board over the reporting period.</w:t>
      </w:r>
    </w:p>
    <w:p w14:paraId="4FFF8C2C" w14:textId="557482BE" w:rsidR="00DE649C" w:rsidRPr="006333CA" w:rsidRDefault="00DE649C" w:rsidP="360C4CB1">
      <w:pPr>
        <w:spacing w:after="0" w:line="240" w:lineRule="auto"/>
        <w:rPr>
          <w:rFonts w:ascii="Arial" w:eastAsia="Arial" w:hAnsi="Arial" w:cs="Arial"/>
          <w:color w:val="000000" w:themeColor="text1"/>
          <w:sz w:val="20"/>
          <w:szCs w:val="20"/>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4365"/>
        <w:gridCol w:w="2850"/>
      </w:tblGrid>
      <w:tr w:rsidR="004979B4" w:rsidRPr="005C5112" w14:paraId="61F7B90A" w14:textId="77777777" w:rsidTr="360C4CB1">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B2A1C7" w:themeFill="accent4" w:themeFillTint="99"/>
            <w:tcMar>
              <w:left w:w="105" w:type="dxa"/>
              <w:right w:w="105" w:type="dxa"/>
            </w:tcMar>
          </w:tcPr>
          <w:p w14:paraId="173F3EE3" w14:textId="61437A50"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Committee and Date</w:t>
            </w:r>
          </w:p>
        </w:tc>
        <w:tc>
          <w:tcPr>
            <w:tcW w:w="4365" w:type="dxa"/>
            <w:tcBorders>
              <w:top w:val="single" w:sz="6" w:space="0" w:color="auto"/>
              <w:left w:val="single" w:sz="6" w:space="0" w:color="auto"/>
              <w:bottom w:val="single" w:sz="6" w:space="0" w:color="auto"/>
              <w:right w:val="single" w:sz="6" w:space="0" w:color="auto"/>
            </w:tcBorders>
            <w:shd w:val="clear" w:color="auto" w:fill="B2A1C7" w:themeFill="accent4" w:themeFillTint="99"/>
            <w:tcMar>
              <w:left w:w="105" w:type="dxa"/>
              <w:right w:w="105" w:type="dxa"/>
            </w:tcMar>
          </w:tcPr>
          <w:p w14:paraId="30D16C49" w14:textId="49D8BBA7"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Item or Issue</w:t>
            </w:r>
          </w:p>
        </w:tc>
        <w:tc>
          <w:tcPr>
            <w:tcW w:w="2850" w:type="dxa"/>
            <w:tcBorders>
              <w:top w:val="single" w:sz="6" w:space="0" w:color="auto"/>
              <w:left w:val="single" w:sz="6" w:space="0" w:color="auto"/>
              <w:bottom w:val="single" w:sz="6" w:space="0" w:color="auto"/>
              <w:right w:val="single" w:sz="6" w:space="0" w:color="auto"/>
            </w:tcBorders>
            <w:shd w:val="clear" w:color="auto" w:fill="B2A1C7" w:themeFill="accent4" w:themeFillTint="99"/>
            <w:tcMar>
              <w:left w:w="105" w:type="dxa"/>
              <w:right w:w="105" w:type="dxa"/>
            </w:tcMar>
          </w:tcPr>
          <w:p w14:paraId="7D3C4FDB" w14:textId="15275C59" w:rsidR="360C4CB1" w:rsidRPr="006333CA" w:rsidRDefault="360C4CB1" w:rsidP="360C4CB1">
            <w:pPr>
              <w:spacing w:after="255"/>
              <w:contextualSpacing/>
              <w:rPr>
                <w:rFonts w:ascii="Arial" w:eastAsia="Arial" w:hAnsi="Arial" w:cs="Arial"/>
                <w:sz w:val="20"/>
                <w:szCs w:val="20"/>
              </w:rPr>
            </w:pPr>
            <w:r w:rsidRPr="006333CA">
              <w:rPr>
                <w:rFonts w:ascii="Arial" w:eastAsia="Arial" w:hAnsi="Arial" w:cs="Arial"/>
                <w:b/>
                <w:sz w:val="20"/>
                <w:szCs w:val="20"/>
              </w:rPr>
              <w:t>Referred to</w:t>
            </w:r>
          </w:p>
        </w:tc>
      </w:tr>
      <w:tr w:rsidR="004979B4" w:rsidRPr="005C5112" w14:paraId="3DC27113" w14:textId="77777777" w:rsidTr="360C4CB1">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D2988C7" w14:textId="51BBD51A" w:rsidR="360C4CB1" w:rsidRPr="006333CA" w:rsidRDefault="360C4CB1" w:rsidP="360C4CB1">
            <w:pPr>
              <w:spacing w:after="255"/>
              <w:contextualSpacing/>
              <w:rPr>
                <w:rFonts w:ascii="Arial" w:eastAsia="Arial" w:hAnsi="Arial" w:cs="Arial"/>
                <w:sz w:val="20"/>
                <w:szCs w:val="20"/>
              </w:rPr>
            </w:pP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033B921" w14:textId="6CB07D45" w:rsidR="360C4CB1" w:rsidRPr="006333CA" w:rsidRDefault="360C4CB1" w:rsidP="360C4CB1">
            <w:pPr>
              <w:spacing w:after="255"/>
              <w:contextualSpacing/>
              <w:rPr>
                <w:rFonts w:ascii="Arial" w:eastAsia="Arial" w:hAnsi="Arial" w:cs="Arial"/>
                <w:sz w:val="20"/>
                <w:szCs w:val="20"/>
              </w:rPr>
            </w:pPr>
          </w:p>
        </w:tc>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7BEB337" w14:textId="4A519E8A" w:rsidR="360C4CB1" w:rsidRPr="006333CA" w:rsidRDefault="360C4CB1" w:rsidP="360C4CB1">
            <w:pPr>
              <w:spacing w:after="255"/>
              <w:contextualSpacing/>
              <w:rPr>
                <w:rFonts w:ascii="Arial" w:eastAsia="Arial" w:hAnsi="Arial" w:cs="Arial"/>
                <w:sz w:val="20"/>
                <w:szCs w:val="20"/>
              </w:rPr>
            </w:pPr>
          </w:p>
        </w:tc>
      </w:tr>
    </w:tbl>
    <w:p w14:paraId="4245962F" w14:textId="2D8BC83A" w:rsidR="00DE649C" w:rsidRPr="006333CA" w:rsidRDefault="00DE649C" w:rsidP="360C4CB1">
      <w:pPr>
        <w:spacing w:after="0" w:line="240" w:lineRule="auto"/>
        <w:rPr>
          <w:rFonts w:ascii="Arial" w:eastAsia="Arial" w:hAnsi="Arial" w:cs="Arial"/>
          <w:color w:val="000000" w:themeColor="text1"/>
          <w:sz w:val="20"/>
          <w:szCs w:val="20"/>
        </w:rPr>
      </w:pPr>
    </w:p>
    <w:p w14:paraId="6245F92D" w14:textId="2245516E" w:rsidR="00DE649C" w:rsidRPr="006333CA" w:rsidRDefault="00DE649C" w:rsidP="360C4CB1">
      <w:pPr>
        <w:spacing w:after="0" w:line="240" w:lineRule="auto"/>
        <w:rPr>
          <w:rFonts w:ascii="Arial" w:eastAsia="Arial" w:hAnsi="Arial" w:cs="Arial"/>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22"/>
        <w:gridCol w:w="1853"/>
        <w:gridCol w:w="2640"/>
      </w:tblGrid>
      <w:tr w:rsidR="360C4CB1" w:rsidRPr="005C5112" w14:paraId="08B86CFE" w14:textId="77777777" w:rsidTr="56B6BC62">
        <w:trPr>
          <w:trHeight w:val="300"/>
        </w:trPr>
        <w:tc>
          <w:tcPr>
            <w:tcW w:w="4522" w:type="dxa"/>
            <w:tcMar>
              <w:left w:w="105" w:type="dxa"/>
              <w:right w:w="105" w:type="dxa"/>
            </w:tcMar>
          </w:tcPr>
          <w:p w14:paraId="7330D832" w14:textId="7EDDB3EC" w:rsidR="360C4CB1" w:rsidRPr="006333CA" w:rsidRDefault="360C4CB1" w:rsidP="00EC5BAC">
            <w:pPr>
              <w:pStyle w:val="Heading1"/>
              <w:spacing w:before="120"/>
              <w:jc w:val="both"/>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Committee: Pharmaceutical Services Group</w:t>
            </w:r>
          </w:p>
        </w:tc>
        <w:tc>
          <w:tcPr>
            <w:tcW w:w="1853" w:type="dxa"/>
            <w:tcMar>
              <w:left w:w="105" w:type="dxa"/>
              <w:right w:w="105" w:type="dxa"/>
            </w:tcMar>
          </w:tcPr>
          <w:p w14:paraId="71DA4512" w14:textId="00DC65C3" w:rsidR="360C4CB1" w:rsidRPr="006333CA" w:rsidRDefault="360C4CB1" w:rsidP="56B6BC62">
            <w:pPr>
              <w:pStyle w:val="Heading1"/>
              <w:spacing w:before="120"/>
              <w:rPr>
                <w:rFonts w:ascii="Arial" w:eastAsia="Arial" w:hAnsi="Arial" w:cs="Arial"/>
                <w:color w:val="808080" w:themeColor="background1" w:themeShade="80"/>
                <w:sz w:val="20"/>
                <w:szCs w:val="20"/>
                <w:lang w:val="en-US"/>
              </w:rPr>
            </w:pPr>
            <w:r w:rsidRPr="006333CA">
              <w:rPr>
                <w:rFonts w:ascii="Arial" w:eastAsia="Arial" w:hAnsi="Arial" w:cs="Arial"/>
                <w:color w:val="808080" w:themeColor="background1" w:themeShade="80"/>
                <w:sz w:val="20"/>
                <w:szCs w:val="20"/>
                <w:lang w:val="en-US"/>
              </w:rPr>
              <w:t>Date</w:t>
            </w:r>
            <w:r w:rsidR="002B2447" w:rsidRPr="006333CA">
              <w:rPr>
                <w:rFonts w:ascii="Arial" w:eastAsia="Arial" w:hAnsi="Arial" w:cs="Arial"/>
                <w:color w:val="808080" w:themeColor="background1" w:themeShade="80"/>
                <w:sz w:val="20"/>
                <w:szCs w:val="20"/>
                <w:lang w:val="en-US"/>
              </w:rPr>
              <w:t xml:space="preserve"> </w:t>
            </w:r>
            <w:r w:rsidR="001A7B59" w:rsidRPr="006333CA">
              <w:rPr>
                <w:rFonts w:ascii="Arial" w:eastAsia="Arial" w:hAnsi="Arial" w:cs="Arial"/>
                <w:color w:val="808080" w:themeColor="background1" w:themeShade="80"/>
                <w:sz w:val="20"/>
                <w:szCs w:val="20"/>
                <w:lang w:val="en-US"/>
              </w:rPr>
              <w:t>18</w:t>
            </w:r>
            <w:r w:rsidR="001A7B59" w:rsidRPr="006333CA">
              <w:rPr>
                <w:rFonts w:ascii="Arial" w:eastAsia="Arial" w:hAnsi="Arial" w:cs="Arial"/>
                <w:color w:val="808080" w:themeColor="background1" w:themeShade="80"/>
                <w:sz w:val="20"/>
                <w:szCs w:val="20"/>
                <w:vertAlign w:val="superscript"/>
                <w:lang w:val="en-US"/>
              </w:rPr>
              <w:t>th</w:t>
            </w:r>
            <w:r w:rsidR="001A7B59" w:rsidRPr="006333CA">
              <w:rPr>
                <w:rFonts w:ascii="Arial" w:eastAsia="Arial" w:hAnsi="Arial" w:cs="Arial"/>
                <w:color w:val="808080" w:themeColor="background1" w:themeShade="80"/>
                <w:sz w:val="20"/>
                <w:szCs w:val="20"/>
                <w:lang w:val="en-US"/>
              </w:rPr>
              <w:t xml:space="preserve"> February </w:t>
            </w:r>
            <w:r w:rsidR="00D25B3E" w:rsidRPr="006333CA">
              <w:rPr>
                <w:rFonts w:ascii="Arial" w:eastAsia="Arial" w:hAnsi="Arial" w:cs="Arial"/>
                <w:color w:val="808080" w:themeColor="background1" w:themeShade="80"/>
                <w:sz w:val="20"/>
                <w:szCs w:val="20"/>
                <w:lang w:val="en-US"/>
              </w:rPr>
              <w:t>2026</w:t>
            </w:r>
          </w:p>
        </w:tc>
        <w:tc>
          <w:tcPr>
            <w:tcW w:w="2640" w:type="dxa"/>
            <w:tcMar>
              <w:left w:w="105" w:type="dxa"/>
              <w:right w:w="105" w:type="dxa"/>
            </w:tcMar>
          </w:tcPr>
          <w:p w14:paraId="4EC8A082" w14:textId="01839283" w:rsidR="360C4CB1" w:rsidRPr="006333CA" w:rsidRDefault="360C4CB1" w:rsidP="360C4CB1">
            <w:pPr>
              <w:pStyle w:val="Heading1"/>
              <w:spacing w:before="120"/>
              <w:rPr>
                <w:rFonts w:ascii="Arial" w:eastAsia="Arial" w:hAnsi="Arial" w:cs="Arial"/>
                <w:color w:val="808080" w:themeColor="background1" w:themeShade="80"/>
                <w:sz w:val="20"/>
                <w:szCs w:val="20"/>
                <w:lang w:val="en-US"/>
              </w:rPr>
            </w:pPr>
            <w:r w:rsidRPr="006333CA">
              <w:rPr>
                <w:rFonts w:ascii="Arial" w:eastAsia="Arial" w:hAnsi="Arial" w:cs="Arial"/>
                <w:color w:val="808080" w:themeColor="background1" w:themeShade="80"/>
                <w:sz w:val="20"/>
                <w:szCs w:val="20"/>
                <w:lang w:val="en-US"/>
              </w:rPr>
              <w:t xml:space="preserve">Chair: </w:t>
            </w:r>
            <w:r w:rsidR="00820DCE" w:rsidRPr="006333CA">
              <w:rPr>
                <w:rFonts w:ascii="Arial" w:eastAsia="Arial" w:hAnsi="Arial" w:cs="Arial"/>
                <w:color w:val="808080" w:themeColor="background1" w:themeShade="80"/>
                <w:sz w:val="20"/>
                <w:szCs w:val="20"/>
                <w:lang w:val="en-US"/>
              </w:rPr>
              <w:t xml:space="preserve">Amy </w:t>
            </w:r>
            <w:r w:rsidR="189F8DE8" w:rsidRPr="006333CA">
              <w:rPr>
                <w:rFonts w:ascii="Arial" w:eastAsia="Arial" w:hAnsi="Arial" w:cs="Arial"/>
                <w:color w:val="808080" w:themeColor="background1" w:themeShade="80"/>
                <w:sz w:val="20"/>
                <w:szCs w:val="20"/>
                <w:lang w:val="en-US"/>
              </w:rPr>
              <w:t>Lep</w:t>
            </w:r>
            <w:r w:rsidR="0634EBC5" w:rsidRPr="006333CA">
              <w:rPr>
                <w:rFonts w:ascii="Arial" w:eastAsia="Arial" w:hAnsi="Arial" w:cs="Arial"/>
                <w:color w:val="808080" w:themeColor="background1" w:themeShade="80"/>
                <w:sz w:val="20"/>
                <w:szCs w:val="20"/>
                <w:lang w:val="en-US"/>
              </w:rPr>
              <w:t>ior</w:t>
            </w:r>
            <w:r w:rsidR="189F8DE8" w:rsidRPr="006333CA">
              <w:rPr>
                <w:rFonts w:ascii="Arial" w:eastAsia="Arial" w:hAnsi="Arial" w:cs="Arial"/>
                <w:color w:val="808080" w:themeColor="background1" w:themeShade="80"/>
                <w:sz w:val="20"/>
                <w:szCs w:val="20"/>
                <w:lang w:val="en-US"/>
              </w:rPr>
              <w:t>z</w:t>
            </w:r>
          </w:p>
        </w:tc>
      </w:tr>
    </w:tbl>
    <w:p w14:paraId="6FCA3C5A" w14:textId="285F3A26" w:rsidR="00DE649C" w:rsidRPr="006333CA" w:rsidRDefault="00DE649C" w:rsidP="360C4CB1">
      <w:pPr>
        <w:spacing w:after="0" w:line="240" w:lineRule="auto"/>
        <w:ind w:left="1440"/>
        <w:contextualSpacing/>
        <w:rPr>
          <w:rFonts w:ascii="Arial" w:eastAsia="Arial" w:hAnsi="Arial" w:cs="Arial"/>
          <w:color w:val="000000" w:themeColor="text1"/>
          <w:sz w:val="20"/>
          <w:szCs w:val="2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360C4CB1" w:rsidRPr="005C5112" w14:paraId="48639DBA" w14:textId="77777777" w:rsidTr="7DD04102">
        <w:trPr>
          <w:trHeight w:val="300"/>
        </w:trPr>
        <w:tc>
          <w:tcPr>
            <w:tcW w:w="9015" w:type="dxa"/>
            <w:gridSpan w:val="3"/>
            <w:shd w:val="clear" w:color="auto" w:fill="0070C0"/>
            <w:tcMar>
              <w:left w:w="105" w:type="dxa"/>
              <w:right w:w="105" w:type="dxa"/>
            </w:tcMar>
            <w:vAlign w:val="center"/>
          </w:tcPr>
          <w:p w14:paraId="14A1E8BF" w14:textId="538F2E93" w:rsidR="360C4CB1" w:rsidRPr="006333CA" w:rsidRDefault="360C4CB1" w:rsidP="360C4CB1">
            <w:pPr>
              <w:contextualSpacing/>
              <w:rPr>
                <w:rFonts w:ascii="Arial" w:eastAsia="Arial" w:hAnsi="Arial" w:cs="Arial"/>
                <w:color w:val="FFFFFF" w:themeColor="background1"/>
                <w:sz w:val="20"/>
                <w:szCs w:val="20"/>
              </w:rPr>
            </w:pPr>
            <w:r w:rsidRPr="006333CA">
              <w:rPr>
                <w:rFonts w:ascii="Arial" w:eastAsia="Arial" w:hAnsi="Arial" w:cs="Arial"/>
                <w:b/>
                <w:smallCaps/>
                <w:color w:val="FFFFFF" w:themeColor="background1"/>
                <w:sz w:val="20"/>
                <w:szCs w:val="20"/>
              </w:rPr>
              <w:t>K</w:t>
            </w:r>
            <w:r w:rsidRPr="006333CA">
              <w:rPr>
                <w:rFonts w:ascii="Arial" w:eastAsia="Arial" w:hAnsi="Arial" w:cs="Arial"/>
                <w:b/>
                <w:color w:val="FFFFFF" w:themeColor="background1"/>
                <w:sz w:val="20"/>
                <w:szCs w:val="20"/>
              </w:rPr>
              <w:t>ey Items Discussed</w:t>
            </w:r>
          </w:p>
        </w:tc>
      </w:tr>
      <w:tr w:rsidR="360C4CB1" w:rsidRPr="005C5112" w14:paraId="28C5C092" w14:textId="77777777" w:rsidTr="7DD04102">
        <w:trPr>
          <w:trHeight w:val="300"/>
        </w:trPr>
        <w:tc>
          <w:tcPr>
            <w:tcW w:w="3005" w:type="dxa"/>
            <w:shd w:val="clear" w:color="auto" w:fill="FFFFFF" w:themeFill="background1"/>
            <w:tcMar>
              <w:left w:w="105" w:type="dxa"/>
              <w:right w:w="105" w:type="dxa"/>
            </w:tcMar>
          </w:tcPr>
          <w:p w14:paraId="37FFE1CA" w14:textId="35F4721F" w:rsidR="360C4CB1" w:rsidRPr="006333CA" w:rsidRDefault="360C4CB1" w:rsidP="00BE47FF">
            <w:pPr>
              <w:contextualSpacing/>
              <w:jc w:val="center"/>
              <w:rPr>
                <w:rFonts w:ascii="Arial" w:eastAsia="Arial" w:hAnsi="Arial" w:cs="Arial"/>
                <w:sz w:val="20"/>
                <w:szCs w:val="20"/>
              </w:rPr>
            </w:pPr>
            <w:r w:rsidRPr="006333CA">
              <w:rPr>
                <w:rFonts w:ascii="Arial" w:eastAsia="Arial" w:hAnsi="Arial" w:cs="Arial"/>
                <w:b/>
                <w:sz w:val="20"/>
                <w:szCs w:val="20"/>
              </w:rPr>
              <w:t>Issue</w:t>
            </w:r>
          </w:p>
        </w:tc>
        <w:tc>
          <w:tcPr>
            <w:tcW w:w="3005" w:type="dxa"/>
            <w:shd w:val="clear" w:color="auto" w:fill="FFFFFF" w:themeFill="background1"/>
            <w:tcMar>
              <w:left w:w="105" w:type="dxa"/>
              <w:right w:w="105" w:type="dxa"/>
            </w:tcMar>
          </w:tcPr>
          <w:p w14:paraId="053EAC7E" w14:textId="0046AB7E" w:rsidR="360C4CB1" w:rsidRPr="006333CA" w:rsidRDefault="360C4CB1" w:rsidP="00BE47FF">
            <w:pPr>
              <w:contextualSpacing/>
              <w:jc w:val="center"/>
              <w:rPr>
                <w:rFonts w:ascii="Arial" w:eastAsia="Arial" w:hAnsi="Arial" w:cs="Arial"/>
                <w:sz w:val="20"/>
                <w:szCs w:val="20"/>
              </w:rPr>
            </w:pPr>
            <w:r w:rsidRPr="006333CA">
              <w:rPr>
                <w:rFonts w:ascii="Arial" w:eastAsia="Arial" w:hAnsi="Arial" w:cs="Arial"/>
                <w:b/>
                <w:sz w:val="20"/>
                <w:szCs w:val="20"/>
              </w:rPr>
              <w:t>Committee Update</w:t>
            </w:r>
          </w:p>
        </w:tc>
        <w:tc>
          <w:tcPr>
            <w:tcW w:w="3005" w:type="dxa"/>
            <w:shd w:val="clear" w:color="auto" w:fill="FFFFFF" w:themeFill="background1"/>
            <w:tcMar>
              <w:left w:w="105" w:type="dxa"/>
              <w:right w:w="105" w:type="dxa"/>
            </w:tcMar>
          </w:tcPr>
          <w:p w14:paraId="7BF78320" w14:textId="474F0C19" w:rsidR="360C4CB1" w:rsidRPr="006333CA" w:rsidRDefault="360C4CB1" w:rsidP="00BE47FF">
            <w:pPr>
              <w:contextualSpacing/>
              <w:jc w:val="center"/>
              <w:rPr>
                <w:rFonts w:ascii="Arial" w:eastAsia="Arial" w:hAnsi="Arial" w:cs="Arial"/>
                <w:sz w:val="20"/>
                <w:szCs w:val="20"/>
              </w:rPr>
            </w:pPr>
            <w:r w:rsidRPr="006333CA">
              <w:rPr>
                <w:rFonts w:ascii="Arial" w:eastAsia="Arial" w:hAnsi="Arial" w:cs="Arial"/>
                <w:b/>
                <w:sz w:val="20"/>
                <w:szCs w:val="20"/>
              </w:rPr>
              <w:t>Action</w:t>
            </w:r>
          </w:p>
        </w:tc>
      </w:tr>
      <w:tr w:rsidR="360C4CB1" w:rsidRPr="005C5112" w14:paraId="48181851" w14:textId="77777777" w:rsidTr="7DD04102">
        <w:trPr>
          <w:trHeight w:val="300"/>
        </w:trPr>
        <w:tc>
          <w:tcPr>
            <w:tcW w:w="9015" w:type="dxa"/>
            <w:gridSpan w:val="3"/>
            <w:shd w:val="clear" w:color="auto" w:fill="FF5050"/>
            <w:tcMar>
              <w:left w:w="105" w:type="dxa"/>
              <w:right w:w="105" w:type="dxa"/>
            </w:tcMar>
          </w:tcPr>
          <w:p w14:paraId="35D5981C" w14:textId="2552831D" w:rsidR="360C4CB1" w:rsidRPr="006333CA" w:rsidRDefault="360C4CB1" w:rsidP="360C4CB1">
            <w:pPr>
              <w:contextualSpacing/>
              <w:rPr>
                <w:rFonts w:ascii="Arial" w:eastAsia="Arial" w:hAnsi="Arial" w:cs="Arial"/>
                <w:color w:val="FFFFFF" w:themeColor="background1"/>
                <w:sz w:val="20"/>
                <w:szCs w:val="20"/>
              </w:rPr>
            </w:pPr>
            <w:r w:rsidRPr="006333CA">
              <w:rPr>
                <w:rFonts w:ascii="Arial" w:eastAsia="Arial" w:hAnsi="Arial" w:cs="Arial"/>
                <w:b/>
                <w:color w:val="FFFFFF" w:themeColor="background1"/>
                <w:sz w:val="20"/>
                <w:szCs w:val="20"/>
              </w:rPr>
              <w:t xml:space="preserve">Alert </w:t>
            </w:r>
          </w:p>
        </w:tc>
      </w:tr>
      <w:tr w:rsidR="360C4CB1" w:rsidRPr="005C5112" w14:paraId="24A22689" w14:textId="77777777" w:rsidTr="7DD04102">
        <w:trPr>
          <w:trHeight w:val="300"/>
        </w:trPr>
        <w:tc>
          <w:tcPr>
            <w:tcW w:w="3005" w:type="dxa"/>
            <w:tcMar>
              <w:left w:w="105" w:type="dxa"/>
              <w:right w:w="105" w:type="dxa"/>
            </w:tcMar>
          </w:tcPr>
          <w:p w14:paraId="2163D7EA" w14:textId="47A7C8B3" w:rsidR="360C4CB1" w:rsidRPr="006333CA" w:rsidRDefault="360C4CB1" w:rsidP="39EC83F0">
            <w:pPr>
              <w:contextualSpacing/>
              <w:rPr>
                <w:rFonts w:ascii="Arial" w:eastAsia="Arial" w:hAnsi="Arial" w:cs="Arial"/>
                <w:b/>
                <w:sz w:val="20"/>
                <w:szCs w:val="20"/>
              </w:rPr>
            </w:pPr>
          </w:p>
        </w:tc>
        <w:tc>
          <w:tcPr>
            <w:tcW w:w="3005" w:type="dxa"/>
            <w:tcMar>
              <w:left w:w="105" w:type="dxa"/>
              <w:right w:w="105" w:type="dxa"/>
            </w:tcMar>
          </w:tcPr>
          <w:p w14:paraId="3F58D4D9" w14:textId="7AA351DC" w:rsidR="360C4CB1" w:rsidRPr="006333CA" w:rsidRDefault="00BE47FF" w:rsidP="00BE47FF">
            <w:pPr>
              <w:contextualSpacing/>
              <w:jc w:val="center"/>
              <w:rPr>
                <w:rFonts w:ascii="Arial" w:eastAsia="Arial" w:hAnsi="Arial" w:cs="Arial"/>
                <w:sz w:val="20"/>
                <w:szCs w:val="20"/>
              </w:rPr>
            </w:pPr>
            <w:r w:rsidRPr="006333CA">
              <w:rPr>
                <w:rFonts w:ascii="Arial" w:eastAsia="Arial" w:hAnsi="Arial" w:cs="Arial"/>
                <w:b/>
                <w:bCs/>
                <w:sz w:val="20"/>
                <w:szCs w:val="20"/>
              </w:rPr>
              <w:t>Nothing to Escalate</w:t>
            </w:r>
          </w:p>
        </w:tc>
        <w:tc>
          <w:tcPr>
            <w:tcW w:w="3005" w:type="dxa"/>
            <w:tcMar>
              <w:left w:w="105" w:type="dxa"/>
              <w:right w:w="105" w:type="dxa"/>
            </w:tcMar>
          </w:tcPr>
          <w:p w14:paraId="33CE6113" w14:textId="2B3A9DAE" w:rsidR="360C4CB1" w:rsidRPr="006333CA" w:rsidRDefault="360C4CB1" w:rsidP="360C4CB1">
            <w:pPr>
              <w:contextualSpacing/>
              <w:rPr>
                <w:rFonts w:ascii="Arial" w:eastAsia="Arial" w:hAnsi="Arial" w:cs="Arial"/>
                <w:sz w:val="20"/>
                <w:szCs w:val="20"/>
              </w:rPr>
            </w:pPr>
          </w:p>
        </w:tc>
      </w:tr>
      <w:tr w:rsidR="360C4CB1" w:rsidRPr="005C5112" w14:paraId="12E4A283" w14:textId="77777777" w:rsidTr="7DD04102">
        <w:trPr>
          <w:trHeight w:val="300"/>
        </w:trPr>
        <w:tc>
          <w:tcPr>
            <w:tcW w:w="9015" w:type="dxa"/>
            <w:gridSpan w:val="3"/>
            <w:shd w:val="clear" w:color="auto" w:fill="FFC000"/>
            <w:tcMar>
              <w:left w:w="105" w:type="dxa"/>
              <w:right w:w="105" w:type="dxa"/>
            </w:tcMar>
          </w:tcPr>
          <w:p w14:paraId="73DC9CFF" w14:textId="7275437B" w:rsidR="360C4CB1" w:rsidRPr="006333CA" w:rsidRDefault="360C4CB1" w:rsidP="360C4CB1">
            <w:pPr>
              <w:contextualSpacing/>
              <w:rPr>
                <w:rFonts w:ascii="Arial" w:eastAsia="Arial" w:hAnsi="Arial" w:cs="Arial"/>
                <w:color w:val="000000" w:themeColor="text1"/>
                <w:sz w:val="20"/>
                <w:szCs w:val="20"/>
              </w:rPr>
            </w:pPr>
            <w:r w:rsidRPr="006333CA">
              <w:rPr>
                <w:rFonts w:ascii="Arial" w:eastAsia="Arial" w:hAnsi="Arial" w:cs="Arial"/>
                <w:b/>
                <w:color w:val="000000" w:themeColor="text1"/>
                <w:sz w:val="20"/>
                <w:szCs w:val="20"/>
              </w:rPr>
              <w:t xml:space="preserve">Advise </w:t>
            </w:r>
          </w:p>
        </w:tc>
      </w:tr>
      <w:tr w:rsidR="00F51B30" w:rsidRPr="005C5112" w14:paraId="2FFC3324" w14:textId="77777777" w:rsidTr="5FF63425">
        <w:trPr>
          <w:trHeight w:val="450"/>
        </w:trPr>
        <w:tc>
          <w:tcPr>
            <w:tcW w:w="3005" w:type="dxa"/>
            <w:tcMar>
              <w:left w:w="105" w:type="dxa"/>
              <w:right w:w="105" w:type="dxa"/>
            </w:tcMar>
          </w:tcPr>
          <w:p w14:paraId="056AAF72" w14:textId="3A6F7807" w:rsidR="00F51B30" w:rsidRPr="006333CA" w:rsidRDefault="79861248" w:rsidP="00F51B30">
            <w:pPr>
              <w:spacing w:after="200" w:line="276" w:lineRule="auto"/>
              <w:rPr>
                <w:rFonts w:ascii="Arial" w:eastAsia="Arial" w:hAnsi="Arial" w:cs="Arial"/>
                <w:b/>
                <w:sz w:val="20"/>
                <w:szCs w:val="20"/>
              </w:rPr>
            </w:pPr>
            <w:r w:rsidRPr="006333CA">
              <w:rPr>
                <w:rFonts w:ascii="Arial" w:eastAsia="Arial" w:hAnsi="Arial" w:cs="Arial"/>
                <w:b/>
                <w:sz w:val="20"/>
                <w:szCs w:val="20"/>
              </w:rPr>
              <w:t>4 Court Ltd No Significant Change Relocation FPT24</w:t>
            </w:r>
          </w:p>
        </w:tc>
        <w:tc>
          <w:tcPr>
            <w:tcW w:w="3005" w:type="dxa"/>
            <w:tcMar>
              <w:left w:w="105" w:type="dxa"/>
              <w:right w:w="105" w:type="dxa"/>
            </w:tcMar>
          </w:tcPr>
          <w:p w14:paraId="063041A5" w14:textId="27702685" w:rsidR="00BE47FF" w:rsidRPr="006333CA" w:rsidRDefault="08F1CD35" w:rsidP="451AE6B9">
            <w:pPr>
              <w:rPr>
                <w:rFonts w:ascii="Arial" w:eastAsia="Arial" w:hAnsi="Arial" w:cs="Arial"/>
                <w:sz w:val="20"/>
                <w:szCs w:val="20"/>
              </w:rPr>
            </w:pPr>
            <w:r w:rsidRPr="006333CA">
              <w:rPr>
                <w:rFonts w:ascii="Arial" w:eastAsia="Arial" w:hAnsi="Arial" w:cs="Arial"/>
                <w:sz w:val="20"/>
                <w:szCs w:val="20"/>
              </w:rPr>
              <w:t xml:space="preserve">An application has been received from 4 Court Ltd who operate a </w:t>
            </w:r>
            <w:r w:rsidR="2D493E7E" w:rsidRPr="006333CA">
              <w:rPr>
                <w:rFonts w:ascii="Arial" w:eastAsia="Arial" w:hAnsi="Arial" w:cs="Arial"/>
                <w:sz w:val="20"/>
                <w:szCs w:val="20"/>
              </w:rPr>
              <w:t>pharmacy</w:t>
            </w:r>
            <w:r w:rsidR="4A667584" w:rsidRPr="006333CA">
              <w:rPr>
                <w:rFonts w:ascii="Arial" w:eastAsia="Arial" w:hAnsi="Arial" w:cs="Arial"/>
                <w:sz w:val="20"/>
                <w:szCs w:val="20"/>
              </w:rPr>
              <w:t xml:space="preserve"> based at </w:t>
            </w:r>
            <w:r w:rsidR="20887BDD" w:rsidRPr="006333CA">
              <w:rPr>
                <w:rFonts w:ascii="Arial" w:eastAsia="Arial" w:hAnsi="Arial" w:cs="Arial"/>
                <w:sz w:val="20"/>
                <w:szCs w:val="20"/>
              </w:rPr>
              <w:t>Blackburn Service station, Whalley Banks</w:t>
            </w:r>
            <w:r w:rsidR="7C9E172B" w:rsidRPr="006333CA">
              <w:rPr>
                <w:rFonts w:ascii="Arial" w:eastAsia="Arial" w:hAnsi="Arial" w:cs="Arial"/>
                <w:sz w:val="20"/>
                <w:szCs w:val="20"/>
              </w:rPr>
              <w:t xml:space="preserve">, Blackburn, BB2 1NT.  4 Court Ltd would like </w:t>
            </w:r>
            <w:r w:rsidR="6AD0993A" w:rsidRPr="006333CA">
              <w:rPr>
                <w:rFonts w:ascii="Arial" w:eastAsia="Arial" w:hAnsi="Arial" w:cs="Arial"/>
                <w:sz w:val="20"/>
                <w:szCs w:val="20"/>
              </w:rPr>
              <w:t xml:space="preserve">to </w:t>
            </w:r>
            <w:r w:rsidR="64CBE879" w:rsidRPr="006333CA">
              <w:rPr>
                <w:rFonts w:ascii="Arial" w:eastAsia="Arial" w:hAnsi="Arial" w:cs="Arial"/>
                <w:sz w:val="20"/>
                <w:szCs w:val="20"/>
              </w:rPr>
              <w:t>relo</w:t>
            </w:r>
            <w:r w:rsidR="4A50A4B1" w:rsidRPr="006333CA">
              <w:rPr>
                <w:rFonts w:ascii="Arial" w:eastAsia="Arial" w:hAnsi="Arial" w:cs="Arial"/>
                <w:sz w:val="20"/>
                <w:szCs w:val="20"/>
              </w:rPr>
              <w:t>cate</w:t>
            </w:r>
            <w:r w:rsidR="379243EC" w:rsidRPr="006333CA">
              <w:rPr>
                <w:rFonts w:ascii="Arial" w:eastAsia="Arial" w:hAnsi="Arial" w:cs="Arial"/>
                <w:sz w:val="20"/>
                <w:szCs w:val="20"/>
              </w:rPr>
              <w:t xml:space="preserve"> </w:t>
            </w:r>
            <w:r w:rsidR="5674CDC5" w:rsidRPr="006333CA">
              <w:rPr>
                <w:rFonts w:ascii="Arial" w:eastAsia="Arial" w:hAnsi="Arial" w:cs="Arial"/>
                <w:sz w:val="20"/>
                <w:szCs w:val="20"/>
              </w:rPr>
              <w:t xml:space="preserve">from </w:t>
            </w:r>
            <w:r w:rsidR="213DCBE7" w:rsidRPr="006333CA">
              <w:rPr>
                <w:rFonts w:ascii="Arial" w:eastAsia="Arial" w:hAnsi="Arial" w:cs="Arial"/>
                <w:sz w:val="20"/>
                <w:szCs w:val="20"/>
              </w:rPr>
              <w:t>their existing site at</w:t>
            </w:r>
            <w:r w:rsidR="33B3E5B6" w:rsidRPr="006333CA">
              <w:rPr>
                <w:rFonts w:ascii="Arial" w:eastAsia="Arial" w:hAnsi="Arial" w:cs="Arial"/>
                <w:sz w:val="20"/>
                <w:szCs w:val="20"/>
              </w:rPr>
              <w:t xml:space="preserve"> Blackburn Service Station, Whalley Banks, Blackburn, BB2 1NT to </w:t>
            </w:r>
            <w:r w:rsidR="22574FFF" w:rsidRPr="006333CA">
              <w:rPr>
                <w:rFonts w:ascii="Arial" w:eastAsia="Arial" w:hAnsi="Arial" w:cs="Arial"/>
                <w:sz w:val="20"/>
                <w:szCs w:val="20"/>
              </w:rPr>
              <w:t>Unit 2, Atlas House, 73</w:t>
            </w:r>
            <w:r w:rsidR="5FFAEB59" w:rsidRPr="006333CA">
              <w:rPr>
                <w:rFonts w:ascii="Arial" w:eastAsia="Arial" w:hAnsi="Arial" w:cs="Arial"/>
                <w:sz w:val="20"/>
                <w:szCs w:val="20"/>
              </w:rPr>
              <w:t>-75 Whalley Banks, Blackburn, BB2 1NT</w:t>
            </w:r>
            <w:r w:rsidR="35F6EFCD" w:rsidRPr="006333CA">
              <w:rPr>
                <w:rFonts w:ascii="Arial" w:eastAsia="Arial" w:hAnsi="Arial" w:cs="Arial"/>
                <w:sz w:val="20"/>
                <w:szCs w:val="20"/>
              </w:rPr>
              <w:t>.</w:t>
            </w:r>
          </w:p>
          <w:p w14:paraId="098411DB" w14:textId="3D07BF48" w:rsidR="00BE47FF" w:rsidRPr="006333CA" w:rsidRDefault="00BE47FF" w:rsidP="451AE6B9">
            <w:pPr>
              <w:rPr>
                <w:rFonts w:ascii="Arial" w:eastAsia="Arial" w:hAnsi="Arial" w:cs="Arial"/>
                <w:sz w:val="20"/>
                <w:szCs w:val="20"/>
              </w:rPr>
            </w:pPr>
          </w:p>
          <w:p w14:paraId="7BCCA238" w14:textId="06450523" w:rsidR="00BE47FF" w:rsidRPr="006333CA" w:rsidRDefault="35F6EFCD" w:rsidP="451AE6B9">
            <w:pPr>
              <w:rPr>
                <w:rFonts w:ascii="Arial" w:eastAsia="Arial" w:hAnsi="Arial" w:cs="Arial"/>
                <w:sz w:val="20"/>
                <w:szCs w:val="20"/>
              </w:rPr>
            </w:pPr>
            <w:r w:rsidRPr="006333CA">
              <w:rPr>
                <w:rFonts w:ascii="Arial" w:eastAsia="Arial" w:hAnsi="Arial" w:cs="Arial"/>
                <w:sz w:val="20"/>
                <w:szCs w:val="20"/>
              </w:rPr>
              <w:t xml:space="preserve">The contractor has met all </w:t>
            </w:r>
            <w:r w:rsidR="0004652C" w:rsidRPr="006333CA">
              <w:rPr>
                <w:rFonts w:ascii="Arial" w:eastAsia="Arial" w:hAnsi="Arial" w:cs="Arial"/>
                <w:sz w:val="20"/>
                <w:szCs w:val="20"/>
              </w:rPr>
              <w:t xml:space="preserve">of </w:t>
            </w:r>
            <w:r w:rsidRPr="006333CA">
              <w:rPr>
                <w:rFonts w:ascii="Arial" w:eastAsia="Arial" w:hAnsi="Arial" w:cs="Arial"/>
                <w:sz w:val="20"/>
                <w:szCs w:val="20"/>
              </w:rPr>
              <w:t>the regulation tests.</w:t>
            </w:r>
          </w:p>
          <w:p w14:paraId="35672C59" w14:textId="499CA6D8" w:rsidR="00BE47FF" w:rsidRPr="006333CA" w:rsidRDefault="00BE47FF" w:rsidP="451AE6B9">
            <w:pPr>
              <w:rPr>
                <w:rFonts w:ascii="Arial" w:eastAsia="Arial" w:hAnsi="Arial" w:cs="Arial"/>
                <w:sz w:val="20"/>
                <w:szCs w:val="20"/>
              </w:rPr>
            </w:pPr>
          </w:p>
          <w:p w14:paraId="4B9A0A1A" w14:textId="77777777" w:rsidR="00BE47FF" w:rsidRPr="006333CA" w:rsidRDefault="35F6EFCD" w:rsidP="451AE6B9">
            <w:pPr>
              <w:rPr>
                <w:rFonts w:ascii="Arial" w:eastAsia="Arial" w:hAnsi="Arial" w:cs="Arial"/>
                <w:b/>
                <w:bCs/>
                <w:sz w:val="20"/>
                <w:szCs w:val="20"/>
              </w:rPr>
            </w:pPr>
            <w:r w:rsidRPr="006333CA">
              <w:rPr>
                <w:rFonts w:ascii="Arial" w:eastAsia="Arial" w:hAnsi="Arial" w:cs="Arial"/>
                <w:b/>
                <w:bCs/>
                <w:sz w:val="20"/>
                <w:szCs w:val="20"/>
              </w:rPr>
              <w:t>Approved</w:t>
            </w:r>
          </w:p>
          <w:p w14:paraId="14D972BD" w14:textId="4BEF8477" w:rsidR="00F51B30" w:rsidRPr="006333CA" w:rsidRDefault="00F51B30" w:rsidP="451AE6B9">
            <w:pPr>
              <w:rPr>
                <w:rFonts w:ascii="Arial" w:eastAsia="Arial" w:hAnsi="Arial" w:cs="Arial"/>
                <w:b/>
                <w:sz w:val="20"/>
                <w:szCs w:val="20"/>
              </w:rPr>
            </w:pPr>
          </w:p>
        </w:tc>
        <w:tc>
          <w:tcPr>
            <w:tcW w:w="3005" w:type="dxa"/>
            <w:tcMar>
              <w:left w:w="105" w:type="dxa"/>
              <w:right w:w="105" w:type="dxa"/>
            </w:tcMar>
            <w:vAlign w:val="center"/>
          </w:tcPr>
          <w:p w14:paraId="39E1036C" w14:textId="12970AFE" w:rsidR="00F51B30" w:rsidRPr="006333CA" w:rsidRDefault="08F1CD35" w:rsidP="00F51B30">
            <w:pPr>
              <w:rPr>
                <w:rFonts w:ascii="Arial" w:hAnsi="Arial" w:cs="Arial"/>
              </w:rPr>
            </w:pPr>
            <w:r w:rsidRPr="006333CA">
              <w:rPr>
                <w:rFonts w:ascii="Arial" w:eastAsia="Arial" w:hAnsi="Arial" w:cs="Arial"/>
                <w:sz w:val="20"/>
                <w:szCs w:val="20"/>
              </w:rPr>
              <w:t>Complete paperwork and send to PCSE</w:t>
            </w:r>
          </w:p>
        </w:tc>
      </w:tr>
      <w:tr w:rsidR="00586025" w:rsidRPr="005C5112" w14:paraId="4487276C" w14:textId="77777777" w:rsidTr="7DD04102">
        <w:trPr>
          <w:trHeight w:val="300"/>
        </w:trPr>
        <w:tc>
          <w:tcPr>
            <w:tcW w:w="3005" w:type="dxa"/>
            <w:tcMar>
              <w:left w:w="105" w:type="dxa"/>
              <w:right w:w="105" w:type="dxa"/>
            </w:tcMar>
          </w:tcPr>
          <w:p w14:paraId="62A6765F" w14:textId="504EB226" w:rsidR="00BE47FF" w:rsidRPr="006333CA" w:rsidRDefault="0485A26C" w:rsidP="451AE6B9">
            <w:pPr>
              <w:spacing w:after="200" w:line="276" w:lineRule="auto"/>
              <w:rPr>
                <w:rFonts w:ascii="Arial" w:hAnsi="Arial" w:cs="Arial"/>
                <w:sz w:val="20"/>
                <w:szCs w:val="20"/>
              </w:rPr>
            </w:pPr>
            <w:r w:rsidRPr="006333CA">
              <w:rPr>
                <w:rFonts w:ascii="Arial" w:eastAsia="Arial" w:hAnsi="Arial" w:cs="Arial"/>
                <w:b/>
                <w:bCs/>
                <w:sz w:val="20"/>
                <w:szCs w:val="20"/>
              </w:rPr>
              <w:lastRenderedPageBreak/>
              <w:t>AI Pharm Ltd – Unforeseen Benefits (UB)</w:t>
            </w:r>
          </w:p>
          <w:p w14:paraId="5DF56ED4" w14:textId="397E62E3" w:rsidR="00586025" w:rsidRPr="006333CA" w:rsidRDefault="00586025" w:rsidP="00CE3D27">
            <w:pPr>
              <w:pStyle w:val="PlainText"/>
              <w:rPr>
                <w:rFonts w:ascii="Arial" w:eastAsia="Calibri" w:hAnsi="Arial" w:cs="Arial"/>
                <w:b/>
                <w:sz w:val="20"/>
                <w:szCs w:val="20"/>
              </w:rPr>
            </w:pPr>
          </w:p>
        </w:tc>
        <w:tc>
          <w:tcPr>
            <w:tcW w:w="3005" w:type="dxa"/>
            <w:tcMar>
              <w:left w:w="105" w:type="dxa"/>
              <w:right w:w="105" w:type="dxa"/>
            </w:tcMar>
          </w:tcPr>
          <w:p w14:paraId="3320DBA0" w14:textId="64F1F5F4" w:rsidR="00BE47FF" w:rsidRPr="006333CA" w:rsidRDefault="0485A26C" w:rsidP="00EC5BAC">
            <w:pPr>
              <w:pStyle w:val="Numberlist"/>
              <w:numPr>
                <w:ilvl w:val="0"/>
                <w:numId w:val="0"/>
              </w:numPr>
              <w:tabs>
                <w:tab w:val="left" w:pos="565"/>
              </w:tabs>
              <w:rPr>
                <w:rFonts w:eastAsia="Arial"/>
                <w:sz w:val="20"/>
                <w:szCs w:val="20"/>
              </w:rPr>
            </w:pPr>
            <w:r w:rsidRPr="006333CA">
              <w:rPr>
                <w:sz w:val="20"/>
                <w:szCs w:val="20"/>
              </w:rPr>
              <w:t xml:space="preserve">An application has been received from AI Pharm Ltd </w:t>
            </w:r>
            <w:r w:rsidRPr="006333CA">
              <w:rPr>
                <w:rFonts w:eastAsia="Arial"/>
                <w:color w:val="000000" w:themeColor="text1"/>
                <w:sz w:val="20"/>
                <w:szCs w:val="20"/>
                <w:lang w:val="en-US"/>
              </w:rPr>
              <w:t xml:space="preserve">to open a new pharmacy in the area </w:t>
            </w:r>
            <w:r w:rsidRPr="006333CA">
              <w:rPr>
                <w:rFonts w:eastAsia="Arial"/>
                <w:sz w:val="20"/>
                <w:szCs w:val="20"/>
              </w:rPr>
              <w:t xml:space="preserve">within the commercial section of Lancaster Road in </w:t>
            </w:r>
            <w:proofErr w:type="spellStart"/>
            <w:r w:rsidRPr="006333CA">
              <w:rPr>
                <w:rFonts w:eastAsia="Arial"/>
                <w:sz w:val="20"/>
                <w:szCs w:val="20"/>
              </w:rPr>
              <w:t>Torrisholme</w:t>
            </w:r>
            <w:proofErr w:type="spellEnd"/>
            <w:r w:rsidRPr="006333CA">
              <w:rPr>
                <w:rFonts w:eastAsia="Arial"/>
                <w:sz w:val="20"/>
                <w:szCs w:val="20"/>
              </w:rPr>
              <w:t>, Morecambe LA4, specifically between Longton Drive and Thorpe Avenue under Regulation 18</w:t>
            </w:r>
            <w:r w:rsidR="6334F79D" w:rsidRPr="006333CA">
              <w:rPr>
                <w:rFonts w:eastAsia="Arial"/>
                <w:sz w:val="20"/>
                <w:szCs w:val="20"/>
              </w:rPr>
              <w:t xml:space="preserve"> (Unforeseen Benefits). </w:t>
            </w:r>
          </w:p>
          <w:p w14:paraId="3EC61A8F" w14:textId="77777777" w:rsidR="0004652C" w:rsidRPr="006333CA" w:rsidRDefault="0004652C" w:rsidP="00EC5BAC">
            <w:pPr>
              <w:pStyle w:val="Numberlist"/>
              <w:numPr>
                <w:ilvl w:val="0"/>
                <w:numId w:val="0"/>
              </w:numPr>
              <w:tabs>
                <w:tab w:val="left" w:pos="565"/>
              </w:tabs>
              <w:rPr>
                <w:rFonts w:eastAsia="Arial"/>
                <w:sz w:val="20"/>
                <w:szCs w:val="20"/>
              </w:rPr>
            </w:pPr>
          </w:p>
          <w:p w14:paraId="7D8C300F" w14:textId="20E2C48B" w:rsidR="0004652C" w:rsidRPr="006333CA" w:rsidRDefault="0004652C" w:rsidP="00EC5BAC">
            <w:pPr>
              <w:pStyle w:val="Numberlist"/>
              <w:numPr>
                <w:ilvl w:val="0"/>
                <w:numId w:val="0"/>
              </w:numPr>
              <w:tabs>
                <w:tab w:val="left" w:pos="565"/>
              </w:tabs>
              <w:rPr>
                <w:rFonts w:eastAsia="Arial"/>
                <w:sz w:val="20"/>
                <w:szCs w:val="20"/>
              </w:rPr>
            </w:pPr>
            <w:r w:rsidRPr="006333CA">
              <w:rPr>
                <w:rFonts w:eastAsia="Arial"/>
                <w:sz w:val="20"/>
                <w:szCs w:val="20"/>
              </w:rPr>
              <w:t>The contractor has not met all of the regulation tests.</w:t>
            </w:r>
          </w:p>
          <w:p w14:paraId="697D6D60" w14:textId="77777777" w:rsidR="0004652C" w:rsidRPr="006333CA" w:rsidRDefault="0004652C" w:rsidP="00EC5BAC">
            <w:pPr>
              <w:pStyle w:val="Numberlist"/>
              <w:numPr>
                <w:ilvl w:val="0"/>
                <w:numId w:val="0"/>
              </w:numPr>
              <w:tabs>
                <w:tab w:val="left" w:pos="565"/>
              </w:tabs>
              <w:rPr>
                <w:rFonts w:eastAsia="Arial"/>
                <w:sz w:val="20"/>
                <w:szCs w:val="20"/>
              </w:rPr>
            </w:pPr>
          </w:p>
          <w:p w14:paraId="2BA9A018" w14:textId="12FB8513" w:rsidR="00586025" w:rsidRPr="006333CA" w:rsidRDefault="000D3C8E" w:rsidP="0004652C">
            <w:pPr>
              <w:pStyle w:val="Numberlist"/>
              <w:numPr>
                <w:ilvl w:val="0"/>
                <w:numId w:val="0"/>
              </w:numPr>
              <w:tabs>
                <w:tab w:val="left" w:pos="565"/>
              </w:tabs>
              <w:rPr>
                <w:b/>
                <w:sz w:val="20"/>
                <w:szCs w:val="20"/>
              </w:rPr>
            </w:pPr>
            <w:r w:rsidRPr="006333CA">
              <w:rPr>
                <w:rFonts w:eastAsia="Arial"/>
                <w:b/>
                <w:bCs/>
                <w:sz w:val="20"/>
                <w:szCs w:val="20"/>
              </w:rPr>
              <w:t>Refused</w:t>
            </w:r>
          </w:p>
        </w:tc>
        <w:tc>
          <w:tcPr>
            <w:tcW w:w="3005" w:type="dxa"/>
            <w:tcMar>
              <w:left w:w="105" w:type="dxa"/>
              <w:right w:w="105" w:type="dxa"/>
            </w:tcMar>
            <w:vAlign w:val="center"/>
          </w:tcPr>
          <w:p w14:paraId="256F93D5" w14:textId="6D663A0D" w:rsidR="00586025" w:rsidRPr="006333CA" w:rsidRDefault="00EC5BAC" w:rsidP="00F51B30">
            <w:pPr>
              <w:rPr>
                <w:rFonts w:ascii="Arial" w:eastAsia="Arial" w:hAnsi="Arial" w:cs="Arial"/>
                <w:sz w:val="20"/>
                <w:szCs w:val="20"/>
              </w:rPr>
            </w:pPr>
            <w:r w:rsidRPr="006333CA">
              <w:rPr>
                <w:rFonts w:ascii="Arial" w:eastAsia="Arial" w:hAnsi="Arial" w:cs="Arial"/>
                <w:sz w:val="20"/>
                <w:szCs w:val="20"/>
              </w:rPr>
              <w:t>Complete paperwork and send to PCSE</w:t>
            </w:r>
          </w:p>
        </w:tc>
      </w:tr>
      <w:tr w:rsidR="0004652C" w:rsidRPr="006333CA" w14:paraId="3DB31EE1" w14:textId="77777777" w:rsidTr="5FF63425">
        <w:trPr>
          <w:trHeight w:val="300"/>
        </w:trPr>
        <w:tc>
          <w:tcPr>
            <w:tcW w:w="3005" w:type="dxa"/>
            <w:tcMar>
              <w:left w:w="105" w:type="dxa"/>
              <w:right w:w="105" w:type="dxa"/>
            </w:tcMar>
          </w:tcPr>
          <w:p w14:paraId="6BB152BA" w14:textId="77777777" w:rsidR="000A073D" w:rsidRPr="006333CA" w:rsidRDefault="000A073D" w:rsidP="000A073D">
            <w:pPr>
              <w:rPr>
                <w:rFonts w:ascii="Arial" w:hAnsi="Arial" w:cs="Arial"/>
                <w:sz w:val="20"/>
                <w:szCs w:val="20"/>
              </w:rPr>
            </w:pPr>
            <w:r w:rsidRPr="006333CA">
              <w:rPr>
                <w:rFonts w:ascii="Arial" w:hAnsi="Arial" w:cs="Arial"/>
                <w:b/>
                <w:bCs/>
                <w:sz w:val="20"/>
                <w:szCs w:val="20"/>
              </w:rPr>
              <w:t>Blackpool Express Chemist (FN336) – Redistribution of Core Hours</w:t>
            </w:r>
          </w:p>
          <w:p w14:paraId="47EBD8B7" w14:textId="77777777" w:rsidR="0004652C" w:rsidRPr="006333CA" w:rsidRDefault="0004652C" w:rsidP="451AE6B9">
            <w:pPr>
              <w:rPr>
                <w:rFonts w:ascii="Arial" w:eastAsia="Arial" w:hAnsi="Arial" w:cs="Arial"/>
                <w:b/>
                <w:bCs/>
                <w:sz w:val="20"/>
                <w:szCs w:val="20"/>
              </w:rPr>
            </w:pPr>
          </w:p>
        </w:tc>
        <w:tc>
          <w:tcPr>
            <w:tcW w:w="3005" w:type="dxa"/>
            <w:tcMar>
              <w:left w:w="105" w:type="dxa"/>
              <w:right w:w="105" w:type="dxa"/>
            </w:tcMar>
          </w:tcPr>
          <w:p w14:paraId="42F31010" w14:textId="54DE6DD5" w:rsidR="00AB02F9" w:rsidRPr="006333CA" w:rsidRDefault="00AB02F9" w:rsidP="00AB02F9">
            <w:pPr>
              <w:pStyle w:val="Numberlist"/>
              <w:numPr>
                <w:ilvl w:val="0"/>
                <w:numId w:val="0"/>
              </w:numPr>
              <w:rPr>
                <w:sz w:val="20"/>
                <w:szCs w:val="20"/>
              </w:rPr>
            </w:pPr>
            <w:r w:rsidRPr="006333CA">
              <w:rPr>
                <w:sz w:val="20"/>
                <w:szCs w:val="20"/>
              </w:rPr>
              <w:t>Blackpool Express Chemist is a 40-hour pharmacy located in Blackpool wish to redistribute their current core hour opening times.</w:t>
            </w:r>
            <w:r w:rsidR="009352E8" w:rsidRPr="006333CA">
              <w:rPr>
                <w:sz w:val="20"/>
                <w:szCs w:val="20"/>
              </w:rPr>
              <w:t xml:space="preserve">  They currently provide 47.5 total opening hours to be reduced to 45 hours by replacing some supplementary hours with core hours on weekdays.  </w:t>
            </w:r>
            <w:r w:rsidR="57F97AE9" w:rsidRPr="006333CA">
              <w:rPr>
                <w:sz w:val="20"/>
                <w:szCs w:val="20"/>
              </w:rPr>
              <w:t>O</w:t>
            </w:r>
            <w:r w:rsidR="4D712564" w:rsidRPr="006333CA">
              <w:rPr>
                <w:sz w:val="20"/>
                <w:szCs w:val="20"/>
              </w:rPr>
              <w:t>verall</w:t>
            </w:r>
            <w:r w:rsidR="009352E8" w:rsidRPr="006333CA">
              <w:rPr>
                <w:sz w:val="20"/>
                <w:szCs w:val="20"/>
              </w:rPr>
              <w:t xml:space="preserve"> core hours </w:t>
            </w:r>
            <w:r w:rsidR="7F884A89" w:rsidRPr="006333CA">
              <w:rPr>
                <w:sz w:val="20"/>
                <w:szCs w:val="20"/>
              </w:rPr>
              <w:t>will</w:t>
            </w:r>
            <w:r w:rsidR="4D712564" w:rsidRPr="006333CA">
              <w:rPr>
                <w:sz w:val="20"/>
                <w:szCs w:val="20"/>
              </w:rPr>
              <w:t xml:space="preserve"> remain</w:t>
            </w:r>
            <w:r w:rsidR="009352E8" w:rsidRPr="006333CA">
              <w:rPr>
                <w:sz w:val="20"/>
                <w:szCs w:val="20"/>
              </w:rPr>
              <w:t xml:space="preserve"> at 40 hours.</w:t>
            </w:r>
          </w:p>
          <w:p w14:paraId="1B51BB5E" w14:textId="77777777" w:rsidR="009352E8" w:rsidRPr="006333CA" w:rsidRDefault="009352E8" w:rsidP="00AB02F9">
            <w:pPr>
              <w:pStyle w:val="Numberlist"/>
              <w:numPr>
                <w:ilvl w:val="0"/>
                <w:numId w:val="0"/>
              </w:numPr>
              <w:rPr>
                <w:sz w:val="20"/>
                <w:szCs w:val="20"/>
              </w:rPr>
            </w:pPr>
          </w:p>
          <w:p w14:paraId="3C6F499E" w14:textId="0F17BF6B" w:rsidR="009352E8" w:rsidRPr="006333CA" w:rsidRDefault="00D712BB" w:rsidP="00AB02F9">
            <w:pPr>
              <w:pStyle w:val="Numberlist"/>
              <w:numPr>
                <w:ilvl w:val="0"/>
                <w:numId w:val="0"/>
              </w:numPr>
              <w:rPr>
                <w:sz w:val="20"/>
                <w:szCs w:val="20"/>
              </w:rPr>
            </w:pPr>
            <w:r w:rsidRPr="006333CA">
              <w:rPr>
                <w:sz w:val="20"/>
                <w:szCs w:val="20"/>
              </w:rPr>
              <w:t>The contractor met all requirements.</w:t>
            </w:r>
          </w:p>
          <w:p w14:paraId="1A8211DC" w14:textId="77777777" w:rsidR="00D712BB" w:rsidRPr="006333CA" w:rsidRDefault="00D712BB" w:rsidP="00AB02F9">
            <w:pPr>
              <w:pStyle w:val="Numberlist"/>
              <w:numPr>
                <w:ilvl w:val="0"/>
                <w:numId w:val="0"/>
              </w:numPr>
              <w:rPr>
                <w:sz w:val="20"/>
                <w:szCs w:val="20"/>
              </w:rPr>
            </w:pPr>
          </w:p>
          <w:p w14:paraId="4BACC597" w14:textId="01335067" w:rsidR="00D712BB" w:rsidRPr="006333CA" w:rsidRDefault="00D712BB" w:rsidP="00AB02F9">
            <w:pPr>
              <w:pStyle w:val="Numberlist"/>
              <w:numPr>
                <w:ilvl w:val="0"/>
                <w:numId w:val="0"/>
              </w:numPr>
              <w:rPr>
                <w:b/>
                <w:bCs/>
                <w:sz w:val="20"/>
                <w:szCs w:val="20"/>
              </w:rPr>
            </w:pPr>
            <w:r w:rsidRPr="006333CA">
              <w:rPr>
                <w:b/>
                <w:bCs/>
                <w:sz w:val="20"/>
                <w:szCs w:val="20"/>
              </w:rPr>
              <w:t>Approved</w:t>
            </w:r>
          </w:p>
          <w:p w14:paraId="3DE5B7BA" w14:textId="77777777" w:rsidR="0004652C" w:rsidRPr="006333CA" w:rsidRDefault="0004652C" w:rsidP="00EC5BAC">
            <w:pPr>
              <w:pStyle w:val="Numberlist"/>
              <w:numPr>
                <w:ilvl w:val="0"/>
                <w:numId w:val="0"/>
              </w:numPr>
              <w:tabs>
                <w:tab w:val="left" w:pos="565"/>
              </w:tabs>
              <w:rPr>
                <w:sz w:val="20"/>
                <w:szCs w:val="20"/>
              </w:rPr>
            </w:pPr>
          </w:p>
        </w:tc>
        <w:tc>
          <w:tcPr>
            <w:tcW w:w="3005" w:type="dxa"/>
            <w:tcMar>
              <w:left w:w="105" w:type="dxa"/>
              <w:right w:w="105" w:type="dxa"/>
            </w:tcMar>
            <w:vAlign w:val="center"/>
          </w:tcPr>
          <w:p w14:paraId="30C62CD8" w14:textId="6A61D23D" w:rsidR="0004652C" w:rsidRPr="006333CA" w:rsidRDefault="00E30380" w:rsidP="00BE47FF">
            <w:pPr>
              <w:rPr>
                <w:rFonts w:ascii="Arial" w:eastAsia="Arial" w:hAnsi="Arial" w:cs="Arial"/>
                <w:sz w:val="20"/>
                <w:szCs w:val="20"/>
              </w:rPr>
            </w:pPr>
            <w:r w:rsidRPr="006333CA">
              <w:rPr>
                <w:rFonts w:ascii="Arial" w:eastAsia="Arial" w:hAnsi="Arial" w:cs="Arial"/>
                <w:sz w:val="20"/>
                <w:szCs w:val="20"/>
              </w:rPr>
              <w:t>Complete paperwork and sen</w:t>
            </w:r>
            <w:r w:rsidR="004B72D0" w:rsidRPr="006333CA">
              <w:rPr>
                <w:rFonts w:ascii="Arial" w:eastAsia="Arial" w:hAnsi="Arial" w:cs="Arial"/>
                <w:sz w:val="20"/>
                <w:szCs w:val="20"/>
              </w:rPr>
              <w:t>d</w:t>
            </w:r>
            <w:r w:rsidRPr="006333CA">
              <w:rPr>
                <w:rFonts w:ascii="Arial" w:eastAsia="Arial" w:hAnsi="Arial" w:cs="Arial"/>
                <w:sz w:val="20"/>
                <w:szCs w:val="20"/>
              </w:rPr>
              <w:t xml:space="preserve"> </w:t>
            </w:r>
            <w:r w:rsidR="004B72D0" w:rsidRPr="006333CA">
              <w:rPr>
                <w:rFonts w:ascii="Arial" w:eastAsia="Arial" w:hAnsi="Arial" w:cs="Arial"/>
                <w:sz w:val="20"/>
                <w:szCs w:val="20"/>
              </w:rPr>
              <w:t>t</w:t>
            </w:r>
            <w:r w:rsidRPr="006333CA">
              <w:rPr>
                <w:rFonts w:ascii="Arial" w:eastAsia="Arial" w:hAnsi="Arial" w:cs="Arial"/>
                <w:sz w:val="20"/>
                <w:szCs w:val="20"/>
              </w:rPr>
              <w:t>o BSA</w:t>
            </w:r>
          </w:p>
        </w:tc>
      </w:tr>
      <w:tr w:rsidR="0057166F" w:rsidRPr="006333CA" w14:paraId="36F6B8F0" w14:textId="77777777" w:rsidTr="5FF63425">
        <w:trPr>
          <w:trHeight w:val="300"/>
        </w:trPr>
        <w:tc>
          <w:tcPr>
            <w:tcW w:w="3005" w:type="dxa"/>
            <w:tcMar>
              <w:left w:w="105" w:type="dxa"/>
              <w:right w:w="105" w:type="dxa"/>
            </w:tcMar>
          </w:tcPr>
          <w:p w14:paraId="7EE608A2" w14:textId="77777777" w:rsidR="00BA1A2D" w:rsidRPr="006333CA" w:rsidRDefault="00BA1A2D" w:rsidP="00DB77D3">
            <w:pPr>
              <w:rPr>
                <w:rFonts w:ascii="Arial" w:hAnsi="Arial" w:cs="Arial"/>
                <w:b/>
                <w:bCs/>
                <w:sz w:val="20"/>
                <w:szCs w:val="20"/>
              </w:rPr>
            </w:pPr>
            <w:proofErr w:type="spellStart"/>
            <w:r w:rsidRPr="006333CA">
              <w:rPr>
                <w:rFonts w:ascii="Arial" w:hAnsi="Arial" w:cs="Arial"/>
                <w:b/>
                <w:bCs/>
                <w:sz w:val="20"/>
                <w:szCs w:val="20"/>
              </w:rPr>
              <w:t>Prestford</w:t>
            </w:r>
            <w:proofErr w:type="spellEnd"/>
            <w:r w:rsidRPr="006333CA">
              <w:rPr>
                <w:rFonts w:ascii="Arial" w:hAnsi="Arial" w:cs="Arial"/>
                <w:b/>
                <w:bCs/>
                <w:sz w:val="20"/>
                <w:szCs w:val="20"/>
              </w:rPr>
              <w:t xml:space="preserve"> (FAD69 continuing site, FXQ05 closing) – Consolidation</w:t>
            </w:r>
          </w:p>
          <w:p w14:paraId="2512DCC8" w14:textId="77777777" w:rsidR="0057166F" w:rsidRPr="006333CA" w:rsidRDefault="0057166F" w:rsidP="00DB77D3">
            <w:pPr>
              <w:rPr>
                <w:rFonts w:ascii="Arial" w:hAnsi="Arial" w:cs="Arial"/>
                <w:b/>
                <w:bCs/>
                <w:sz w:val="20"/>
                <w:szCs w:val="20"/>
              </w:rPr>
            </w:pPr>
          </w:p>
        </w:tc>
        <w:tc>
          <w:tcPr>
            <w:tcW w:w="3005" w:type="dxa"/>
            <w:tcMar>
              <w:left w:w="105" w:type="dxa"/>
              <w:right w:w="105" w:type="dxa"/>
            </w:tcMar>
          </w:tcPr>
          <w:p w14:paraId="653A53D7" w14:textId="0E5F3A4F" w:rsidR="00DB77D3" w:rsidRPr="006333CA" w:rsidRDefault="00DB77D3" w:rsidP="00DB77D3">
            <w:pPr>
              <w:pStyle w:val="Numberlist"/>
              <w:numPr>
                <w:ilvl w:val="0"/>
                <w:numId w:val="0"/>
              </w:numPr>
              <w:rPr>
                <w:sz w:val="20"/>
                <w:szCs w:val="20"/>
              </w:rPr>
            </w:pPr>
            <w:r w:rsidRPr="006333CA">
              <w:rPr>
                <w:sz w:val="20"/>
                <w:szCs w:val="20"/>
              </w:rPr>
              <w:t xml:space="preserve">An application has been received from </w:t>
            </w:r>
            <w:proofErr w:type="spellStart"/>
            <w:r w:rsidRPr="006333CA">
              <w:rPr>
                <w:sz w:val="20"/>
                <w:szCs w:val="20"/>
              </w:rPr>
              <w:t>Prestford</w:t>
            </w:r>
            <w:proofErr w:type="spellEnd"/>
            <w:r w:rsidRPr="006333CA">
              <w:rPr>
                <w:sz w:val="20"/>
                <w:szCs w:val="20"/>
              </w:rPr>
              <w:t xml:space="preserve"> Ltd</w:t>
            </w:r>
            <w:r w:rsidRPr="006333CA">
              <w:rPr>
                <w:color w:val="FF0000"/>
                <w:sz w:val="20"/>
                <w:szCs w:val="20"/>
              </w:rPr>
              <w:t xml:space="preserve"> </w:t>
            </w:r>
            <w:r w:rsidRPr="006333CA">
              <w:rPr>
                <w:sz w:val="20"/>
                <w:szCs w:val="20"/>
              </w:rPr>
              <w:t>who operate a 40-hour pharmacy based at 13-17 Peel Street, Accrington, BB5 1EA, who would like to consolidate onto 1a Paradise Street, Accrington, BB5 2EJ.</w:t>
            </w:r>
          </w:p>
          <w:p w14:paraId="09FE4BE5" w14:textId="20E20A06" w:rsidR="7FB341D9" w:rsidRPr="006333CA" w:rsidRDefault="7FB341D9" w:rsidP="7FB341D9">
            <w:pPr>
              <w:pStyle w:val="Numberlist"/>
              <w:numPr>
                <w:ilvl w:val="0"/>
                <w:numId w:val="0"/>
              </w:numPr>
              <w:rPr>
                <w:sz w:val="20"/>
                <w:szCs w:val="20"/>
              </w:rPr>
            </w:pPr>
          </w:p>
          <w:p w14:paraId="213430BB" w14:textId="3180B218" w:rsidR="16CA517E" w:rsidRPr="006333CA" w:rsidRDefault="16CA517E" w:rsidP="7FB341D9">
            <w:pPr>
              <w:pStyle w:val="Numberlist"/>
              <w:numPr>
                <w:ilvl w:val="0"/>
                <w:numId w:val="0"/>
              </w:numPr>
              <w:rPr>
                <w:sz w:val="20"/>
                <w:szCs w:val="20"/>
              </w:rPr>
            </w:pPr>
            <w:r w:rsidRPr="006333CA">
              <w:rPr>
                <w:sz w:val="20"/>
                <w:szCs w:val="20"/>
              </w:rPr>
              <w:t>The contractor owns both prem</w:t>
            </w:r>
            <w:r w:rsidR="3314FED2" w:rsidRPr="006333CA">
              <w:rPr>
                <w:sz w:val="20"/>
                <w:szCs w:val="20"/>
              </w:rPr>
              <w:t>ises.</w:t>
            </w:r>
          </w:p>
          <w:p w14:paraId="2381AF12" w14:textId="77777777" w:rsidR="004B72D0" w:rsidRPr="006333CA" w:rsidRDefault="004B72D0" w:rsidP="00DB77D3">
            <w:pPr>
              <w:pStyle w:val="Numberlist"/>
              <w:numPr>
                <w:ilvl w:val="0"/>
                <w:numId w:val="0"/>
              </w:numPr>
              <w:rPr>
                <w:sz w:val="20"/>
                <w:szCs w:val="20"/>
              </w:rPr>
            </w:pPr>
          </w:p>
          <w:p w14:paraId="69D7543A" w14:textId="58B19B44" w:rsidR="004B72D0" w:rsidRPr="006333CA" w:rsidRDefault="0049725E" w:rsidP="00DB77D3">
            <w:pPr>
              <w:pStyle w:val="Numberlist"/>
              <w:numPr>
                <w:ilvl w:val="0"/>
                <w:numId w:val="0"/>
              </w:numPr>
              <w:rPr>
                <w:sz w:val="20"/>
                <w:szCs w:val="20"/>
              </w:rPr>
            </w:pPr>
            <w:r w:rsidRPr="006333CA">
              <w:rPr>
                <w:sz w:val="20"/>
                <w:szCs w:val="20"/>
              </w:rPr>
              <w:t xml:space="preserve">The contractor met all </w:t>
            </w:r>
            <w:r w:rsidR="003D3D5A" w:rsidRPr="006333CA">
              <w:rPr>
                <w:sz w:val="20"/>
                <w:szCs w:val="20"/>
              </w:rPr>
              <w:t>regulations.</w:t>
            </w:r>
          </w:p>
          <w:p w14:paraId="494D9398" w14:textId="77777777" w:rsidR="003D3D5A" w:rsidRPr="006333CA" w:rsidRDefault="003D3D5A" w:rsidP="00DB77D3">
            <w:pPr>
              <w:pStyle w:val="Numberlist"/>
              <w:numPr>
                <w:ilvl w:val="0"/>
                <w:numId w:val="0"/>
              </w:numPr>
              <w:rPr>
                <w:sz w:val="20"/>
                <w:szCs w:val="20"/>
              </w:rPr>
            </w:pPr>
          </w:p>
          <w:p w14:paraId="4202715D" w14:textId="7BC722D1" w:rsidR="003D3D5A" w:rsidRPr="006333CA" w:rsidRDefault="003D3D5A" w:rsidP="00DB77D3">
            <w:pPr>
              <w:pStyle w:val="Numberlist"/>
              <w:numPr>
                <w:ilvl w:val="0"/>
                <w:numId w:val="0"/>
              </w:numPr>
              <w:rPr>
                <w:b/>
                <w:bCs/>
                <w:sz w:val="20"/>
                <w:szCs w:val="20"/>
              </w:rPr>
            </w:pPr>
            <w:r w:rsidRPr="006333CA">
              <w:rPr>
                <w:b/>
                <w:bCs/>
                <w:sz w:val="20"/>
                <w:szCs w:val="20"/>
              </w:rPr>
              <w:t>Approved</w:t>
            </w:r>
          </w:p>
          <w:p w14:paraId="5FACA7A4" w14:textId="77777777" w:rsidR="0057166F" w:rsidRPr="006333CA" w:rsidRDefault="0057166F" w:rsidP="00DB77D3">
            <w:pPr>
              <w:pStyle w:val="Numberlist"/>
              <w:numPr>
                <w:ilvl w:val="0"/>
                <w:numId w:val="0"/>
              </w:numPr>
              <w:rPr>
                <w:sz w:val="20"/>
                <w:szCs w:val="20"/>
              </w:rPr>
            </w:pPr>
          </w:p>
        </w:tc>
        <w:tc>
          <w:tcPr>
            <w:tcW w:w="3005" w:type="dxa"/>
            <w:tcMar>
              <w:left w:w="105" w:type="dxa"/>
              <w:right w:w="105" w:type="dxa"/>
            </w:tcMar>
            <w:vAlign w:val="center"/>
          </w:tcPr>
          <w:p w14:paraId="7DA82740" w14:textId="0C509A3E" w:rsidR="0057166F" w:rsidRPr="006333CA" w:rsidRDefault="003D3D5A" w:rsidP="00DB77D3">
            <w:pPr>
              <w:rPr>
                <w:rFonts w:ascii="Arial" w:eastAsia="Arial" w:hAnsi="Arial" w:cs="Arial"/>
                <w:sz w:val="20"/>
                <w:szCs w:val="20"/>
              </w:rPr>
            </w:pPr>
            <w:r w:rsidRPr="006333CA">
              <w:rPr>
                <w:rFonts w:ascii="Arial" w:eastAsia="Arial" w:hAnsi="Arial" w:cs="Arial"/>
                <w:sz w:val="20"/>
                <w:szCs w:val="20"/>
              </w:rPr>
              <w:t>Complete paperwork and send to PCSE</w:t>
            </w:r>
          </w:p>
        </w:tc>
      </w:tr>
      <w:tr w:rsidR="00F51B30" w:rsidRPr="005C5112" w14:paraId="2B67F12D" w14:textId="77777777" w:rsidTr="7DD04102">
        <w:trPr>
          <w:trHeight w:val="300"/>
        </w:trPr>
        <w:tc>
          <w:tcPr>
            <w:tcW w:w="9015" w:type="dxa"/>
            <w:gridSpan w:val="3"/>
            <w:shd w:val="clear" w:color="auto" w:fill="00B050"/>
            <w:tcMar>
              <w:left w:w="105" w:type="dxa"/>
              <w:right w:w="105" w:type="dxa"/>
            </w:tcMar>
            <w:vAlign w:val="center"/>
          </w:tcPr>
          <w:p w14:paraId="5A0A5086" w14:textId="79D8BA38" w:rsidR="00F51B30" w:rsidRPr="006333CA" w:rsidRDefault="00F51B30" w:rsidP="00F51B30">
            <w:pPr>
              <w:contextualSpacing/>
              <w:rPr>
                <w:rFonts w:ascii="Arial" w:eastAsia="Arial" w:hAnsi="Arial" w:cs="Arial"/>
                <w:sz w:val="20"/>
                <w:szCs w:val="20"/>
              </w:rPr>
            </w:pPr>
            <w:r w:rsidRPr="006333CA">
              <w:rPr>
                <w:rFonts w:ascii="Arial" w:eastAsia="Arial" w:hAnsi="Arial" w:cs="Arial"/>
                <w:b/>
                <w:sz w:val="20"/>
                <w:szCs w:val="20"/>
              </w:rPr>
              <w:t>Assure</w:t>
            </w:r>
          </w:p>
        </w:tc>
      </w:tr>
      <w:tr w:rsidR="00F51B30" w:rsidRPr="005C5112" w14:paraId="5587C1F2" w14:textId="77777777" w:rsidTr="7DD04102">
        <w:trPr>
          <w:trHeight w:val="300"/>
        </w:trPr>
        <w:tc>
          <w:tcPr>
            <w:tcW w:w="3005" w:type="dxa"/>
            <w:tcMar>
              <w:left w:w="105" w:type="dxa"/>
              <w:right w:w="105" w:type="dxa"/>
            </w:tcMar>
          </w:tcPr>
          <w:p w14:paraId="412BC5CB" w14:textId="53C05F57" w:rsidR="00F51B30" w:rsidRPr="006333CA" w:rsidRDefault="0B57F34E" w:rsidP="7DD04102">
            <w:pPr>
              <w:rPr>
                <w:rFonts w:ascii="Arial" w:eastAsia="Arial" w:hAnsi="Arial" w:cs="Arial"/>
                <w:sz w:val="20"/>
                <w:szCs w:val="20"/>
              </w:rPr>
            </w:pPr>
            <w:r w:rsidRPr="006333CA">
              <w:rPr>
                <w:rFonts w:ascii="Arial" w:eastAsia="Arial" w:hAnsi="Arial" w:cs="Arial"/>
                <w:sz w:val="20"/>
                <w:szCs w:val="20"/>
              </w:rPr>
              <w:lastRenderedPageBreak/>
              <w:t>AP SD Thirteen Limited, Sedbergh Pharmacy</w:t>
            </w:r>
          </w:p>
        </w:tc>
        <w:tc>
          <w:tcPr>
            <w:tcW w:w="3005" w:type="dxa"/>
            <w:tcMar>
              <w:left w:w="105" w:type="dxa"/>
              <w:right w:w="105" w:type="dxa"/>
            </w:tcMar>
            <w:vAlign w:val="center"/>
          </w:tcPr>
          <w:p w14:paraId="0E142C14" w14:textId="06CE1C04" w:rsidR="00F51B30" w:rsidRPr="006333CA" w:rsidRDefault="3E9E933F" w:rsidP="00F51B30">
            <w:pPr>
              <w:rPr>
                <w:rFonts w:ascii="Arial" w:eastAsia="Arial" w:hAnsi="Arial" w:cs="Arial"/>
                <w:sz w:val="20"/>
                <w:szCs w:val="20"/>
              </w:rPr>
            </w:pPr>
            <w:r w:rsidRPr="006333CA">
              <w:rPr>
                <w:rFonts w:ascii="Arial" w:eastAsia="Arial" w:hAnsi="Arial" w:cs="Arial"/>
                <w:sz w:val="20"/>
                <w:szCs w:val="20"/>
              </w:rPr>
              <w:t xml:space="preserve">Change of </w:t>
            </w:r>
            <w:r w:rsidR="0B57F34E" w:rsidRPr="006333CA">
              <w:rPr>
                <w:rFonts w:ascii="Arial" w:eastAsia="Arial" w:hAnsi="Arial" w:cs="Arial"/>
                <w:sz w:val="20"/>
                <w:szCs w:val="20"/>
              </w:rPr>
              <w:t xml:space="preserve">Ownership </w:t>
            </w:r>
            <w:r w:rsidR="4A6DAECA" w:rsidRPr="006333CA">
              <w:rPr>
                <w:rFonts w:ascii="Arial" w:eastAsia="Arial" w:hAnsi="Arial" w:cs="Arial"/>
                <w:sz w:val="20"/>
                <w:szCs w:val="20"/>
              </w:rPr>
              <w:t xml:space="preserve">has been </w:t>
            </w:r>
            <w:r w:rsidR="0B57F34E" w:rsidRPr="006333CA">
              <w:rPr>
                <w:rFonts w:ascii="Arial" w:eastAsia="Arial" w:hAnsi="Arial" w:cs="Arial"/>
                <w:sz w:val="20"/>
                <w:szCs w:val="20"/>
              </w:rPr>
              <w:t xml:space="preserve">approved </w:t>
            </w:r>
            <w:r w:rsidR="2CD1F33F" w:rsidRPr="006333CA">
              <w:rPr>
                <w:rFonts w:ascii="Arial" w:eastAsia="Arial" w:hAnsi="Arial" w:cs="Arial"/>
                <w:sz w:val="20"/>
                <w:szCs w:val="20"/>
              </w:rPr>
              <w:t>for</w:t>
            </w:r>
            <w:r w:rsidR="0B57F34E" w:rsidRPr="006333CA">
              <w:rPr>
                <w:rFonts w:ascii="Arial" w:eastAsia="Arial" w:hAnsi="Arial" w:cs="Arial"/>
                <w:sz w:val="20"/>
                <w:szCs w:val="20"/>
              </w:rPr>
              <w:t xml:space="preserve"> Sedbergh </w:t>
            </w:r>
            <w:r w:rsidR="28F7D4AF" w:rsidRPr="006333CA">
              <w:rPr>
                <w:rFonts w:ascii="Arial" w:eastAsia="Arial" w:hAnsi="Arial" w:cs="Arial"/>
                <w:sz w:val="20"/>
                <w:szCs w:val="20"/>
              </w:rPr>
              <w:t>Pharmacy, and it is</w:t>
            </w:r>
            <w:r w:rsidR="0B57F34E" w:rsidRPr="006333CA">
              <w:rPr>
                <w:rFonts w:ascii="Arial" w:eastAsia="Arial" w:hAnsi="Arial" w:cs="Arial"/>
                <w:sz w:val="20"/>
                <w:szCs w:val="20"/>
              </w:rPr>
              <w:t xml:space="preserve"> no longer </w:t>
            </w:r>
            <w:r w:rsidR="28F7D4AF" w:rsidRPr="006333CA">
              <w:rPr>
                <w:rFonts w:ascii="Arial" w:eastAsia="Arial" w:hAnsi="Arial" w:cs="Arial"/>
                <w:sz w:val="20"/>
                <w:szCs w:val="20"/>
              </w:rPr>
              <w:t>operated by</w:t>
            </w:r>
            <w:r w:rsidR="0B57F34E" w:rsidRPr="006333CA">
              <w:rPr>
                <w:rFonts w:ascii="Arial" w:eastAsia="Arial" w:hAnsi="Arial" w:cs="Arial"/>
                <w:sz w:val="20"/>
                <w:szCs w:val="20"/>
              </w:rPr>
              <w:t xml:space="preserve"> </w:t>
            </w:r>
            <w:proofErr w:type="spellStart"/>
            <w:r w:rsidR="0B57F34E" w:rsidRPr="006333CA">
              <w:rPr>
                <w:rFonts w:ascii="Arial" w:eastAsia="Arial" w:hAnsi="Arial" w:cs="Arial"/>
                <w:sz w:val="20"/>
                <w:szCs w:val="20"/>
              </w:rPr>
              <w:t>Jhoots</w:t>
            </w:r>
            <w:proofErr w:type="spellEnd"/>
            <w:r w:rsidR="0B57F34E" w:rsidRPr="006333CA">
              <w:rPr>
                <w:rFonts w:ascii="Arial" w:eastAsia="Arial" w:hAnsi="Arial" w:cs="Arial"/>
                <w:sz w:val="20"/>
                <w:szCs w:val="20"/>
              </w:rPr>
              <w:t xml:space="preserve"> </w:t>
            </w:r>
            <w:r w:rsidR="28F7D4AF" w:rsidRPr="006333CA">
              <w:rPr>
                <w:rFonts w:ascii="Arial" w:eastAsia="Arial" w:hAnsi="Arial" w:cs="Arial"/>
                <w:sz w:val="20"/>
                <w:szCs w:val="20"/>
              </w:rPr>
              <w:t xml:space="preserve">Pharmacy. </w:t>
            </w:r>
            <w:r w:rsidR="5AAC41B4" w:rsidRPr="006333CA">
              <w:rPr>
                <w:rFonts w:ascii="Arial" w:eastAsia="Arial" w:hAnsi="Arial" w:cs="Arial"/>
                <w:sz w:val="20"/>
                <w:szCs w:val="20"/>
              </w:rPr>
              <w:t xml:space="preserve"> </w:t>
            </w:r>
          </w:p>
        </w:tc>
        <w:tc>
          <w:tcPr>
            <w:tcW w:w="3005" w:type="dxa"/>
            <w:tcMar>
              <w:left w:w="105" w:type="dxa"/>
              <w:right w:w="105" w:type="dxa"/>
            </w:tcMar>
            <w:vAlign w:val="center"/>
          </w:tcPr>
          <w:p w14:paraId="675B60C3" w14:textId="520B3498" w:rsidR="00F51B30" w:rsidRPr="006333CA" w:rsidRDefault="00F51B30" w:rsidP="00F51B30">
            <w:pPr>
              <w:rPr>
                <w:rFonts w:ascii="Arial" w:eastAsia="Arial" w:hAnsi="Arial" w:cs="Arial"/>
                <w:sz w:val="20"/>
                <w:szCs w:val="20"/>
              </w:rPr>
            </w:pPr>
          </w:p>
        </w:tc>
      </w:tr>
      <w:tr w:rsidR="7FB341D9" w:rsidRPr="006333CA" w14:paraId="52273705" w14:textId="77777777" w:rsidTr="7FB341D9">
        <w:trPr>
          <w:trHeight w:val="300"/>
        </w:trPr>
        <w:tc>
          <w:tcPr>
            <w:tcW w:w="3005" w:type="dxa"/>
            <w:tcMar>
              <w:left w:w="105" w:type="dxa"/>
              <w:right w:w="105" w:type="dxa"/>
            </w:tcMar>
          </w:tcPr>
          <w:p w14:paraId="3BA77231" w14:textId="51502766" w:rsidR="7EDCB167" w:rsidRPr="006333CA" w:rsidRDefault="7EDCB167" w:rsidP="7FB341D9">
            <w:pPr>
              <w:rPr>
                <w:rFonts w:ascii="Arial" w:eastAsia="Arial" w:hAnsi="Arial" w:cs="Arial"/>
                <w:sz w:val="20"/>
                <w:szCs w:val="20"/>
              </w:rPr>
            </w:pPr>
            <w:r w:rsidRPr="006333CA">
              <w:rPr>
                <w:rFonts w:ascii="Arial" w:eastAsia="Arial" w:hAnsi="Arial" w:cs="Arial"/>
                <w:sz w:val="20"/>
                <w:szCs w:val="20"/>
              </w:rPr>
              <w:t>Changes of Ownership</w:t>
            </w:r>
          </w:p>
        </w:tc>
        <w:tc>
          <w:tcPr>
            <w:tcW w:w="3005" w:type="dxa"/>
            <w:tcMar>
              <w:left w:w="105" w:type="dxa"/>
              <w:right w:w="105" w:type="dxa"/>
            </w:tcMar>
            <w:vAlign w:val="center"/>
          </w:tcPr>
          <w:p w14:paraId="38F1393C" w14:textId="5499FB97" w:rsidR="7EDCB167" w:rsidRPr="006333CA" w:rsidRDefault="7EDCB167" w:rsidP="7FB341D9">
            <w:pPr>
              <w:rPr>
                <w:rFonts w:ascii="Arial" w:eastAsia="Arial" w:hAnsi="Arial" w:cs="Arial"/>
                <w:sz w:val="20"/>
                <w:szCs w:val="20"/>
              </w:rPr>
            </w:pPr>
            <w:r w:rsidRPr="006333CA">
              <w:rPr>
                <w:rFonts w:ascii="Arial" w:eastAsia="Arial" w:hAnsi="Arial" w:cs="Arial"/>
                <w:sz w:val="20"/>
                <w:szCs w:val="20"/>
              </w:rPr>
              <w:t>The Contract Manager is making decisions in line with the Pharmacy Policy Handbook.</w:t>
            </w:r>
          </w:p>
        </w:tc>
        <w:tc>
          <w:tcPr>
            <w:tcW w:w="3005" w:type="dxa"/>
            <w:tcMar>
              <w:left w:w="105" w:type="dxa"/>
              <w:right w:w="105" w:type="dxa"/>
            </w:tcMar>
            <w:vAlign w:val="center"/>
          </w:tcPr>
          <w:p w14:paraId="01FAA0F8" w14:textId="4995C158" w:rsidR="7FB341D9" w:rsidRPr="006333CA" w:rsidRDefault="7FB341D9" w:rsidP="7FB341D9">
            <w:pPr>
              <w:rPr>
                <w:rFonts w:ascii="Arial" w:eastAsia="Arial" w:hAnsi="Arial" w:cs="Arial"/>
                <w:sz w:val="20"/>
                <w:szCs w:val="20"/>
              </w:rPr>
            </w:pPr>
          </w:p>
        </w:tc>
      </w:tr>
    </w:tbl>
    <w:p w14:paraId="012F0B18" w14:textId="09366A6A" w:rsidR="00DE649C" w:rsidRPr="006333CA" w:rsidRDefault="00DE649C" w:rsidP="360C4CB1">
      <w:pPr>
        <w:rPr>
          <w:rFonts w:ascii="Arial" w:eastAsia="Arial" w:hAnsi="Arial" w:cs="Arial"/>
          <w:color w:val="000000" w:themeColor="text1"/>
          <w:sz w:val="20"/>
          <w:szCs w:val="20"/>
        </w:rPr>
      </w:pPr>
    </w:p>
    <w:p w14:paraId="7759D2CC" w14:textId="3C99901E" w:rsidR="00DE649C" w:rsidRPr="006333CA" w:rsidRDefault="40471C97" w:rsidP="360C4CB1">
      <w:pPr>
        <w:pStyle w:val="ListParagraph"/>
        <w:numPr>
          <w:ilvl w:val="0"/>
          <w:numId w:val="3"/>
        </w:numPr>
        <w:rPr>
          <w:rFonts w:eastAsia="Arial" w:cs="Arial"/>
          <w:color w:val="000000" w:themeColor="text1"/>
          <w:sz w:val="20"/>
          <w:szCs w:val="20"/>
        </w:rPr>
      </w:pPr>
      <w:r w:rsidRPr="006333CA">
        <w:rPr>
          <w:rFonts w:eastAsia="Arial" w:cs="Arial"/>
          <w:b/>
          <w:color w:val="000000" w:themeColor="text1"/>
          <w:sz w:val="20"/>
          <w:szCs w:val="20"/>
          <w:lang w:val="en-US"/>
        </w:rPr>
        <w:t>Summary of items or issues referred to other committees or the Board over the reporting period.</w:t>
      </w:r>
    </w:p>
    <w:p w14:paraId="7D53C34A" w14:textId="2E0EE7F7" w:rsidR="00DE649C" w:rsidRPr="006333CA" w:rsidRDefault="00DE649C" w:rsidP="360C4CB1">
      <w:pPr>
        <w:spacing w:after="0" w:line="240" w:lineRule="auto"/>
        <w:rPr>
          <w:rFonts w:ascii="Arial" w:eastAsia="Arial" w:hAnsi="Arial" w:cs="Arial"/>
          <w:color w:val="000000" w:themeColor="text1"/>
          <w:sz w:val="20"/>
          <w:szCs w:val="2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24"/>
        <w:gridCol w:w="4311"/>
        <w:gridCol w:w="2680"/>
      </w:tblGrid>
      <w:tr w:rsidR="360C4CB1" w:rsidRPr="005C5112" w14:paraId="068EE4AA" w14:textId="77777777" w:rsidTr="004366FF">
        <w:trPr>
          <w:trHeight w:val="300"/>
        </w:trPr>
        <w:tc>
          <w:tcPr>
            <w:tcW w:w="2024" w:type="dxa"/>
            <w:shd w:val="clear" w:color="auto" w:fill="B2A1C7" w:themeFill="accent4" w:themeFillTint="99"/>
            <w:tcMar>
              <w:left w:w="105" w:type="dxa"/>
              <w:right w:w="105" w:type="dxa"/>
            </w:tcMar>
          </w:tcPr>
          <w:p w14:paraId="3748D415" w14:textId="513E936F"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Committee and Date</w:t>
            </w:r>
          </w:p>
        </w:tc>
        <w:tc>
          <w:tcPr>
            <w:tcW w:w="4311" w:type="dxa"/>
            <w:shd w:val="clear" w:color="auto" w:fill="B2A1C7" w:themeFill="accent4" w:themeFillTint="99"/>
            <w:tcMar>
              <w:left w:w="105" w:type="dxa"/>
              <w:right w:w="105" w:type="dxa"/>
            </w:tcMar>
          </w:tcPr>
          <w:p w14:paraId="49263357" w14:textId="2F48209C"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Item or Issue</w:t>
            </w:r>
          </w:p>
        </w:tc>
        <w:tc>
          <w:tcPr>
            <w:tcW w:w="2680" w:type="dxa"/>
            <w:shd w:val="clear" w:color="auto" w:fill="B2A1C7" w:themeFill="accent4" w:themeFillTint="99"/>
            <w:tcMar>
              <w:left w:w="105" w:type="dxa"/>
              <w:right w:w="105" w:type="dxa"/>
            </w:tcMar>
          </w:tcPr>
          <w:p w14:paraId="313A5E46" w14:textId="715928E6" w:rsidR="360C4CB1" w:rsidRPr="006333CA" w:rsidRDefault="360C4CB1" w:rsidP="360C4CB1">
            <w:pPr>
              <w:contextualSpacing/>
              <w:rPr>
                <w:rFonts w:ascii="Arial" w:eastAsia="Arial" w:hAnsi="Arial" w:cs="Arial"/>
                <w:sz w:val="20"/>
                <w:szCs w:val="20"/>
              </w:rPr>
            </w:pPr>
            <w:r w:rsidRPr="006333CA">
              <w:rPr>
                <w:rFonts w:ascii="Arial" w:eastAsia="Arial" w:hAnsi="Arial" w:cs="Arial"/>
                <w:b/>
                <w:sz w:val="20"/>
                <w:szCs w:val="20"/>
              </w:rPr>
              <w:t>Referred to</w:t>
            </w:r>
          </w:p>
        </w:tc>
      </w:tr>
      <w:tr w:rsidR="360C4CB1" w:rsidRPr="005C5112" w14:paraId="4E3C3FCD" w14:textId="77777777" w:rsidTr="004366FF">
        <w:trPr>
          <w:trHeight w:val="300"/>
        </w:trPr>
        <w:tc>
          <w:tcPr>
            <w:tcW w:w="2024" w:type="dxa"/>
            <w:shd w:val="clear" w:color="auto" w:fill="FFFFFF" w:themeFill="background1"/>
            <w:tcMar>
              <w:left w:w="105" w:type="dxa"/>
              <w:right w:w="105" w:type="dxa"/>
            </w:tcMar>
          </w:tcPr>
          <w:p w14:paraId="7B690363" w14:textId="38E0A128" w:rsidR="360C4CB1" w:rsidRPr="006333CA" w:rsidRDefault="360C4CB1" w:rsidP="360C4CB1">
            <w:pPr>
              <w:rPr>
                <w:rFonts w:ascii="Arial" w:eastAsia="Arial" w:hAnsi="Arial" w:cs="Arial"/>
                <w:sz w:val="20"/>
                <w:szCs w:val="20"/>
              </w:rPr>
            </w:pPr>
          </w:p>
        </w:tc>
        <w:tc>
          <w:tcPr>
            <w:tcW w:w="4311" w:type="dxa"/>
            <w:shd w:val="clear" w:color="auto" w:fill="FFFFFF" w:themeFill="background1"/>
            <w:tcMar>
              <w:left w:w="105" w:type="dxa"/>
              <w:right w:w="105" w:type="dxa"/>
            </w:tcMar>
          </w:tcPr>
          <w:p w14:paraId="4F344E6F" w14:textId="77F7A726" w:rsidR="360C4CB1" w:rsidRPr="006333CA" w:rsidRDefault="360C4CB1" w:rsidP="360C4CB1">
            <w:pPr>
              <w:contextualSpacing/>
              <w:rPr>
                <w:rFonts w:ascii="Arial" w:eastAsia="Arial" w:hAnsi="Arial" w:cs="Arial"/>
                <w:sz w:val="20"/>
                <w:szCs w:val="20"/>
              </w:rPr>
            </w:pPr>
          </w:p>
        </w:tc>
        <w:tc>
          <w:tcPr>
            <w:tcW w:w="2680" w:type="dxa"/>
            <w:shd w:val="clear" w:color="auto" w:fill="FFFFFF" w:themeFill="background1"/>
            <w:tcMar>
              <w:left w:w="105" w:type="dxa"/>
              <w:right w:w="105" w:type="dxa"/>
            </w:tcMar>
          </w:tcPr>
          <w:p w14:paraId="32C236E1" w14:textId="1424F966" w:rsidR="360C4CB1" w:rsidRPr="006333CA" w:rsidRDefault="360C4CB1" w:rsidP="360C4CB1">
            <w:pPr>
              <w:contextualSpacing/>
              <w:rPr>
                <w:rFonts w:ascii="Arial" w:eastAsia="Arial" w:hAnsi="Arial" w:cs="Arial"/>
                <w:sz w:val="20"/>
                <w:szCs w:val="20"/>
              </w:rPr>
            </w:pPr>
          </w:p>
        </w:tc>
      </w:tr>
    </w:tbl>
    <w:p w14:paraId="69C0AC2D" w14:textId="77777777" w:rsidR="00F51B30" w:rsidRPr="006333CA" w:rsidRDefault="00F51B30" w:rsidP="00977519">
      <w:pPr>
        <w:pStyle w:val="ListParagraph"/>
        <w:rPr>
          <w:rFonts w:cs="Arial"/>
          <w:sz w:val="20"/>
          <w:szCs w:val="20"/>
        </w:rPr>
      </w:pPr>
    </w:p>
    <w:p w14:paraId="7846E19A" w14:textId="77777777" w:rsidR="00F51B30" w:rsidRPr="006333CA" w:rsidRDefault="00F51B30" w:rsidP="00977519">
      <w:pPr>
        <w:pStyle w:val="ListParagraph"/>
        <w:rPr>
          <w:rFonts w:cs="Arial"/>
          <w:sz w:val="20"/>
          <w:szCs w:val="20"/>
        </w:rPr>
      </w:pPr>
    </w:p>
    <w:p w14:paraId="0E5FE46A" w14:textId="77777777" w:rsidR="00D0534C" w:rsidRPr="006333CA" w:rsidRDefault="00D0534C" w:rsidP="007D45A7">
      <w:pPr>
        <w:spacing w:after="0" w:line="240" w:lineRule="auto"/>
        <w:rPr>
          <w:rFonts w:ascii="Arial" w:eastAsia="Arial" w:hAnsi="Arial" w:cs="Arial"/>
          <w:color w:val="000000" w:themeColor="text1"/>
          <w:sz w:val="20"/>
          <w:szCs w:val="20"/>
        </w:rPr>
      </w:pPr>
    </w:p>
    <w:p w14:paraId="7588B7E2" w14:textId="77777777" w:rsidR="0088175D" w:rsidRPr="006333CA" w:rsidRDefault="0088175D" w:rsidP="0088175D">
      <w:pPr>
        <w:rPr>
          <w:rFonts w:ascii="Arial" w:eastAsia="Arial" w:hAnsi="Arial" w:cs="Arial"/>
          <w:color w:val="000000" w:themeColor="text1"/>
          <w:sz w:val="20"/>
          <w:szCs w:val="20"/>
        </w:rPr>
      </w:pPr>
    </w:p>
    <w:tbl>
      <w:tblPr>
        <w:tblStyle w:val="TableGrid"/>
        <w:tblW w:w="9615" w:type="dxa"/>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1830"/>
        <w:gridCol w:w="2970"/>
      </w:tblGrid>
      <w:tr w:rsidR="0088175D" w:rsidRPr="006333CA" w14:paraId="7DD277D1" w14:textId="77777777" w:rsidTr="00673CC8">
        <w:trPr>
          <w:trHeight w:val="300"/>
        </w:trPr>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14:paraId="190340CE" w14:textId="62C6B2ED" w:rsidR="0088175D" w:rsidRPr="006333CA" w:rsidRDefault="0088175D" w:rsidP="00673CC8">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 xml:space="preserve">Committee: </w:t>
            </w:r>
            <w:r w:rsidR="000F4463" w:rsidRPr="006333CA">
              <w:rPr>
                <w:rFonts w:ascii="Arial" w:eastAsia="Arial" w:hAnsi="Arial" w:cs="Arial"/>
                <w:color w:val="808080" w:themeColor="background1" w:themeShade="80"/>
                <w:sz w:val="20"/>
                <w:szCs w:val="20"/>
                <w:lang w:val="en-US"/>
              </w:rPr>
              <w:t>Primary Optometric Services Group</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2CD9E14D" w14:textId="69C174D3" w:rsidR="0088175D" w:rsidRPr="006333CA" w:rsidRDefault="0088175D" w:rsidP="00673CC8">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Date: 11</w:t>
            </w:r>
            <w:r w:rsidRPr="006333CA">
              <w:rPr>
                <w:rFonts w:ascii="Arial" w:eastAsia="Arial" w:hAnsi="Arial" w:cs="Arial"/>
                <w:color w:val="808080" w:themeColor="background1" w:themeShade="80"/>
                <w:sz w:val="20"/>
                <w:szCs w:val="20"/>
                <w:vertAlign w:val="superscript"/>
                <w:lang w:val="en-US"/>
              </w:rPr>
              <w:t>th</w:t>
            </w:r>
            <w:r w:rsidR="00F41E53" w:rsidRPr="006333CA">
              <w:rPr>
                <w:rFonts w:ascii="Arial" w:eastAsia="Arial" w:hAnsi="Arial" w:cs="Arial"/>
                <w:color w:val="808080" w:themeColor="background1" w:themeShade="80"/>
                <w:sz w:val="20"/>
                <w:szCs w:val="20"/>
                <w:lang w:val="en-US"/>
              </w:rPr>
              <w:t xml:space="preserve"> February 2026</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DA4FEDF" w14:textId="0CD34371" w:rsidR="0088175D" w:rsidRPr="006333CA" w:rsidRDefault="0088175D" w:rsidP="00673CC8">
            <w:pPr>
              <w:pStyle w:val="Heading1"/>
              <w:spacing w:before="120"/>
              <w:rPr>
                <w:rFonts w:ascii="Arial" w:eastAsia="Arial" w:hAnsi="Arial" w:cs="Arial"/>
                <w:color w:val="808080" w:themeColor="background1" w:themeShade="80"/>
                <w:sz w:val="20"/>
                <w:szCs w:val="20"/>
              </w:rPr>
            </w:pPr>
            <w:r w:rsidRPr="006333CA">
              <w:rPr>
                <w:rFonts w:ascii="Arial" w:eastAsia="Arial" w:hAnsi="Arial" w:cs="Arial"/>
                <w:color w:val="808080" w:themeColor="background1" w:themeShade="80"/>
                <w:sz w:val="20"/>
                <w:szCs w:val="20"/>
                <w:lang w:val="en-US"/>
              </w:rPr>
              <w:t xml:space="preserve">Chair: </w:t>
            </w:r>
            <w:r w:rsidR="000F4463" w:rsidRPr="006333CA">
              <w:rPr>
                <w:rFonts w:ascii="Arial" w:eastAsia="Arial" w:hAnsi="Arial" w:cs="Arial"/>
                <w:color w:val="808080" w:themeColor="background1" w:themeShade="80"/>
                <w:sz w:val="20"/>
                <w:szCs w:val="20"/>
                <w:lang w:val="en-US"/>
              </w:rPr>
              <w:t>Dawn Haworth</w:t>
            </w:r>
          </w:p>
        </w:tc>
      </w:tr>
    </w:tbl>
    <w:p w14:paraId="0E4B7FB8" w14:textId="77777777" w:rsidR="0088175D" w:rsidRPr="006333CA" w:rsidRDefault="0088175D" w:rsidP="0088175D">
      <w:pPr>
        <w:spacing w:after="0" w:line="240" w:lineRule="auto"/>
        <w:ind w:left="1440"/>
        <w:contextualSpacing/>
        <w:rPr>
          <w:rFonts w:ascii="Arial" w:eastAsia="Arial" w:hAnsi="Arial" w:cs="Arial"/>
          <w:color w:val="000000" w:themeColor="text1"/>
          <w:sz w:val="20"/>
          <w:szCs w:val="20"/>
        </w:rPr>
      </w:pPr>
    </w:p>
    <w:tbl>
      <w:tblPr>
        <w:tblStyle w:val="TableGrid"/>
        <w:tblW w:w="9597" w:type="dxa"/>
        <w:tblInd w:w="-300"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2702"/>
        <w:gridCol w:w="4394"/>
        <w:gridCol w:w="2501"/>
      </w:tblGrid>
      <w:tr w:rsidR="0088175D" w:rsidRPr="006333CA" w14:paraId="2BBAAE5B" w14:textId="77777777" w:rsidTr="00673CC8">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016F73D0" w14:textId="77777777" w:rsidR="0088175D" w:rsidRPr="006333CA" w:rsidRDefault="0088175D" w:rsidP="00673CC8">
            <w:pPr>
              <w:spacing w:after="255"/>
              <w:contextualSpacing/>
              <w:rPr>
                <w:rFonts w:ascii="Arial" w:eastAsia="Arial" w:hAnsi="Arial" w:cs="Arial"/>
                <w:color w:val="FFFFFF" w:themeColor="background1"/>
                <w:sz w:val="20"/>
                <w:szCs w:val="20"/>
              </w:rPr>
            </w:pPr>
            <w:r w:rsidRPr="006333CA">
              <w:rPr>
                <w:rFonts w:ascii="Arial" w:eastAsia="Arial" w:hAnsi="Arial" w:cs="Arial"/>
                <w:b/>
                <w:bCs/>
                <w:smallCaps/>
                <w:color w:val="FFFFFF" w:themeColor="background1"/>
                <w:sz w:val="20"/>
                <w:szCs w:val="20"/>
              </w:rPr>
              <w:t>K</w:t>
            </w:r>
            <w:r w:rsidRPr="006333CA">
              <w:rPr>
                <w:rFonts w:ascii="Arial" w:eastAsia="Arial" w:hAnsi="Arial" w:cs="Arial"/>
                <w:b/>
                <w:bCs/>
                <w:color w:val="FFFFFF" w:themeColor="background1"/>
                <w:sz w:val="20"/>
                <w:szCs w:val="20"/>
              </w:rPr>
              <w:t>ey Items Discussed</w:t>
            </w:r>
          </w:p>
        </w:tc>
      </w:tr>
      <w:tr w:rsidR="0088175D" w:rsidRPr="006333CA" w14:paraId="21B9C314"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3BFB0F4" w14:textId="77777777" w:rsidR="0088175D" w:rsidRPr="006333CA" w:rsidRDefault="0088175D" w:rsidP="00673CC8">
            <w:pPr>
              <w:spacing w:after="255"/>
              <w:contextualSpacing/>
              <w:rPr>
                <w:rFonts w:ascii="Arial" w:eastAsia="Arial" w:hAnsi="Arial" w:cs="Arial"/>
                <w:sz w:val="20"/>
                <w:szCs w:val="20"/>
              </w:rPr>
            </w:pPr>
            <w:r w:rsidRPr="006333CA">
              <w:rPr>
                <w:rFonts w:ascii="Arial" w:eastAsia="Arial" w:hAnsi="Arial" w:cs="Arial"/>
                <w:b/>
                <w:bCs/>
                <w:sz w:val="20"/>
                <w:szCs w:val="20"/>
              </w:rPr>
              <w:t>Issue</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BF44217" w14:textId="77777777" w:rsidR="0088175D" w:rsidRPr="006333CA" w:rsidRDefault="0088175D" w:rsidP="00673CC8">
            <w:pPr>
              <w:spacing w:after="255"/>
              <w:contextualSpacing/>
              <w:rPr>
                <w:rFonts w:ascii="Arial" w:eastAsia="Arial" w:hAnsi="Arial" w:cs="Arial"/>
                <w:sz w:val="20"/>
                <w:szCs w:val="20"/>
              </w:rPr>
            </w:pPr>
            <w:r w:rsidRPr="006333CA">
              <w:rPr>
                <w:rFonts w:ascii="Arial" w:eastAsia="Arial" w:hAnsi="Arial" w:cs="Arial"/>
                <w:b/>
                <w:bCs/>
                <w:sz w:val="20"/>
                <w:szCs w:val="20"/>
              </w:rPr>
              <w:t>Committee Update</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4984C73" w14:textId="77777777" w:rsidR="0088175D" w:rsidRPr="006333CA" w:rsidRDefault="0088175D" w:rsidP="00673CC8">
            <w:pPr>
              <w:spacing w:after="255"/>
              <w:contextualSpacing/>
              <w:rPr>
                <w:rFonts w:ascii="Arial" w:eastAsia="Arial" w:hAnsi="Arial" w:cs="Arial"/>
                <w:sz w:val="20"/>
                <w:szCs w:val="20"/>
              </w:rPr>
            </w:pPr>
            <w:r w:rsidRPr="006333CA">
              <w:rPr>
                <w:rFonts w:ascii="Arial" w:eastAsia="Arial" w:hAnsi="Arial" w:cs="Arial"/>
                <w:b/>
                <w:bCs/>
                <w:sz w:val="20"/>
                <w:szCs w:val="20"/>
              </w:rPr>
              <w:t>Action</w:t>
            </w:r>
          </w:p>
        </w:tc>
      </w:tr>
      <w:tr w:rsidR="0088175D" w:rsidRPr="006333CA" w14:paraId="61BB0874" w14:textId="77777777" w:rsidTr="00673CC8">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FF5050"/>
            <w:tcMar>
              <w:left w:w="105" w:type="dxa"/>
              <w:right w:w="105" w:type="dxa"/>
            </w:tcMar>
          </w:tcPr>
          <w:p w14:paraId="6E7D8DEF" w14:textId="77777777" w:rsidR="0088175D" w:rsidRPr="006333CA" w:rsidRDefault="0088175D" w:rsidP="00673CC8">
            <w:pPr>
              <w:spacing w:after="255"/>
              <w:contextualSpacing/>
              <w:rPr>
                <w:rFonts w:ascii="Arial" w:eastAsia="Arial" w:hAnsi="Arial" w:cs="Arial"/>
                <w:color w:val="FFFFFF" w:themeColor="background1"/>
                <w:sz w:val="20"/>
                <w:szCs w:val="20"/>
              </w:rPr>
            </w:pPr>
            <w:r w:rsidRPr="006333CA">
              <w:rPr>
                <w:rFonts w:ascii="Arial" w:eastAsia="Arial" w:hAnsi="Arial" w:cs="Arial"/>
                <w:b/>
                <w:bCs/>
                <w:color w:val="FFFFFF" w:themeColor="background1"/>
                <w:sz w:val="20"/>
                <w:szCs w:val="20"/>
              </w:rPr>
              <w:t xml:space="preserve">Alert </w:t>
            </w:r>
          </w:p>
        </w:tc>
      </w:tr>
      <w:tr w:rsidR="0088175D" w:rsidRPr="006333CA" w14:paraId="12D74513"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5F402314" w14:textId="77777777" w:rsidR="0088175D" w:rsidRPr="006333CA" w:rsidRDefault="0088175D" w:rsidP="00673CC8">
            <w:pPr>
              <w:spacing w:after="255"/>
              <w:contextualSpacing/>
              <w:rPr>
                <w:rFonts w:ascii="Arial" w:eastAsia="Arial" w:hAnsi="Arial" w:cs="Arial"/>
                <w:sz w:val="20"/>
                <w:szCs w:val="20"/>
              </w:rPr>
            </w:pP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3A8EA768" w14:textId="77777777" w:rsidR="0088175D" w:rsidRPr="006333CA" w:rsidRDefault="0088175D" w:rsidP="00673CC8">
            <w:pPr>
              <w:spacing w:after="255"/>
              <w:contextualSpacing/>
              <w:jc w:val="center"/>
              <w:rPr>
                <w:rFonts w:ascii="Arial" w:eastAsia="Arial" w:hAnsi="Arial" w:cs="Arial"/>
                <w:b/>
                <w:bCs/>
                <w:sz w:val="20"/>
                <w:szCs w:val="20"/>
              </w:rPr>
            </w:pPr>
            <w:r w:rsidRPr="006333CA">
              <w:rPr>
                <w:rFonts w:ascii="Arial" w:eastAsia="Arial" w:hAnsi="Arial" w:cs="Arial"/>
                <w:b/>
                <w:bCs/>
                <w:sz w:val="20"/>
                <w:szCs w:val="20"/>
              </w:rPr>
              <w:t>Nothing to Escalate</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0DB92543" w14:textId="77777777" w:rsidR="0088175D" w:rsidRPr="006333CA" w:rsidRDefault="0088175D" w:rsidP="00673CC8">
            <w:pPr>
              <w:spacing w:after="255"/>
              <w:contextualSpacing/>
              <w:rPr>
                <w:rFonts w:ascii="Arial" w:eastAsia="Arial" w:hAnsi="Arial" w:cs="Arial"/>
                <w:sz w:val="20"/>
                <w:szCs w:val="20"/>
              </w:rPr>
            </w:pPr>
          </w:p>
        </w:tc>
      </w:tr>
      <w:tr w:rsidR="0088175D" w:rsidRPr="006333CA" w14:paraId="70F8757F" w14:textId="77777777" w:rsidTr="00673CC8">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FFC000"/>
            <w:tcMar>
              <w:left w:w="105" w:type="dxa"/>
              <w:right w:w="105" w:type="dxa"/>
            </w:tcMar>
          </w:tcPr>
          <w:p w14:paraId="67819330" w14:textId="77777777" w:rsidR="0088175D" w:rsidRPr="006333CA" w:rsidRDefault="0088175D" w:rsidP="00673CC8">
            <w:pPr>
              <w:spacing w:after="255"/>
              <w:contextualSpacing/>
              <w:rPr>
                <w:rFonts w:ascii="Arial" w:eastAsia="Arial" w:hAnsi="Arial" w:cs="Arial"/>
                <w:color w:val="000000" w:themeColor="text1"/>
                <w:sz w:val="20"/>
                <w:szCs w:val="20"/>
              </w:rPr>
            </w:pPr>
            <w:r w:rsidRPr="006333CA">
              <w:rPr>
                <w:rFonts w:ascii="Arial" w:eastAsia="Arial" w:hAnsi="Arial" w:cs="Arial"/>
                <w:b/>
                <w:bCs/>
                <w:color w:val="000000" w:themeColor="text1"/>
                <w:sz w:val="20"/>
                <w:szCs w:val="20"/>
              </w:rPr>
              <w:t xml:space="preserve">Advise </w:t>
            </w:r>
          </w:p>
        </w:tc>
      </w:tr>
      <w:tr w:rsidR="0088175D" w:rsidRPr="006333CA" w14:paraId="70CEC26B"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06C079E8" w14:textId="7B455873" w:rsidR="0088175D" w:rsidRPr="006333CA" w:rsidRDefault="00F41E53"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t>Suspended Contractor</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70D9A0DB" w14:textId="77777777" w:rsidR="008161CB" w:rsidRPr="006333CA" w:rsidRDefault="00F41E53" w:rsidP="00F41E53">
            <w:pPr>
              <w:widowControl w:val="0"/>
              <w:rPr>
                <w:rFonts w:ascii="Arial" w:eastAsia="Arial" w:hAnsi="Arial" w:cs="Arial"/>
                <w:color w:val="000000" w:themeColor="text1"/>
                <w:sz w:val="20"/>
                <w:szCs w:val="20"/>
              </w:rPr>
            </w:pPr>
            <w:r w:rsidRPr="006333CA">
              <w:rPr>
                <w:rFonts w:ascii="Arial" w:eastAsia="Arial" w:hAnsi="Arial" w:cs="Arial"/>
                <w:color w:val="000000" w:themeColor="text1"/>
                <w:sz w:val="20"/>
                <w:szCs w:val="20"/>
              </w:rPr>
              <w:t xml:space="preserve">The group reviewed the case of a contractor who has existing applications and contracts across multiple regions but is currently suspended by external regulators, creating uncertainty about their ability to continue operating. </w:t>
            </w:r>
          </w:p>
          <w:p w14:paraId="6DD95753" w14:textId="77777777" w:rsidR="008161CB" w:rsidRPr="006333CA" w:rsidRDefault="008161CB" w:rsidP="00F41E53">
            <w:pPr>
              <w:widowControl w:val="0"/>
              <w:rPr>
                <w:rFonts w:ascii="Arial" w:eastAsia="Arial" w:hAnsi="Arial" w:cs="Arial"/>
                <w:color w:val="000000" w:themeColor="text1"/>
                <w:sz w:val="20"/>
                <w:szCs w:val="20"/>
              </w:rPr>
            </w:pPr>
          </w:p>
          <w:p w14:paraId="579656B4" w14:textId="77777777" w:rsidR="008161CB" w:rsidRPr="006333CA" w:rsidRDefault="00F41E53" w:rsidP="00F41E53">
            <w:pPr>
              <w:widowControl w:val="0"/>
              <w:rPr>
                <w:rFonts w:ascii="Arial" w:eastAsia="Arial" w:hAnsi="Arial" w:cs="Arial"/>
                <w:color w:val="000000" w:themeColor="text1"/>
                <w:sz w:val="20"/>
                <w:szCs w:val="20"/>
              </w:rPr>
            </w:pPr>
            <w:r w:rsidRPr="006333CA">
              <w:rPr>
                <w:rFonts w:ascii="Arial" w:eastAsia="Arial" w:hAnsi="Arial" w:cs="Arial"/>
                <w:color w:val="000000" w:themeColor="text1"/>
                <w:sz w:val="20"/>
                <w:szCs w:val="20"/>
              </w:rPr>
              <w:t>The contractor has been arrested, removed from the West Yorkshire performers list, and given a ten</w:t>
            </w:r>
            <w:r w:rsidRPr="006333CA">
              <w:rPr>
                <w:rFonts w:ascii="Arial" w:eastAsia="Arial" w:hAnsi="Arial" w:cs="Arial"/>
                <w:color w:val="000000" w:themeColor="text1"/>
                <w:sz w:val="20"/>
                <w:szCs w:val="20"/>
              </w:rPr>
              <w:noBreakHyphen/>
              <w:t xml:space="preserve">month interim suspension by the General Optical Council, with West Yorkshire ICB still considering whether to terminate their contract. </w:t>
            </w:r>
          </w:p>
          <w:p w14:paraId="510A57B7" w14:textId="77777777" w:rsidR="008161CB" w:rsidRPr="006333CA" w:rsidRDefault="008161CB" w:rsidP="00F41E53">
            <w:pPr>
              <w:widowControl w:val="0"/>
              <w:rPr>
                <w:rFonts w:ascii="Arial" w:eastAsia="Arial" w:hAnsi="Arial" w:cs="Arial"/>
                <w:color w:val="000000" w:themeColor="text1"/>
                <w:sz w:val="20"/>
                <w:szCs w:val="20"/>
              </w:rPr>
            </w:pPr>
          </w:p>
          <w:p w14:paraId="1DFF4968" w14:textId="77777777" w:rsidR="008161CB" w:rsidRPr="006333CA" w:rsidRDefault="00F41E53" w:rsidP="00F41E53">
            <w:pPr>
              <w:widowControl w:val="0"/>
              <w:rPr>
                <w:rFonts w:ascii="Arial" w:eastAsia="Arial" w:hAnsi="Arial" w:cs="Arial"/>
                <w:color w:val="000000" w:themeColor="text1"/>
                <w:sz w:val="20"/>
                <w:szCs w:val="20"/>
              </w:rPr>
            </w:pPr>
            <w:r w:rsidRPr="006333CA">
              <w:rPr>
                <w:rFonts w:ascii="Arial" w:eastAsia="Arial" w:hAnsi="Arial" w:cs="Arial"/>
                <w:color w:val="000000" w:themeColor="text1"/>
                <w:sz w:val="20"/>
                <w:szCs w:val="20"/>
              </w:rPr>
              <w:t xml:space="preserve">With NHS BSA coordinating issues across affected ICBs, the group agreed they must write to the contractor to acknowledge the suspension, request evidence of how safe and continuous service delivery will be maintained, and seek clarity on the handling of patient records, prescriptions, and outstanding orders should termination occur. </w:t>
            </w:r>
          </w:p>
          <w:p w14:paraId="7FE90B4D" w14:textId="77777777" w:rsidR="008161CB" w:rsidRPr="006333CA" w:rsidRDefault="008161CB" w:rsidP="00F41E53">
            <w:pPr>
              <w:widowControl w:val="0"/>
              <w:rPr>
                <w:rFonts w:ascii="Arial" w:eastAsia="Arial" w:hAnsi="Arial" w:cs="Arial"/>
                <w:color w:val="000000" w:themeColor="text1"/>
                <w:sz w:val="20"/>
                <w:szCs w:val="20"/>
              </w:rPr>
            </w:pPr>
          </w:p>
          <w:p w14:paraId="21117AFF" w14:textId="53D75A13" w:rsidR="0088175D" w:rsidRPr="006333CA" w:rsidRDefault="00F41E53" w:rsidP="00673CC8">
            <w:pPr>
              <w:widowControl w:val="0"/>
              <w:rPr>
                <w:rFonts w:ascii="Arial" w:eastAsia="Arial" w:hAnsi="Arial" w:cs="Arial"/>
                <w:color w:val="000000" w:themeColor="text1"/>
                <w:sz w:val="20"/>
                <w:szCs w:val="20"/>
              </w:rPr>
            </w:pPr>
            <w:r w:rsidRPr="006333CA">
              <w:rPr>
                <w:rFonts w:ascii="Arial" w:eastAsia="Arial" w:hAnsi="Arial" w:cs="Arial"/>
                <w:color w:val="000000" w:themeColor="text1"/>
                <w:sz w:val="20"/>
                <w:szCs w:val="20"/>
              </w:rPr>
              <w:t>Given the seriousness of the situation and the ICB’s statutory duties, the group emphasised that proactive action is necessary to demonstrate appropriate governance and risk management.</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36A84794" w14:textId="5478839F" w:rsidR="0088175D" w:rsidRPr="006333CA" w:rsidRDefault="00F41E53" w:rsidP="00673CC8">
            <w:pPr>
              <w:spacing w:after="255"/>
              <w:rPr>
                <w:rFonts w:ascii="Arial" w:eastAsia="Arial" w:hAnsi="Arial" w:cs="Arial"/>
                <w:sz w:val="20"/>
                <w:szCs w:val="20"/>
              </w:rPr>
            </w:pPr>
            <w:r w:rsidRPr="006333CA">
              <w:rPr>
                <w:rFonts w:ascii="Arial" w:eastAsia="Arial" w:hAnsi="Arial" w:cs="Arial"/>
                <w:sz w:val="20"/>
                <w:szCs w:val="20"/>
              </w:rPr>
              <w:t xml:space="preserve">Delivery Assurance Team to write to </w:t>
            </w:r>
            <w:r w:rsidR="003D25A8" w:rsidRPr="006333CA">
              <w:rPr>
                <w:rFonts w:ascii="Arial" w:eastAsia="Arial" w:hAnsi="Arial" w:cs="Arial"/>
                <w:sz w:val="20"/>
                <w:szCs w:val="20"/>
              </w:rPr>
              <w:t xml:space="preserve">suspended contractor </w:t>
            </w:r>
            <w:r w:rsidR="008161CB" w:rsidRPr="006333CA">
              <w:rPr>
                <w:rFonts w:ascii="Arial" w:eastAsia="Arial" w:hAnsi="Arial" w:cs="Arial"/>
                <w:sz w:val="20"/>
                <w:szCs w:val="20"/>
              </w:rPr>
              <w:t>to request assurance regarding safe service arrangements and continuity of care.</w:t>
            </w:r>
          </w:p>
        </w:tc>
      </w:tr>
      <w:tr w:rsidR="0088175D" w:rsidRPr="006333CA" w14:paraId="467A9BE2"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2028EF1E" w14:textId="74957FAF" w:rsidR="0088175D" w:rsidRPr="006333CA" w:rsidRDefault="00BE3149"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lastRenderedPageBreak/>
              <w:t>Domiciliary Contract</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41E52391" w14:textId="77777777" w:rsidR="000D6EFC" w:rsidRPr="006333CA" w:rsidRDefault="000D6EFC" w:rsidP="000D6EFC">
            <w:pPr>
              <w:widowControl w:val="0"/>
              <w:rPr>
                <w:rFonts w:ascii="Arial" w:hAnsi="Arial" w:cs="Arial"/>
                <w:sz w:val="20"/>
                <w:szCs w:val="20"/>
              </w:rPr>
            </w:pPr>
            <w:r w:rsidRPr="006333CA">
              <w:rPr>
                <w:rFonts w:ascii="Arial" w:hAnsi="Arial" w:cs="Arial"/>
                <w:sz w:val="20"/>
                <w:szCs w:val="20"/>
              </w:rPr>
              <w:t xml:space="preserve">A new application for a domiciliary General Ophthalmic Services (GOS) contract was reviewed, during which the group noted serious concerns previously raised by East Midlands ICB following extensive checks into earlier issues involving this contractor. </w:t>
            </w:r>
          </w:p>
          <w:p w14:paraId="1A70FAC5" w14:textId="77777777" w:rsidR="000D6EFC" w:rsidRPr="006333CA" w:rsidRDefault="000D6EFC" w:rsidP="000D6EFC">
            <w:pPr>
              <w:widowControl w:val="0"/>
              <w:rPr>
                <w:rFonts w:ascii="Arial" w:hAnsi="Arial" w:cs="Arial"/>
                <w:sz w:val="20"/>
                <w:szCs w:val="20"/>
              </w:rPr>
            </w:pPr>
          </w:p>
          <w:p w14:paraId="34BB36A1" w14:textId="77777777" w:rsidR="009267EE" w:rsidRPr="006333CA" w:rsidRDefault="000D6EFC" w:rsidP="000D6EFC">
            <w:pPr>
              <w:widowControl w:val="0"/>
              <w:rPr>
                <w:rFonts w:ascii="Arial" w:hAnsi="Arial" w:cs="Arial"/>
                <w:sz w:val="20"/>
                <w:szCs w:val="20"/>
              </w:rPr>
            </w:pPr>
            <w:r w:rsidRPr="006333CA">
              <w:rPr>
                <w:rFonts w:ascii="Arial" w:hAnsi="Arial" w:cs="Arial"/>
                <w:sz w:val="20"/>
                <w:szCs w:val="20"/>
              </w:rPr>
              <w:t>East Midlands reported long</w:t>
            </w:r>
            <w:r w:rsidRPr="006333CA">
              <w:rPr>
                <w:rFonts w:ascii="Arial" w:hAnsi="Arial" w:cs="Arial"/>
                <w:sz w:val="20"/>
                <w:szCs w:val="20"/>
              </w:rPr>
              <w:noBreakHyphen/>
              <w:t>standing problems with governance, conduct, and compliance, including repeated breaches of GOS contractual boundaries and significant safeguarding and data governance issues, such as unsolicited contact with care homes outside authorised areas to request resident lists and dates of birth while falsely claiming to act on behalf of the NHS</w:t>
            </w:r>
            <w:r w:rsidR="009267EE" w:rsidRPr="006333CA">
              <w:rPr>
                <w:rFonts w:ascii="Arial" w:hAnsi="Arial" w:cs="Arial"/>
                <w:sz w:val="20"/>
                <w:szCs w:val="20"/>
              </w:rPr>
              <w:t xml:space="preserve"> </w:t>
            </w:r>
            <w:r w:rsidRPr="006333CA">
              <w:rPr>
                <w:rFonts w:ascii="Arial" w:hAnsi="Arial" w:cs="Arial"/>
                <w:sz w:val="20"/>
                <w:szCs w:val="20"/>
              </w:rPr>
              <w:t xml:space="preserve">an action prohibited under Section 5.2 of NHS eye care policy. </w:t>
            </w:r>
          </w:p>
          <w:p w14:paraId="5D9F1341" w14:textId="77777777" w:rsidR="009267EE" w:rsidRPr="006333CA" w:rsidRDefault="009267EE" w:rsidP="000D6EFC">
            <w:pPr>
              <w:widowControl w:val="0"/>
              <w:rPr>
                <w:rFonts w:ascii="Arial" w:hAnsi="Arial" w:cs="Arial"/>
                <w:sz w:val="20"/>
                <w:szCs w:val="20"/>
              </w:rPr>
            </w:pPr>
          </w:p>
          <w:p w14:paraId="6E142984" w14:textId="77777777" w:rsidR="009267EE" w:rsidRPr="006333CA" w:rsidRDefault="000D6EFC" w:rsidP="000D6EFC">
            <w:pPr>
              <w:widowControl w:val="0"/>
              <w:rPr>
                <w:rFonts w:ascii="Arial" w:hAnsi="Arial" w:cs="Arial"/>
                <w:sz w:val="20"/>
                <w:szCs w:val="20"/>
              </w:rPr>
            </w:pPr>
            <w:r w:rsidRPr="006333CA">
              <w:rPr>
                <w:rFonts w:ascii="Arial" w:hAnsi="Arial" w:cs="Arial"/>
                <w:sz w:val="20"/>
                <w:szCs w:val="20"/>
              </w:rPr>
              <w:t xml:space="preserve">Further concerns arose from the contractor approaching care homes in areas where they held no domiciliary contract, including Birmingham and Cheshire &amp; Mersey, indicating activity outside their permitted scope. </w:t>
            </w:r>
          </w:p>
          <w:p w14:paraId="379FCD7D" w14:textId="77777777" w:rsidR="009267EE" w:rsidRPr="006333CA" w:rsidRDefault="009267EE" w:rsidP="000D6EFC">
            <w:pPr>
              <w:widowControl w:val="0"/>
              <w:rPr>
                <w:rFonts w:ascii="Arial" w:hAnsi="Arial" w:cs="Arial"/>
                <w:sz w:val="20"/>
                <w:szCs w:val="20"/>
              </w:rPr>
            </w:pPr>
          </w:p>
          <w:p w14:paraId="7EE763FA" w14:textId="77777777" w:rsidR="0088175D" w:rsidRPr="006333CA" w:rsidRDefault="000D6EFC" w:rsidP="00673CC8">
            <w:pPr>
              <w:widowControl w:val="0"/>
              <w:rPr>
                <w:rFonts w:ascii="Arial" w:hAnsi="Arial" w:cs="Arial"/>
                <w:sz w:val="20"/>
                <w:szCs w:val="20"/>
              </w:rPr>
            </w:pPr>
            <w:r w:rsidRPr="006333CA">
              <w:rPr>
                <w:rFonts w:ascii="Arial" w:hAnsi="Arial" w:cs="Arial"/>
                <w:sz w:val="20"/>
                <w:szCs w:val="20"/>
              </w:rPr>
              <w:t>Multiple ICBs have independently reported similar issues, showing a consistent pattern of non</w:t>
            </w:r>
            <w:r w:rsidRPr="006333CA">
              <w:rPr>
                <w:rFonts w:ascii="Arial" w:hAnsi="Arial" w:cs="Arial"/>
                <w:sz w:val="20"/>
                <w:szCs w:val="20"/>
              </w:rPr>
              <w:noBreakHyphen/>
              <w:t>compliant behaviour rather than isolated incidents, and collectively raising substantial concerns about the contractor’s ability to provide safe, lawful, and compliant services.</w:t>
            </w:r>
          </w:p>
          <w:p w14:paraId="4DEAB846" w14:textId="77777777" w:rsidR="006F6112" w:rsidRPr="006333CA" w:rsidRDefault="006F6112" w:rsidP="00673CC8">
            <w:pPr>
              <w:widowControl w:val="0"/>
              <w:rPr>
                <w:rFonts w:ascii="Arial" w:hAnsi="Arial" w:cs="Arial"/>
                <w:sz w:val="20"/>
                <w:szCs w:val="20"/>
              </w:rPr>
            </w:pPr>
          </w:p>
          <w:p w14:paraId="5D6A16C2" w14:textId="7206BEB9" w:rsidR="006F6112" w:rsidRPr="006333CA" w:rsidRDefault="006F6112" w:rsidP="006F6112">
            <w:pPr>
              <w:tabs>
                <w:tab w:val="left" w:pos="2160"/>
              </w:tabs>
              <w:spacing w:line="257" w:lineRule="auto"/>
              <w:rPr>
                <w:rFonts w:ascii="Arial" w:hAnsi="Arial" w:cs="Arial"/>
                <w:b/>
                <w:bCs/>
                <w:sz w:val="20"/>
                <w:szCs w:val="20"/>
              </w:rPr>
            </w:pPr>
            <w:r w:rsidRPr="006333CA">
              <w:rPr>
                <w:rFonts w:ascii="Arial" w:hAnsi="Arial" w:cs="Arial"/>
                <w:b/>
                <w:bCs/>
                <w:sz w:val="20"/>
                <w:szCs w:val="20"/>
              </w:rPr>
              <w:t>The Optometric Services Group agreed that a contract should not be issued in Lancashire and South Cumbria at this time.</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E525F1" w14:textId="77777777" w:rsidR="003F603B" w:rsidRPr="006333CA" w:rsidRDefault="003F603B" w:rsidP="003F603B">
            <w:pPr>
              <w:widowControl w:val="0"/>
              <w:tabs>
                <w:tab w:val="left" w:pos="2160"/>
              </w:tabs>
              <w:spacing w:line="257" w:lineRule="auto"/>
              <w:rPr>
                <w:rFonts w:ascii="Arial" w:hAnsi="Arial" w:cs="Arial"/>
                <w:sz w:val="20"/>
                <w:szCs w:val="20"/>
              </w:rPr>
            </w:pPr>
            <w:r w:rsidRPr="006333CA">
              <w:rPr>
                <w:rFonts w:ascii="Arial" w:hAnsi="Arial" w:cs="Arial"/>
                <w:sz w:val="20"/>
                <w:szCs w:val="20"/>
              </w:rPr>
              <w:t>Delivery Assurance Team to communicate with NHSBSA.</w:t>
            </w:r>
          </w:p>
          <w:p w14:paraId="49F7E78B" w14:textId="77777777" w:rsidR="0088175D" w:rsidRPr="006333CA" w:rsidRDefault="0088175D" w:rsidP="00673CC8">
            <w:pPr>
              <w:spacing w:after="255"/>
              <w:rPr>
                <w:rFonts w:ascii="Arial" w:eastAsia="Arial" w:hAnsi="Arial" w:cs="Arial"/>
                <w:sz w:val="20"/>
                <w:szCs w:val="20"/>
              </w:rPr>
            </w:pPr>
          </w:p>
        </w:tc>
      </w:tr>
      <w:tr w:rsidR="00F8770E" w:rsidRPr="006333CA" w14:paraId="43926CA9"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6C12BBD7" w14:textId="660B81C5" w:rsidR="00F8770E" w:rsidRPr="006333CA" w:rsidRDefault="00F8770E"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t>Post Payment Variation (PPV)</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72DAB614" w14:textId="77777777" w:rsidR="00903E43" w:rsidRPr="006333CA" w:rsidRDefault="00903E43" w:rsidP="00903E43">
            <w:pPr>
              <w:widowControl w:val="0"/>
              <w:rPr>
                <w:rFonts w:ascii="Arial" w:hAnsi="Arial" w:cs="Arial"/>
                <w:sz w:val="20"/>
                <w:szCs w:val="20"/>
              </w:rPr>
            </w:pPr>
            <w:r w:rsidRPr="006333CA">
              <w:rPr>
                <w:rFonts w:ascii="Arial" w:hAnsi="Arial" w:cs="Arial"/>
                <w:sz w:val="20"/>
                <w:szCs w:val="20"/>
              </w:rPr>
              <w:t xml:space="preserve">The group received an update on the latest cycle of Post Payment Verification (PPV) sampling and contractor audits covering claims submitted between 1 April 2022 and 31 March 2024. </w:t>
            </w:r>
          </w:p>
          <w:p w14:paraId="3BFFAE6C" w14:textId="77777777" w:rsidR="00903E43" w:rsidRPr="006333CA" w:rsidRDefault="00903E43" w:rsidP="00903E43">
            <w:pPr>
              <w:widowControl w:val="0"/>
              <w:rPr>
                <w:rFonts w:ascii="Arial" w:hAnsi="Arial" w:cs="Arial"/>
                <w:sz w:val="20"/>
                <w:szCs w:val="20"/>
              </w:rPr>
            </w:pPr>
          </w:p>
          <w:p w14:paraId="22EFF53D" w14:textId="77777777" w:rsidR="000304A5" w:rsidRPr="006333CA" w:rsidRDefault="00903E43" w:rsidP="00903E43">
            <w:pPr>
              <w:widowControl w:val="0"/>
              <w:rPr>
                <w:rFonts w:ascii="Arial" w:hAnsi="Arial" w:cs="Arial"/>
                <w:sz w:val="20"/>
                <w:szCs w:val="20"/>
              </w:rPr>
            </w:pPr>
            <w:r w:rsidRPr="006333CA">
              <w:rPr>
                <w:rFonts w:ascii="Arial" w:hAnsi="Arial" w:cs="Arial"/>
                <w:sz w:val="20"/>
                <w:szCs w:val="20"/>
              </w:rPr>
              <w:t>The risk</w:t>
            </w:r>
            <w:r w:rsidRPr="006333CA">
              <w:rPr>
                <w:rFonts w:ascii="Arial" w:hAnsi="Arial" w:cs="Arial"/>
                <w:sz w:val="20"/>
                <w:szCs w:val="20"/>
              </w:rPr>
              <w:noBreakHyphen/>
              <w:t>sampling data for PPV Period 7 has now been received, and the team, working with the clinical adv</w:t>
            </w:r>
            <w:r w:rsidR="000304A5" w:rsidRPr="006333CA">
              <w:rPr>
                <w:rFonts w:ascii="Arial" w:hAnsi="Arial" w:cs="Arial"/>
                <w:sz w:val="20"/>
                <w:szCs w:val="20"/>
              </w:rPr>
              <w:t>isor</w:t>
            </w:r>
            <w:r w:rsidRPr="006333CA">
              <w:rPr>
                <w:rFonts w:ascii="Arial" w:hAnsi="Arial" w:cs="Arial"/>
                <w:sz w:val="20"/>
                <w:szCs w:val="20"/>
              </w:rPr>
              <w:t xml:space="preserve">, reviewed the reports to identify contractors whose claiming patterns placed them as high outliers. </w:t>
            </w:r>
          </w:p>
          <w:p w14:paraId="1631BE3F" w14:textId="77777777" w:rsidR="000304A5" w:rsidRPr="006333CA" w:rsidRDefault="000304A5" w:rsidP="00903E43">
            <w:pPr>
              <w:widowControl w:val="0"/>
              <w:rPr>
                <w:rFonts w:ascii="Arial" w:hAnsi="Arial" w:cs="Arial"/>
                <w:sz w:val="20"/>
                <w:szCs w:val="20"/>
              </w:rPr>
            </w:pPr>
          </w:p>
          <w:p w14:paraId="23760799" w14:textId="77777777" w:rsidR="000304A5" w:rsidRPr="006333CA" w:rsidRDefault="00903E43" w:rsidP="00903E43">
            <w:pPr>
              <w:widowControl w:val="0"/>
              <w:rPr>
                <w:rFonts w:ascii="Arial" w:hAnsi="Arial" w:cs="Arial"/>
                <w:sz w:val="20"/>
                <w:szCs w:val="20"/>
              </w:rPr>
            </w:pPr>
            <w:r w:rsidRPr="006333CA">
              <w:rPr>
                <w:rFonts w:ascii="Arial" w:hAnsi="Arial" w:cs="Arial"/>
                <w:sz w:val="20"/>
                <w:szCs w:val="20"/>
              </w:rPr>
              <w:t xml:space="preserve">These reports were then issued to the relevant contractors for response and supporting evidence. One contractor disputed their findings and requested a review meeting; after the meeting, they accepted the PPV outcome and the matter was resolved. </w:t>
            </w:r>
          </w:p>
          <w:p w14:paraId="772FB0ED" w14:textId="77777777" w:rsidR="000304A5" w:rsidRPr="006333CA" w:rsidRDefault="000304A5" w:rsidP="00903E43">
            <w:pPr>
              <w:widowControl w:val="0"/>
              <w:rPr>
                <w:rFonts w:ascii="Arial" w:hAnsi="Arial" w:cs="Arial"/>
                <w:sz w:val="20"/>
                <w:szCs w:val="20"/>
              </w:rPr>
            </w:pPr>
          </w:p>
          <w:p w14:paraId="25BD1866" w14:textId="1B6A2EC2" w:rsidR="00F8770E" w:rsidRPr="006333CA" w:rsidRDefault="00903E43" w:rsidP="000D6EFC">
            <w:pPr>
              <w:widowControl w:val="0"/>
              <w:rPr>
                <w:rFonts w:ascii="Arial" w:hAnsi="Arial" w:cs="Arial"/>
                <w:sz w:val="20"/>
                <w:szCs w:val="20"/>
              </w:rPr>
            </w:pPr>
            <w:r w:rsidRPr="006333CA">
              <w:rPr>
                <w:rFonts w:ascii="Arial" w:hAnsi="Arial" w:cs="Arial"/>
                <w:sz w:val="20"/>
                <w:szCs w:val="20"/>
              </w:rPr>
              <w:t>The group noted that they are now awaiting the release of the next PPV dataset, which will support ongoing monitoring of contractor performance and compliance.</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25DCD1B" w14:textId="77777777" w:rsidR="00F8770E" w:rsidRPr="006333CA" w:rsidRDefault="00F8770E" w:rsidP="003F603B">
            <w:pPr>
              <w:widowControl w:val="0"/>
              <w:tabs>
                <w:tab w:val="left" w:pos="2160"/>
              </w:tabs>
              <w:spacing w:line="257" w:lineRule="auto"/>
              <w:rPr>
                <w:rFonts w:ascii="Arial" w:hAnsi="Arial" w:cs="Arial"/>
                <w:sz w:val="20"/>
                <w:szCs w:val="20"/>
              </w:rPr>
            </w:pPr>
          </w:p>
        </w:tc>
      </w:tr>
      <w:tr w:rsidR="00AD5CCC" w:rsidRPr="006333CA" w14:paraId="42DDD5C4"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06CB0062" w14:textId="1F4BCA3A" w:rsidR="00AD5CCC" w:rsidRPr="006333CA" w:rsidRDefault="00AD5CCC"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t>Quality in Optometry (QIO)</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300F76F3" w14:textId="77777777" w:rsidR="00F8680B" w:rsidRPr="006333CA" w:rsidRDefault="00F8680B" w:rsidP="00F8680B">
            <w:pPr>
              <w:widowControl w:val="0"/>
              <w:rPr>
                <w:rFonts w:ascii="Arial" w:hAnsi="Arial" w:cs="Arial"/>
                <w:sz w:val="20"/>
                <w:szCs w:val="20"/>
              </w:rPr>
            </w:pPr>
            <w:r w:rsidRPr="006333CA">
              <w:rPr>
                <w:rFonts w:ascii="Arial" w:hAnsi="Arial" w:cs="Arial"/>
                <w:sz w:val="20"/>
                <w:szCs w:val="20"/>
              </w:rPr>
              <w:t xml:space="preserve">The QIO update highlighted ongoing difficulties engaging with two contractors, one of which has been a longstanding concern for the </w:t>
            </w:r>
            <w:r w:rsidRPr="006333CA">
              <w:rPr>
                <w:rFonts w:ascii="Arial" w:hAnsi="Arial" w:cs="Arial"/>
                <w:sz w:val="20"/>
                <w:szCs w:val="20"/>
              </w:rPr>
              <w:lastRenderedPageBreak/>
              <w:t xml:space="preserve">Delivery Assurance team and the wider group. </w:t>
            </w:r>
          </w:p>
          <w:p w14:paraId="77B61F97" w14:textId="77777777" w:rsidR="00F8680B" w:rsidRPr="006333CA" w:rsidRDefault="00F8680B" w:rsidP="00F8680B">
            <w:pPr>
              <w:widowControl w:val="0"/>
              <w:rPr>
                <w:rFonts w:ascii="Arial" w:hAnsi="Arial" w:cs="Arial"/>
                <w:sz w:val="20"/>
                <w:szCs w:val="20"/>
              </w:rPr>
            </w:pPr>
          </w:p>
          <w:p w14:paraId="54F5E320" w14:textId="77777777" w:rsidR="00F8680B" w:rsidRPr="006333CA" w:rsidRDefault="00F8680B" w:rsidP="00F8680B">
            <w:pPr>
              <w:widowControl w:val="0"/>
              <w:rPr>
                <w:rFonts w:ascii="Arial" w:hAnsi="Arial" w:cs="Arial"/>
                <w:sz w:val="20"/>
                <w:szCs w:val="20"/>
              </w:rPr>
            </w:pPr>
            <w:r w:rsidRPr="006333CA">
              <w:rPr>
                <w:rFonts w:ascii="Arial" w:hAnsi="Arial" w:cs="Arial"/>
                <w:sz w:val="20"/>
                <w:szCs w:val="20"/>
              </w:rPr>
              <w:t xml:space="preserve">One contractor has repeatedly failed to engage with attempts to arrange a QIO visit, despite letters offering dates in October and December, later claiming no communications had been received. </w:t>
            </w:r>
          </w:p>
          <w:p w14:paraId="2C43D508" w14:textId="77777777" w:rsidR="00F8680B" w:rsidRPr="006333CA" w:rsidRDefault="00F8680B" w:rsidP="00F8680B">
            <w:pPr>
              <w:widowControl w:val="0"/>
              <w:rPr>
                <w:rFonts w:ascii="Arial" w:hAnsi="Arial" w:cs="Arial"/>
                <w:sz w:val="20"/>
                <w:szCs w:val="20"/>
              </w:rPr>
            </w:pPr>
          </w:p>
          <w:p w14:paraId="40D200A2" w14:textId="77777777" w:rsidR="00F8680B" w:rsidRPr="006333CA" w:rsidRDefault="00F8680B" w:rsidP="00F8680B">
            <w:pPr>
              <w:widowControl w:val="0"/>
              <w:rPr>
                <w:rFonts w:ascii="Arial" w:hAnsi="Arial" w:cs="Arial"/>
                <w:sz w:val="20"/>
                <w:szCs w:val="20"/>
              </w:rPr>
            </w:pPr>
            <w:r w:rsidRPr="006333CA">
              <w:rPr>
                <w:rFonts w:ascii="Arial" w:hAnsi="Arial" w:cs="Arial"/>
                <w:sz w:val="20"/>
                <w:szCs w:val="20"/>
              </w:rPr>
              <w:t>Following discussion with the Associate Director of Primary Care, a further letter was issued detailing all contact attempts and including call</w:t>
            </w:r>
            <w:r w:rsidRPr="006333CA">
              <w:rPr>
                <w:rFonts w:ascii="Arial" w:hAnsi="Arial" w:cs="Arial"/>
                <w:sz w:val="20"/>
                <w:szCs w:val="20"/>
              </w:rPr>
              <w:noBreakHyphen/>
              <w:t>log screenshots, along with two new February dates and a clear instruction that failure to agree would result in a breach notice.</w:t>
            </w:r>
          </w:p>
          <w:p w14:paraId="6162BAEA" w14:textId="77777777" w:rsidR="00F8680B" w:rsidRPr="006333CA" w:rsidRDefault="00F8680B" w:rsidP="00F8680B">
            <w:pPr>
              <w:widowControl w:val="0"/>
              <w:rPr>
                <w:rFonts w:ascii="Arial" w:hAnsi="Arial" w:cs="Arial"/>
                <w:sz w:val="20"/>
                <w:szCs w:val="20"/>
              </w:rPr>
            </w:pPr>
          </w:p>
          <w:p w14:paraId="39E20E97" w14:textId="77777777" w:rsidR="00F8680B" w:rsidRPr="006333CA" w:rsidRDefault="00F8680B" w:rsidP="00F8680B">
            <w:pPr>
              <w:widowControl w:val="0"/>
              <w:rPr>
                <w:rFonts w:ascii="Arial" w:hAnsi="Arial" w:cs="Arial"/>
                <w:sz w:val="20"/>
                <w:szCs w:val="20"/>
              </w:rPr>
            </w:pPr>
            <w:r w:rsidRPr="006333CA">
              <w:rPr>
                <w:rFonts w:ascii="Arial" w:hAnsi="Arial" w:cs="Arial"/>
                <w:sz w:val="20"/>
                <w:szCs w:val="20"/>
              </w:rPr>
              <w:t xml:space="preserve">Additional complications emerged, including two requests to change the registered office, discrepancies between Companies House and NHS BSA records attributed to accountant error, and reference to an unverified complaint supposedly submitted to the former ICB CEO and HR in January 2025, seemingly used as a deflection tactic. </w:t>
            </w:r>
          </w:p>
          <w:p w14:paraId="00C97312" w14:textId="77777777" w:rsidR="00F8680B" w:rsidRPr="006333CA" w:rsidRDefault="00F8680B" w:rsidP="00F8680B">
            <w:pPr>
              <w:widowControl w:val="0"/>
              <w:rPr>
                <w:rFonts w:ascii="Arial" w:hAnsi="Arial" w:cs="Arial"/>
                <w:sz w:val="20"/>
                <w:szCs w:val="20"/>
              </w:rPr>
            </w:pPr>
          </w:p>
          <w:p w14:paraId="5AF6257E" w14:textId="77777777" w:rsidR="00F8680B" w:rsidRPr="006333CA" w:rsidRDefault="00F8680B" w:rsidP="00F8680B">
            <w:pPr>
              <w:widowControl w:val="0"/>
              <w:rPr>
                <w:rFonts w:ascii="Arial" w:hAnsi="Arial" w:cs="Arial"/>
                <w:sz w:val="20"/>
                <w:szCs w:val="20"/>
              </w:rPr>
            </w:pPr>
            <w:r w:rsidRPr="006333CA">
              <w:rPr>
                <w:rFonts w:ascii="Arial" w:hAnsi="Arial" w:cs="Arial"/>
                <w:sz w:val="20"/>
                <w:szCs w:val="20"/>
              </w:rPr>
              <w:t xml:space="preserve">The group raised serious concern, noting the contractor’s behaviour suggested avoidance, that attempts to secure the visit have spanned nearly two years, and that an NHS BSA colleague had been left in tears after a call with the contractor. </w:t>
            </w:r>
          </w:p>
          <w:p w14:paraId="6B043493" w14:textId="77777777" w:rsidR="00F8680B" w:rsidRPr="006333CA" w:rsidRDefault="00F8680B" w:rsidP="00F8680B">
            <w:pPr>
              <w:widowControl w:val="0"/>
              <w:rPr>
                <w:rFonts w:ascii="Arial" w:hAnsi="Arial" w:cs="Arial"/>
                <w:sz w:val="20"/>
                <w:szCs w:val="20"/>
              </w:rPr>
            </w:pPr>
          </w:p>
          <w:p w14:paraId="06D751AB" w14:textId="77777777" w:rsidR="00533BBC" w:rsidRPr="006333CA" w:rsidRDefault="00F8680B" w:rsidP="00F8680B">
            <w:pPr>
              <w:widowControl w:val="0"/>
              <w:rPr>
                <w:rFonts w:ascii="Arial" w:hAnsi="Arial" w:cs="Arial"/>
                <w:sz w:val="20"/>
                <w:szCs w:val="20"/>
              </w:rPr>
            </w:pPr>
            <w:r w:rsidRPr="006333CA">
              <w:rPr>
                <w:rFonts w:ascii="Arial" w:hAnsi="Arial" w:cs="Arial"/>
                <w:sz w:val="20"/>
                <w:szCs w:val="20"/>
              </w:rPr>
              <w:t xml:space="preserve">The group agreed that the complaint and the QIO visit are separate matters and, given the contractor’s continued refusal to accept any dates, the ICB should issue a breach notice authority for which was subsequently confirmed. </w:t>
            </w:r>
          </w:p>
          <w:p w14:paraId="6D9F3ADB" w14:textId="77777777" w:rsidR="00533BBC" w:rsidRPr="006333CA" w:rsidRDefault="00533BBC" w:rsidP="00F8680B">
            <w:pPr>
              <w:widowControl w:val="0"/>
              <w:rPr>
                <w:rFonts w:ascii="Arial" w:hAnsi="Arial" w:cs="Arial"/>
                <w:sz w:val="20"/>
                <w:szCs w:val="20"/>
              </w:rPr>
            </w:pPr>
          </w:p>
          <w:p w14:paraId="4EE2B333" w14:textId="0D64C326" w:rsidR="00F8680B" w:rsidRPr="006333CA" w:rsidRDefault="00F8680B" w:rsidP="00F8680B">
            <w:pPr>
              <w:widowControl w:val="0"/>
              <w:rPr>
                <w:rFonts w:ascii="Arial" w:hAnsi="Arial" w:cs="Arial"/>
                <w:sz w:val="20"/>
                <w:szCs w:val="20"/>
              </w:rPr>
            </w:pPr>
            <w:r w:rsidRPr="006333CA">
              <w:rPr>
                <w:rFonts w:ascii="Arial" w:hAnsi="Arial" w:cs="Arial"/>
                <w:sz w:val="20"/>
                <w:szCs w:val="20"/>
              </w:rPr>
              <w:t>A second contractor also remains problematic, as they have not submitted any evidence ahead of their scheduled QIO visit next week despite repeated requests, which is expected to prolong the visit and require a more extensive action plan.</w:t>
            </w:r>
          </w:p>
          <w:p w14:paraId="3A92CE9B" w14:textId="77777777" w:rsidR="00AD5CCC" w:rsidRPr="006333CA" w:rsidRDefault="00AD5CCC" w:rsidP="00903E43">
            <w:pPr>
              <w:widowControl w:val="0"/>
              <w:rPr>
                <w:rFonts w:ascii="Arial" w:hAnsi="Arial" w:cs="Arial"/>
                <w:sz w:val="20"/>
                <w:szCs w:val="20"/>
              </w:rPr>
            </w:pPr>
          </w:p>
          <w:p w14:paraId="34DA6194" w14:textId="1DCB261B" w:rsidR="00571A1F" w:rsidRPr="006333CA" w:rsidRDefault="00571A1F" w:rsidP="00903E43">
            <w:pPr>
              <w:widowControl w:val="0"/>
              <w:rPr>
                <w:rFonts w:ascii="Arial" w:hAnsi="Arial" w:cs="Arial"/>
                <w:b/>
                <w:bCs/>
                <w:sz w:val="20"/>
                <w:szCs w:val="20"/>
              </w:rPr>
            </w:pPr>
            <w:r w:rsidRPr="006333CA">
              <w:rPr>
                <w:rFonts w:ascii="Arial" w:hAnsi="Arial" w:cs="Arial"/>
                <w:b/>
                <w:bCs/>
                <w:sz w:val="20"/>
                <w:szCs w:val="20"/>
              </w:rPr>
              <w:t>The Optometric Services Group agreed to issue a breach notice to the contractor who has not been compliant in organising a QIO Visit.</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8DE4A86" w14:textId="07DB0700" w:rsidR="00AD5CCC" w:rsidRPr="006333CA" w:rsidRDefault="00D341FD" w:rsidP="003F603B">
            <w:pPr>
              <w:widowControl w:val="0"/>
              <w:tabs>
                <w:tab w:val="left" w:pos="2160"/>
              </w:tabs>
              <w:spacing w:line="257" w:lineRule="auto"/>
              <w:rPr>
                <w:rFonts w:ascii="Arial" w:hAnsi="Arial" w:cs="Arial"/>
                <w:sz w:val="20"/>
                <w:szCs w:val="20"/>
              </w:rPr>
            </w:pPr>
            <w:r w:rsidRPr="006333CA">
              <w:rPr>
                <w:rFonts w:ascii="Arial" w:hAnsi="Arial" w:cs="Arial"/>
                <w:sz w:val="20"/>
                <w:szCs w:val="20"/>
              </w:rPr>
              <w:lastRenderedPageBreak/>
              <w:t>Delivery Assurance to issue Breach Notice to Contractor</w:t>
            </w:r>
            <w:r w:rsidR="00571A1F" w:rsidRPr="006333CA">
              <w:rPr>
                <w:rFonts w:ascii="Arial" w:hAnsi="Arial" w:cs="Arial"/>
                <w:sz w:val="20"/>
                <w:szCs w:val="20"/>
              </w:rPr>
              <w:t xml:space="preserve"> who has not </w:t>
            </w:r>
            <w:r w:rsidR="00571A1F" w:rsidRPr="006333CA">
              <w:rPr>
                <w:rFonts w:ascii="Arial" w:hAnsi="Arial" w:cs="Arial"/>
                <w:sz w:val="20"/>
                <w:szCs w:val="20"/>
              </w:rPr>
              <w:lastRenderedPageBreak/>
              <w:t>been compliant in organising a QIO Visit.</w:t>
            </w:r>
          </w:p>
        </w:tc>
      </w:tr>
      <w:tr w:rsidR="00BA2AE2" w:rsidRPr="006333CA" w14:paraId="5C706413"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367C2DAC" w14:textId="59FB9439" w:rsidR="00BA2AE2" w:rsidRPr="006333CA" w:rsidRDefault="00BA2AE2"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lastRenderedPageBreak/>
              <w:t>Complaints Annual Submission 2024-2025</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15D80013" w14:textId="77777777" w:rsidR="00734404" w:rsidRPr="006333CA" w:rsidRDefault="00734404" w:rsidP="00734404">
            <w:pPr>
              <w:widowControl w:val="0"/>
              <w:rPr>
                <w:rFonts w:ascii="Arial" w:hAnsi="Arial" w:cs="Arial"/>
                <w:sz w:val="20"/>
                <w:szCs w:val="20"/>
              </w:rPr>
            </w:pPr>
            <w:r w:rsidRPr="00734404">
              <w:rPr>
                <w:rFonts w:ascii="Arial" w:hAnsi="Arial" w:cs="Arial"/>
                <w:sz w:val="20"/>
                <w:szCs w:val="20"/>
              </w:rPr>
              <w:t>The group received a brief update on the annual complaints data collection for 2024–2025, a routine Delivery Assurance quality</w:t>
            </w:r>
            <w:r w:rsidRPr="00734404">
              <w:rPr>
                <w:rFonts w:ascii="Arial" w:hAnsi="Arial" w:cs="Arial"/>
                <w:sz w:val="20"/>
                <w:szCs w:val="20"/>
              </w:rPr>
              <w:noBreakHyphen/>
              <w:t xml:space="preserve">assurance requirement supporting oversight of contractor performance across the optometry sector. </w:t>
            </w:r>
          </w:p>
          <w:p w14:paraId="5C831E06" w14:textId="77777777" w:rsidR="00734404" w:rsidRPr="006333CA" w:rsidRDefault="00734404" w:rsidP="00734404">
            <w:pPr>
              <w:widowControl w:val="0"/>
              <w:rPr>
                <w:rFonts w:ascii="Arial" w:hAnsi="Arial" w:cs="Arial"/>
                <w:sz w:val="20"/>
                <w:szCs w:val="20"/>
              </w:rPr>
            </w:pPr>
          </w:p>
          <w:p w14:paraId="4B0C8658" w14:textId="77777777" w:rsidR="00734404" w:rsidRPr="006333CA" w:rsidRDefault="00734404" w:rsidP="00734404">
            <w:pPr>
              <w:widowControl w:val="0"/>
              <w:rPr>
                <w:rFonts w:ascii="Arial" w:hAnsi="Arial" w:cs="Arial"/>
                <w:sz w:val="20"/>
                <w:szCs w:val="20"/>
              </w:rPr>
            </w:pPr>
            <w:r w:rsidRPr="00734404">
              <w:rPr>
                <w:rFonts w:ascii="Arial" w:hAnsi="Arial" w:cs="Arial"/>
                <w:sz w:val="20"/>
                <w:szCs w:val="20"/>
              </w:rPr>
              <w:t xml:space="preserve">Due to current capacity constraints, practices have not yet been contacted to submit their annual complaints returns, leaving this essential activity outstanding; however, </w:t>
            </w:r>
            <w:r w:rsidRPr="00734404">
              <w:rPr>
                <w:rFonts w:ascii="Arial" w:hAnsi="Arial" w:cs="Arial"/>
                <w:sz w:val="20"/>
                <w:szCs w:val="20"/>
              </w:rPr>
              <w:lastRenderedPageBreak/>
              <w:t xml:space="preserve">members acknowledged that although delayed, the collection of current complaints information remains necessary to meet monitoring and assurance duties. </w:t>
            </w:r>
          </w:p>
          <w:p w14:paraId="74E5C6F3" w14:textId="77777777" w:rsidR="00734404" w:rsidRPr="006333CA" w:rsidRDefault="00734404" w:rsidP="00734404">
            <w:pPr>
              <w:widowControl w:val="0"/>
              <w:rPr>
                <w:rFonts w:ascii="Arial" w:hAnsi="Arial" w:cs="Arial"/>
                <w:sz w:val="20"/>
                <w:szCs w:val="20"/>
              </w:rPr>
            </w:pPr>
          </w:p>
          <w:p w14:paraId="748279BD" w14:textId="77777777" w:rsidR="00734404" w:rsidRPr="006333CA" w:rsidRDefault="00734404" w:rsidP="00734404">
            <w:pPr>
              <w:widowControl w:val="0"/>
              <w:rPr>
                <w:rFonts w:ascii="Arial" w:hAnsi="Arial" w:cs="Arial"/>
                <w:sz w:val="20"/>
                <w:szCs w:val="20"/>
              </w:rPr>
            </w:pPr>
            <w:r w:rsidRPr="00734404">
              <w:rPr>
                <w:rFonts w:ascii="Arial" w:hAnsi="Arial" w:cs="Arial"/>
                <w:sz w:val="20"/>
                <w:szCs w:val="20"/>
              </w:rPr>
              <w:t xml:space="preserve">The issue was raised again during the actions and risk updates, confirming that the complaints submission process cannot be closed because no practices have been contacted and no data has been collected. </w:t>
            </w:r>
          </w:p>
          <w:p w14:paraId="2FE65DD3" w14:textId="77777777" w:rsidR="00734404" w:rsidRPr="006333CA" w:rsidRDefault="00734404" w:rsidP="00734404">
            <w:pPr>
              <w:widowControl w:val="0"/>
              <w:rPr>
                <w:rFonts w:ascii="Arial" w:hAnsi="Arial" w:cs="Arial"/>
                <w:sz w:val="20"/>
                <w:szCs w:val="20"/>
              </w:rPr>
            </w:pPr>
          </w:p>
          <w:p w14:paraId="54F0E35E" w14:textId="5694DAC7" w:rsidR="00BA2AE2" w:rsidRPr="006333CA" w:rsidRDefault="00734404" w:rsidP="00F8680B">
            <w:pPr>
              <w:widowControl w:val="0"/>
              <w:rPr>
                <w:rFonts w:ascii="Arial" w:hAnsi="Arial" w:cs="Arial"/>
                <w:sz w:val="20"/>
                <w:szCs w:val="20"/>
              </w:rPr>
            </w:pPr>
            <w:r w:rsidRPr="00734404">
              <w:rPr>
                <w:rFonts w:ascii="Arial" w:hAnsi="Arial" w:cs="Arial"/>
                <w:sz w:val="20"/>
                <w:szCs w:val="20"/>
              </w:rPr>
              <w:t>As a result, the Complaints Annual Submission for 2024–2025 remains incomplete and will need to be progressed when team capacity allows.</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84F7CB8" w14:textId="77777777" w:rsidR="00BA2AE2" w:rsidRPr="006333CA" w:rsidRDefault="00BA2AE2" w:rsidP="003F603B">
            <w:pPr>
              <w:widowControl w:val="0"/>
              <w:tabs>
                <w:tab w:val="left" w:pos="2160"/>
              </w:tabs>
              <w:spacing w:line="257" w:lineRule="auto"/>
              <w:rPr>
                <w:rFonts w:ascii="Arial" w:hAnsi="Arial" w:cs="Arial"/>
                <w:sz w:val="20"/>
                <w:szCs w:val="20"/>
              </w:rPr>
            </w:pPr>
          </w:p>
        </w:tc>
      </w:tr>
      <w:tr w:rsidR="00734404" w:rsidRPr="006333CA" w14:paraId="547993A4"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57D4EE81" w14:textId="66757323" w:rsidR="00734404" w:rsidRPr="006333CA" w:rsidRDefault="006963D8" w:rsidP="00673CC8">
            <w:pPr>
              <w:rPr>
                <w:rFonts w:ascii="Arial" w:eastAsia="Arial" w:hAnsi="Arial" w:cs="Arial"/>
                <w:color w:val="000000" w:themeColor="text1"/>
                <w:sz w:val="20"/>
                <w:szCs w:val="20"/>
              </w:rPr>
            </w:pPr>
            <w:r w:rsidRPr="006333CA">
              <w:rPr>
                <w:rFonts w:ascii="Arial" w:eastAsia="Arial" w:hAnsi="Arial" w:cs="Arial"/>
                <w:color w:val="000000" w:themeColor="text1"/>
                <w:sz w:val="20"/>
                <w:szCs w:val="20"/>
              </w:rPr>
              <w:t>Special Schools</w:t>
            </w: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21C959AC" w14:textId="77777777" w:rsidR="00602A63" w:rsidRPr="006333CA" w:rsidRDefault="009935D3" w:rsidP="009935D3">
            <w:pPr>
              <w:widowControl w:val="0"/>
              <w:rPr>
                <w:rFonts w:ascii="Arial" w:hAnsi="Arial" w:cs="Arial"/>
                <w:sz w:val="20"/>
                <w:szCs w:val="20"/>
              </w:rPr>
            </w:pPr>
            <w:r w:rsidRPr="009935D3">
              <w:rPr>
                <w:rFonts w:ascii="Arial" w:hAnsi="Arial" w:cs="Arial"/>
                <w:sz w:val="20"/>
                <w:szCs w:val="20"/>
              </w:rPr>
              <w:t>The group received a positive update on the development of an Eye Test and Optometry Service for Special Schools across Lancashire and South Cumbria (LSC), with executive approval now granted for LSC to proceed with procurement</w:t>
            </w:r>
            <w:r w:rsidRPr="006333CA">
              <w:rPr>
                <w:rFonts w:ascii="Arial" w:hAnsi="Arial" w:cs="Arial"/>
                <w:sz w:val="20"/>
                <w:szCs w:val="20"/>
              </w:rPr>
              <w:t xml:space="preserve"> </w:t>
            </w:r>
            <w:r w:rsidRPr="009935D3">
              <w:rPr>
                <w:rFonts w:ascii="Arial" w:hAnsi="Arial" w:cs="Arial"/>
                <w:sz w:val="20"/>
                <w:szCs w:val="20"/>
              </w:rPr>
              <w:t xml:space="preserve">bringing a lengthy process to its conclusion and welcomed by members. </w:t>
            </w:r>
          </w:p>
          <w:p w14:paraId="45F5A21F" w14:textId="77777777" w:rsidR="00602A63" w:rsidRPr="006333CA" w:rsidRDefault="00602A63" w:rsidP="009935D3">
            <w:pPr>
              <w:widowControl w:val="0"/>
              <w:rPr>
                <w:rFonts w:ascii="Arial" w:hAnsi="Arial" w:cs="Arial"/>
                <w:sz w:val="20"/>
                <w:szCs w:val="20"/>
              </w:rPr>
            </w:pPr>
          </w:p>
          <w:p w14:paraId="2DA50D27" w14:textId="77777777" w:rsidR="00602A63" w:rsidRPr="006333CA" w:rsidRDefault="009935D3" w:rsidP="009935D3">
            <w:pPr>
              <w:widowControl w:val="0"/>
              <w:rPr>
                <w:rFonts w:ascii="Arial" w:hAnsi="Arial" w:cs="Arial"/>
                <w:sz w:val="20"/>
                <w:szCs w:val="20"/>
              </w:rPr>
            </w:pPr>
            <w:r w:rsidRPr="009935D3">
              <w:rPr>
                <w:rFonts w:ascii="Arial" w:hAnsi="Arial" w:cs="Arial"/>
                <w:sz w:val="20"/>
                <w:szCs w:val="20"/>
              </w:rPr>
              <w:t xml:space="preserve">LSC will now join Greater Manchester and Cheshire &amp; Mersey in a joint procurement approach, with confirmation of participation arriving just in time for the next meeting with partner ICBs, ensuring all three systems remain aligned. </w:t>
            </w:r>
          </w:p>
          <w:p w14:paraId="1A99873B" w14:textId="77777777" w:rsidR="00602A63" w:rsidRPr="006333CA" w:rsidRDefault="00602A63" w:rsidP="009935D3">
            <w:pPr>
              <w:widowControl w:val="0"/>
              <w:rPr>
                <w:rFonts w:ascii="Arial" w:hAnsi="Arial" w:cs="Arial"/>
                <w:sz w:val="20"/>
                <w:szCs w:val="20"/>
              </w:rPr>
            </w:pPr>
          </w:p>
          <w:p w14:paraId="1995133B" w14:textId="77777777" w:rsidR="00602A63" w:rsidRPr="006333CA" w:rsidRDefault="009935D3" w:rsidP="009935D3">
            <w:pPr>
              <w:widowControl w:val="0"/>
              <w:rPr>
                <w:rFonts w:ascii="Arial" w:hAnsi="Arial" w:cs="Arial"/>
                <w:sz w:val="20"/>
                <w:szCs w:val="20"/>
              </w:rPr>
            </w:pPr>
            <w:r w:rsidRPr="009935D3">
              <w:rPr>
                <w:rFonts w:ascii="Arial" w:hAnsi="Arial" w:cs="Arial"/>
                <w:sz w:val="20"/>
                <w:szCs w:val="20"/>
              </w:rPr>
              <w:t xml:space="preserve">A project team meeting will be required, as LSC is slightly behind in early engagement activities with special schools, and work will now begin on school engagement, planning, coordination, and aligning timelines with partner ICBs. </w:t>
            </w:r>
          </w:p>
          <w:p w14:paraId="7A12A0F7" w14:textId="77777777" w:rsidR="00602A63" w:rsidRPr="006333CA" w:rsidRDefault="00602A63" w:rsidP="009935D3">
            <w:pPr>
              <w:widowControl w:val="0"/>
              <w:rPr>
                <w:rFonts w:ascii="Arial" w:hAnsi="Arial" w:cs="Arial"/>
                <w:sz w:val="20"/>
                <w:szCs w:val="20"/>
              </w:rPr>
            </w:pPr>
          </w:p>
          <w:p w14:paraId="1ECEA933" w14:textId="386E67EB" w:rsidR="00734404" w:rsidRPr="006333CA" w:rsidRDefault="009935D3" w:rsidP="00734404">
            <w:pPr>
              <w:widowControl w:val="0"/>
              <w:rPr>
                <w:rFonts w:ascii="Arial" w:hAnsi="Arial" w:cs="Arial"/>
                <w:sz w:val="20"/>
                <w:szCs w:val="20"/>
              </w:rPr>
            </w:pPr>
            <w:r w:rsidRPr="009935D3">
              <w:rPr>
                <w:rFonts w:ascii="Arial" w:hAnsi="Arial" w:cs="Arial"/>
                <w:sz w:val="20"/>
                <w:szCs w:val="20"/>
              </w:rPr>
              <w:t>The team is also awaiting the Procurement Evaluation Strategy, which will move forward for approval once received.</w:t>
            </w:r>
          </w:p>
        </w:tc>
        <w:tc>
          <w:tcPr>
            <w:tcW w:w="2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D59A2EB" w14:textId="6E998D8A" w:rsidR="004A5388" w:rsidRPr="006333CA" w:rsidRDefault="004A5388" w:rsidP="004A5388">
            <w:pPr>
              <w:widowControl w:val="0"/>
              <w:tabs>
                <w:tab w:val="left" w:pos="2160"/>
              </w:tabs>
              <w:spacing w:line="257" w:lineRule="auto"/>
              <w:rPr>
                <w:rFonts w:ascii="Arial" w:hAnsi="Arial" w:cs="Arial"/>
                <w:sz w:val="20"/>
                <w:szCs w:val="20"/>
              </w:rPr>
            </w:pPr>
            <w:r w:rsidRPr="006333CA">
              <w:rPr>
                <w:rFonts w:ascii="Arial" w:hAnsi="Arial" w:cs="Arial"/>
                <w:sz w:val="20"/>
                <w:szCs w:val="20"/>
              </w:rPr>
              <w:t>Proceed with procurement for the Special Schools Eye Test Service</w:t>
            </w:r>
            <w:r w:rsidRPr="006333CA">
              <w:rPr>
                <w:rFonts w:ascii="Arial" w:hAnsi="Arial" w:cs="Arial"/>
                <w:sz w:val="20"/>
                <w:szCs w:val="20"/>
              </w:rPr>
              <w:tab/>
              <w:t>Work jointly with Greater Manchester and Cheshire &amp; Mersey ICBs, aligning with their ongoing program</w:t>
            </w:r>
          </w:p>
          <w:p w14:paraId="156BB153" w14:textId="77777777" w:rsidR="004A5388" w:rsidRPr="006333CA" w:rsidRDefault="004A5388" w:rsidP="004A5388">
            <w:pPr>
              <w:widowControl w:val="0"/>
              <w:tabs>
                <w:tab w:val="left" w:pos="2160"/>
              </w:tabs>
              <w:spacing w:line="257" w:lineRule="auto"/>
              <w:rPr>
                <w:rFonts w:ascii="Arial" w:hAnsi="Arial" w:cs="Arial"/>
                <w:sz w:val="20"/>
                <w:szCs w:val="20"/>
              </w:rPr>
            </w:pPr>
          </w:p>
          <w:p w14:paraId="793DD74D" w14:textId="6E2ED343" w:rsidR="00734404" w:rsidRPr="006333CA" w:rsidRDefault="004A5388" w:rsidP="004A5388">
            <w:pPr>
              <w:widowControl w:val="0"/>
              <w:tabs>
                <w:tab w:val="left" w:pos="2160"/>
              </w:tabs>
              <w:spacing w:line="257" w:lineRule="auto"/>
              <w:rPr>
                <w:rFonts w:ascii="Arial" w:hAnsi="Arial" w:cs="Arial"/>
                <w:sz w:val="20"/>
                <w:szCs w:val="20"/>
              </w:rPr>
            </w:pPr>
            <w:r w:rsidRPr="006333CA">
              <w:rPr>
                <w:rFonts w:ascii="Arial" w:hAnsi="Arial" w:cs="Arial"/>
                <w:sz w:val="20"/>
                <w:szCs w:val="20"/>
              </w:rPr>
              <w:t xml:space="preserve">Arrange a project team meeting </w:t>
            </w:r>
          </w:p>
        </w:tc>
      </w:tr>
      <w:tr w:rsidR="0088175D" w:rsidRPr="006333CA" w14:paraId="69CF7FAD" w14:textId="77777777" w:rsidTr="00673CC8">
        <w:trPr>
          <w:trHeight w:val="300"/>
        </w:trPr>
        <w:tc>
          <w:tcPr>
            <w:tcW w:w="9597" w:type="dxa"/>
            <w:gridSpan w:val="3"/>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68BB0584" w14:textId="77777777" w:rsidR="0088175D" w:rsidRPr="006333CA" w:rsidRDefault="0088175D" w:rsidP="00673CC8">
            <w:pPr>
              <w:spacing w:after="255"/>
              <w:contextualSpacing/>
              <w:rPr>
                <w:rFonts w:ascii="Arial" w:eastAsia="Arial" w:hAnsi="Arial" w:cs="Arial"/>
                <w:sz w:val="20"/>
                <w:szCs w:val="20"/>
              </w:rPr>
            </w:pPr>
            <w:r w:rsidRPr="006333CA">
              <w:rPr>
                <w:rFonts w:ascii="Arial" w:eastAsia="Arial" w:hAnsi="Arial" w:cs="Arial"/>
                <w:b/>
                <w:bCs/>
                <w:sz w:val="20"/>
                <w:szCs w:val="20"/>
              </w:rPr>
              <w:t xml:space="preserve">Assure </w:t>
            </w:r>
          </w:p>
        </w:tc>
      </w:tr>
      <w:tr w:rsidR="0088175D" w:rsidRPr="006333CA" w14:paraId="27C248A3" w14:textId="77777777" w:rsidTr="00673CC8">
        <w:trPr>
          <w:trHeight w:val="300"/>
        </w:trPr>
        <w:tc>
          <w:tcPr>
            <w:tcW w:w="2702" w:type="dxa"/>
            <w:tcBorders>
              <w:top w:val="single" w:sz="6" w:space="0" w:color="auto"/>
              <w:left w:val="single" w:sz="6" w:space="0" w:color="auto"/>
              <w:bottom w:val="single" w:sz="6" w:space="0" w:color="auto"/>
              <w:right w:val="single" w:sz="6" w:space="0" w:color="auto"/>
            </w:tcBorders>
            <w:tcMar>
              <w:left w:w="105" w:type="dxa"/>
              <w:right w:w="105" w:type="dxa"/>
            </w:tcMar>
          </w:tcPr>
          <w:p w14:paraId="4539B274" w14:textId="77777777" w:rsidR="0088175D" w:rsidRPr="006333CA" w:rsidRDefault="0088175D" w:rsidP="00673CC8">
            <w:pPr>
              <w:spacing w:after="255"/>
              <w:contextualSpacing/>
              <w:rPr>
                <w:rFonts w:ascii="Arial" w:eastAsia="Times New Roman" w:hAnsi="Arial" w:cs="Arial"/>
                <w:sz w:val="20"/>
                <w:szCs w:val="20"/>
                <w:lang w:eastAsia="en-GB"/>
              </w:rPr>
            </w:pPr>
          </w:p>
        </w:tc>
        <w:tc>
          <w:tcPr>
            <w:tcW w:w="4394" w:type="dxa"/>
            <w:tcBorders>
              <w:top w:val="single" w:sz="6" w:space="0" w:color="auto"/>
              <w:left w:val="single" w:sz="6" w:space="0" w:color="auto"/>
              <w:bottom w:val="single" w:sz="6" w:space="0" w:color="auto"/>
              <w:right w:val="single" w:sz="6" w:space="0" w:color="auto"/>
            </w:tcBorders>
            <w:tcMar>
              <w:left w:w="105" w:type="dxa"/>
              <w:right w:w="105" w:type="dxa"/>
            </w:tcMar>
          </w:tcPr>
          <w:p w14:paraId="34D166E6" w14:textId="2BA47737" w:rsidR="0088175D" w:rsidRPr="006333CA" w:rsidRDefault="006333CA" w:rsidP="006333CA">
            <w:pPr>
              <w:jc w:val="center"/>
              <w:rPr>
                <w:rFonts w:ascii="Arial" w:eastAsia="Times New Roman" w:hAnsi="Arial" w:cs="Arial"/>
                <w:b/>
                <w:bCs/>
                <w:sz w:val="20"/>
                <w:szCs w:val="20"/>
                <w:lang w:eastAsia="en-GB"/>
              </w:rPr>
            </w:pPr>
            <w:r w:rsidRPr="006333CA">
              <w:rPr>
                <w:rFonts w:ascii="Arial" w:eastAsia="Times New Roman" w:hAnsi="Arial" w:cs="Arial"/>
                <w:b/>
                <w:bCs/>
                <w:sz w:val="20"/>
                <w:szCs w:val="20"/>
                <w:lang w:eastAsia="en-GB"/>
              </w:rPr>
              <w:t>Nothing to Escalate</w:t>
            </w:r>
          </w:p>
        </w:tc>
        <w:tc>
          <w:tcPr>
            <w:tcW w:w="2501" w:type="dxa"/>
            <w:tcBorders>
              <w:top w:val="single" w:sz="6" w:space="0" w:color="auto"/>
              <w:left w:val="single" w:sz="6" w:space="0" w:color="auto"/>
              <w:bottom w:val="single" w:sz="6" w:space="0" w:color="auto"/>
              <w:right w:val="single" w:sz="6" w:space="0" w:color="auto"/>
            </w:tcBorders>
            <w:tcMar>
              <w:left w:w="105" w:type="dxa"/>
              <w:right w:w="105" w:type="dxa"/>
            </w:tcMar>
          </w:tcPr>
          <w:p w14:paraId="606542D8" w14:textId="77777777" w:rsidR="0088175D" w:rsidRPr="006333CA" w:rsidRDefault="0088175D" w:rsidP="00673CC8">
            <w:pPr>
              <w:spacing w:after="255"/>
              <w:rPr>
                <w:rFonts w:ascii="Arial" w:eastAsia="Arial" w:hAnsi="Arial" w:cs="Arial"/>
                <w:sz w:val="20"/>
                <w:szCs w:val="20"/>
              </w:rPr>
            </w:pPr>
          </w:p>
        </w:tc>
      </w:tr>
    </w:tbl>
    <w:p w14:paraId="393E5614" w14:textId="77777777" w:rsidR="00D129EE" w:rsidRPr="006333CA" w:rsidRDefault="00D129EE" w:rsidP="00D0534C">
      <w:pPr>
        <w:rPr>
          <w:rFonts w:ascii="Arial" w:hAnsi="Arial" w:cs="Arial"/>
          <w:sz w:val="20"/>
          <w:szCs w:val="20"/>
        </w:rPr>
      </w:pPr>
    </w:p>
    <w:p w14:paraId="6BAED605" w14:textId="77777777" w:rsidR="00D129EE" w:rsidRPr="006333CA" w:rsidRDefault="00D129EE" w:rsidP="00D0534C">
      <w:pPr>
        <w:rPr>
          <w:rFonts w:ascii="Arial" w:hAnsi="Arial" w:cs="Arial"/>
          <w:sz w:val="20"/>
          <w:szCs w:val="20"/>
        </w:rPr>
      </w:pPr>
    </w:p>
    <w:tbl>
      <w:tblPr>
        <w:tblStyle w:val="TableGrid"/>
        <w:tblW w:w="9640" w:type="dxa"/>
        <w:tblInd w:w="-289" w:type="dxa"/>
        <w:tblLook w:val="04A0" w:firstRow="1" w:lastRow="0" w:firstColumn="1" w:lastColumn="0" w:noHBand="0" w:noVBand="1"/>
      </w:tblPr>
      <w:tblGrid>
        <w:gridCol w:w="4395"/>
        <w:gridCol w:w="2410"/>
        <w:gridCol w:w="2835"/>
      </w:tblGrid>
      <w:tr w:rsidR="002F51B6" w:rsidRPr="002F51B6" w14:paraId="1DC06096" w14:textId="77777777" w:rsidTr="00334953">
        <w:tc>
          <w:tcPr>
            <w:tcW w:w="4395" w:type="dxa"/>
          </w:tcPr>
          <w:p w14:paraId="3B5AFAEB" w14:textId="77777777" w:rsidR="002F51B6" w:rsidRPr="006333CA" w:rsidRDefault="002F51B6" w:rsidP="00334953">
            <w:pPr>
              <w:pStyle w:val="Heading1"/>
              <w:spacing w:before="120"/>
              <w:rPr>
                <w:rFonts w:ascii="Arial" w:hAnsi="Arial" w:cs="Arial"/>
                <w:color w:val="000000" w:themeColor="text1"/>
                <w:sz w:val="20"/>
                <w:szCs w:val="20"/>
                <w:lang w:val="en-US" w:eastAsia="en-GB"/>
              </w:rPr>
            </w:pPr>
            <w:r w:rsidRPr="006333CA">
              <w:rPr>
                <w:rFonts w:ascii="Arial" w:hAnsi="Arial" w:cs="Arial"/>
                <w:color w:val="808080" w:themeColor="background1" w:themeShade="80"/>
                <w:sz w:val="20"/>
                <w:szCs w:val="20"/>
                <w:lang w:val="en-US" w:eastAsia="en-GB"/>
              </w:rPr>
              <w:t>Committee: Primary Care Capital Group</w:t>
            </w:r>
          </w:p>
        </w:tc>
        <w:tc>
          <w:tcPr>
            <w:tcW w:w="2410" w:type="dxa"/>
          </w:tcPr>
          <w:p w14:paraId="2C58DD84" w14:textId="77777777" w:rsidR="002F51B6" w:rsidRPr="006333CA" w:rsidRDefault="002F51B6" w:rsidP="00334953">
            <w:pPr>
              <w:pStyle w:val="Heading1"/>
              <w:spacing w:before="120"/>
              <w:rPr>
                <w:rFonts w:ascii="Arial" w:hAnsi="Arial" w:cs="Arial"/>
                <w:color w:val="000000" w:themeColor="text1"/>
                <w:sz w:val="20"/>
                <w:szCs w:val="20"/>
                <w:lang w:val="en-US" w:eastAsia="en-GB"/>
              </w:rPr>
            </w:pPr>
            <w:r w:rsidRPr="006333CA">
              <w:rPr>
                <w:rFonts w:ascii="Arial" w:hAnsi="Arial" w:cs="Arial"/>
                <w:color w:val="808080" w:themeColor="background1" w:themeShade="80"/>
                <w:sz w:val="20"/>
                <w:szCs w:val="20"/>
                <w:lang w:val="en-US" w:eastAsia="en-GB"/>
              </w:rPr>
              <w:t>Date: 13 February 2026</w:t>
            </w:r>
          </w:p>
        </w:tc>
        <w:tc>
          <w:tcPr>
            <w:tcW w:w="2835" w:type="dxa"/>
          </w:tcPr>
          <w:p w14:paraId="6836EA1E" w14:textId="77777777" w:rsidR="002F51B6" w:rsidRPr="006333CA" w:rsidRDefault="002F51B6" w:rsidP="00334953">
            <w:pPr>
              <w:pStyle w:val="Heading1"/>
              <w:spacing w:before="120"/>
              <w:rPr>
                <w:rFonts w:ascii="Arial" w:hAnsi="Arial" w:cs="Arial"/>
                <w:color w:val="000000" w:themeColor="text1"/>
                <w:sz w:val="20"/>
                <w:szCs w:val="20"/>
                <w:lang w:val="en-US" w:eastAsia="en-GB"/>
              </w:rPr>
            </w:pPr>
            <w:r w:rsidRPr="006333CA">
              <w:rPr>
                <w:rFonts w:ascii="Arial" w:hAnsi="Arial" w:cs="Arial"/>
                <w:color w:val="808080" w:themeColor="background1" w:themeShade="80"/>
                <w:sz w:val="20"/>
                <w:szCs w:val="20"/>
                <w:lang w:val="en-US" w:eastAsia="en-GB"/>
              </w:rPr>
              <w:t>Chair: David Armstrong (Vice Chair)</w:t>
            </w:r>
          </w:p>
        </w:tc>
      </w:tr>
    </w:tbl>
    <w:p w14:paraId="78460C3E" w14:textId="77777777" w:rsidR="002F51B6" w:rsidRPr="006333CA" w:rsidRDefault="002F51B6" w:rsidP="002F51B6">
      <w:pPr>
        <w:ind w:left="1440"/>
        <w:contextualSpacing/>
        <w:rPr>
          <w:rFonts w:ascii="Arial" w:hAnsi="Arial" w:cs="Arial"/>
          <w:sz w:val="20"/>
          <w:szCs w:val="20"/>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2F51B6" w:rsidRPr="002F51B6" w14:paraId="58DA192E" w14:textId="77777777" w:rsidTr="00334953">
        <w:tc>
          <w:tcPr>
            <w:tcW w:w="9640" w:type="dxa"/>
            <w:gridSpan w:val="3"/>
            <w:shd w:val="clear" w:color="auto" w:fill="0070C0"/>
            <w:vAlign w:val="center"/>
          </w:tcPr>
          <w:p w14:paraId="325097BE" w14:textId="77777777" w:rsidR="002F51B6" w:rsidRPr="006333CA" w:rsidRDefault="002F51B6" w:rsidP="00334953">
            <w:pPr>
              <w:contextualSpacing/>
              <w:rPr>
                <w:rFonts w:ascii="Arial" w:hAnsi="Arial" w:cs="Arial"/>
                <w:b/>
                <w:smallCaps/>
                <w:color w:val="FFFFFF" w:themeColor="background1"/>
                <w:sz w:val="20"/>
                <w:szCs w:val="20"/>
                <w:lang w:eastAsia="en-GB"/>
              </w:rPr>
            </w:pPr>
            <w:r w:rsidRPr="006333CA">
              <w:rPr>
                <w:rFonts w:ascii="Arial" w:hAnsi="Arial" w:cs="Arial"/>
                <w:b/>
                <w:smallCaps/>
                <w:color w:val="FFFFFF" w:themeColor="background1"/>
                <w:sz w:val="20"/>
                <w:szCs w:val="20"/>
                <w:lang w:eastAsia="en-GB"/>
              </w:rPr>
              <w:t>K</w:t>
            </w:r>
            <w:r w:rsidRPr="006333CA">
              <w:rPr>
                <w:rFonts w:ascii="Arial" w:hAnsi="Arial" w:cs="Arial"/>
                <w:b/>
                <w:color w:val="FFFFFF" w:themeColor="background1"/>
                <w:sz w:val="20"/>
                <w:szCs w:val="20"/>
                <w:lang w:eastAsia="en-GB"/>
              </w:rPr>
              <w:t>ey Items Discussed</w:t>
            </w:r>
          </w:p>
        </w:tc>
      </w:tr>
      <w:tr w:rsidR="002F51B6" w:rsidRPr="002F51B6" w14:paraId="2F9F7948" w14:textId="77777777" w:rsidTr="00334953">
        <w:tc>
          <w:tcPr>
            <w:tcW w:w="2127" w:type="dxa"/>
            <w:shd w:val="clear" w:color="auto" w:fill="FFFFFF" w:themeFill="background1"/>
          </w:tcPr>
          <w:p w14:paraId="4204ECA7" w14:textId="77777777" w:rsidR="002F51B6" w:rsidRPr="006333CA" w:rsidRDefault="002F51B6" w:rsidP="00334953">
            <w:pPr>
              <w:contextualSpacing/>
              <w:jc w:val="center"/>
              <w:rPr>
                <w:rFonts w:ascii="Arial" w:hAnsi="Arial" w:cs="Arial"/>
                <w:b/>
                <w:smallCaps/>
                <w:color w:val="FFFFFF" w:themeColor="background1"/>
                <w:sz w:val="20"/>
                <w:szCs w:val="20"/>
                <w:lang w:eastAsia="en-GB"/>
              </w:rPr>
            </w:pPr>
            <w:r w:rsidRPr="006333CA">
              <w:rPr>
                <w:rFonts w:ascii="Arial" w:hAnsi="Arial" w:cs="Arial"/>
                <w:b/>
                <w:sz w:val="20"/>
                <w:szCs w:val="20"/>
                <w:lang w:eastAsia="en-GB"/>
              </w:rPr>
              <w:t>Issue</w:t>
            </w:r>
          </w:p>
        </w:tc>
        <w:tc>
          <w:tcPr>
            <w:tcW w:w="4652" w:type="dxa"/>
            <w:shd w:val="clear" w:color="auto" w:fill="FFFFFF" w:themeFill="background1"/>
          </w:tcPr>
          <w:p w14:paraId="51F78E92" w14:textId="77777777" w:rsidR="002F51B6" w:rsidRPr="006333CA" w:rsidRDefault="002F51B6" w:rsidP="00334953">
            <w:pPr>
              <w:contextualSpacing/>
              <w:jc w:val="center"/>
              <w:rPr>
                <w:rFonts w:ascii="Arial" w:hAnsi="Arial" w:cs="Arial"/>
                <w:b/>
                <w:smallCaps/>
                <w:color w:val="FFFFFF" w:themeColor="background1"/>
                <w:sz w:val="20"/>
                <w:szCs w:val="20"/>
                <w:lang w:eastAsia="en-GB"/>
              </w:rPr>
            </w:pPr>
            <w:r w:rsidRPr="006333CA">
              <w:rPr>
                <w:rFonts w:ascii="Arial" w:hAnsi="Arial" w:cs="Arial"/>
                <w:b/>
                <w:sz w:val="20"/>
                <w:szCs w:val="20"/>
                <w:lang w:eastAsia="en-GB"/>
              </w:rPr>
              <w:t>Committee update</w:t>
            </w:r>
          </w:p>
        </w:tc>
        <w:tc>
          <w:tcPr>
            <w:tcW w:w="2861" w:type="dxa"/>
            <w:shd w:val="clear" w:color="auto" w:fill="FFFFFF" w:themeFill="background1"/>
          </w:tcPr>
          <w:p w14:paraId="212550F5" w14:textId="77777777" w:rsidR="002F51B6" w:rsidRPr="006333CA" w:rsidRDefault="002F51B6" w:rsidP="00334953">
            <w:pPr>
              <w:contextualSpacing/>
              <w:jc w:val="center"/>
              <w:rPr>
                <w:rFonts w:ascii="Arial" w:hAnsi="Arial" w:cs="Arial"/>
                <w:b/>
                <w:smallCaps/>
                <w:color w:val="FFFFFF" w:themeColor="background1"/>
                <w:sz w:val="20"/>
                <w:szCs w:val="20"/>
                <w:lang w:eastAsia="en-GB"/>
              </w:rPr>
            </w:pPr>
            <w:r w:rsidRPr="006333CA">
              <w:rPr>
                <w:rFonts w:ascii="Arial" w:hAnsi="Arial" w:cs="Arial"/>
                <w:b/>
                <w:sz w:val="20"/>
                <w:szCs w:val="20"/>
                <w:lang w:eastAsia="en-GB"/>
              </w:rPr>
              <w:t>Action</w:t>
            </w:r>
          </w:p>
        </w:tc>
      </w:tr>
      <w:tr w:rsidR="002F51B6" w:rsidRPr="002F51B6" w14:paraId="5BD6E832" w14:textId="77777777" w:rsidTr="00334953">
        <w:tc>
          <w:tcPr>
            <w:tcW w:w="9640" w:type="dxa"/>
            <w:gridSpan w:val="3"/>
            <w:shd w:val="clear" w:color="auto" w:fill="FF5050"/>
          </w:tcPr>
          <w:p w14:paraId="13FC946D" w14:textId="77777777" w:rsidR="002F51B6" w:rsidRPr="006333CA" w:rsidRDefault="002F51B6" w:rsidP="00334953">
            <w:pPr>
              <w:contextualSpacing/>
              <w:rPr>
                <w:rFonts w:ascii="Arial" w:hAnsi="Arial" w:cs="Arial"/>
                <w:sz w:val="20"/>
                <w:szCs w:val="20"/>
                <w:lang w:eastAsia="en-GB"/>
              </w:rPr>
            </w:pPr>
            <w:r w:rsidRPr="006333CA">
              <w:rPr>
                <w:rFonts w:ascii="Arial" w:hAnsi="Arial" w:cs="Arial"/>
                <w:b/>
                <w:color w:val="FFFFFF" w:themeColor="background1"/>
                <w:sz w:val="20"/>
                <w:szCs w:val="20"/>
                <w:lang w:eastAsia="en-GB"/>
              </w:rPr>
              <w:t xml:space="preserve">Alert </w:t>
            </w:r>
          </w:p>
        </w:tc>
      </w:tr>
      <w:tr w:rsidR="002F51B6" w:rsidRPr="002F51B6" w14:paraId="334A4CDB" w14:textId="77777777" w:rsidTr="00334953">
        <w:tc>
          <w:tcPr>
            <w:tcW w:w="2127" w:type="dxa"/>
          </w:tcPr>
          <w:p w14:paraId="5E96B4C2" w14:textId="77777777" w:rsidR="002F51B6" w:rsidRPr="006333CA" w:rsidRDefault="002F51B6" w:rsidP="00334953">
            <w:pPr>
              <w:contextualSpacing/>
              <w:rPr>
                <w:rFonts w:ascii="Arial" w:hAnsi="Arial" w:cs="Arial"/>
                <w:b/>
                <w:sz w:val="20"/>
                <w:szCs w:val="20"/>
                <w:lang w:eastAsia="en-GB"/>
              </w:rPr>
            </w:pPr>
          </w:p>
          <w:p w14:paraId="56A15436" w14:textId="77777777" w:rsidR="002F51B6" w:rsidRPr="006333CA" w:rsidRDefault="002F51B6" w:rsidP="00334953">
            <w:pPr>
              <w:contextualSpacing/>
              <w:rPr>
                <w:rFonts w:ascii="Arial" w:hAnsi="Arial" w:cs="Arial"/>
                <w:sz w:val="20"/>
                <w:szCs w:val="20"/>
                <w:lang w:eastAsia="en-GB"/>
              </w:rPr>
            </w:pPr>
            <w:r w:rsidRPr="006333CA">
              <w:rPr>
                <w:rFonts w:ascii="Arial" w:hAnsi="Arial" w:cs="Arial"/>
                <w:b/>
                <w:sz w:val="20"/>
                <w:szCs w:val="20"/>
                <w:lang w:eastAsia="en-GB"/>
              </w:rPr>
              <w:t>General Practice – Notional Rent revaluations.</w:t>
            </w:r>
          </w:p>
        </w:tc>
        <w:tc>
          <w:tcPr>
            <w:tcW w:w="4652" w:type="dxa"/>
          </w:tcPr>
          <w:p w14:paraId="06287E60" w14:textId="77777777" w:rsidR="002F51B6" w:rsidRPr="006333CA" w:rsidRDefault="002F51B6" w:rsidP="00334953">
            <w:pPr>
              <w:contextualSpacing/>
              <w:rPr>
                <w:rFonts w:ascii="Arial" w:hAnsi="Arial" w:cs="Arial"/>
                <w:sz w:val="20"/>
                <w:szCs w:val="20"/>
                <w:lang w:eastAsia="en-GB"/>
              </w:rPr>
            </w:pPr>
          </w:p>
          <w:p w14:paraId="5A84EBC9" w14:textId="77777777" w:rsidR="002F51B6" w:rsidRPr="006333CA" w:rsidRDefault="002F51B6" w:rsidP="00334953">
            <w:pPr>
              <w:contextualSpacing/>
              <w:rPr>
                <w:rFonts w:ascii="Arial" w:hAnsi="Arial" w:cs="Arial"/>
                <w:sz w:val="20"/>
                <w:szCs w:val="20"/>
                <w:lang w:eastAsia="en-GB"/>
              </w:rPr>
            </w:pPr>
            <w:r w:rsidRPr="006333CA">
              <w:rPr>
                <w:rFonts w:ascii="Arial" w:hAnsi="Arial" w:cs="Arial"/>
                <w:sz w:val="20"/>
                <w:szCs w:val="20"/>
                <w:lang w:eastAsia="en-GB"/>
              </w:rPr>
              <w:t xml:space="preserve">The group reviewed the District Valuation Offices’ tri-annual reports for notional rents for a number of practices.  All revaluations were approved and are reported in line with the Premises Cost </w:t>
            </w:r>
            <w:r w:rsidRPr="006333CA">
              <w:rPr>
                <w:rFonts w:ascii="Arial" w:hAnsi="Arial" w:cs="Arial"/>
                <w:sz w:val="20"/>
                <w:szCs w:val="20"/>
                <w:lang w:eastAsia="en-GB"/>
              </w:rPr>
              <w:lastRenderedPageBreak/>
              <w:t>Directions (2013 or 2024), including the practice under query from the January meeting</w:t>
            </w:r>
          </w:p>
          <w:p w14:paraId="38565FBA" w14:textId="77777777" w:rsidR="002F51B6" w:rsidRPr="006333CA" w:rsidRDefault="002F51B6" w:rsidP="00334953">
            <w:pPr>
              <w:contextualSpacing/>
              <w:rPr>
                <w:rFonts w:ascii="Arial" w:hAnsi="Arial" w:cs="Arial"/>
                <w:sz w:val="20"/>
                <w:szCs w:val="20"/>
                <w:lang w:eastAsia="en-GB"/>
              </w:rPr>
            </w:pPr>
          </w:p>
        </w:tc>
        <w:tc>
          <w:tcPr>
            <w:tcW w:w="2861" w:type="dxa"/>
          </w:tcPr>
          <w:p w14:paraId="64A33703" w14:textId="77777777" w:rsidR="002F51B6" w:rsidRPr="006333CA" w:rsidRDefault="002F51B6" w:rsidP="00334953">
            <w:pPr>
              <w:contextualSpacing/>
              <w:rPr>
                <w:rFonts w:ascii="Arial" w:hAnsi="Arial" w:cs="Arial"/>
                <w:sz w:val="20"/>
                <w:szCs w:val="20"/>
                <w:lang w:eastAsia="en-GB"/>
              </w:rPr>
            </w:pPr>
          </w:p>
          <w:p w14:paraId="64826320" w14:textId="77777777" w:rsidR="002F51B6" w:rsidRPr="006333CA" w:rsidRDefault="002F51B6" w:rsidP="00334953">
            <w:pPr>
              <w:contextualSpacing/>
              <w:rPr>
                <w:rFonts w:ascii="Arial" w:hAnsi="Arial" w:cs="Arial"/>
                <w:sz w:val="20"/>
                <w:szCs w:val="20"/>
                <w:lang w:eastAsia="en-GB"/>
              </w:rPr>
            </w:pPr>
            <w:r w:rsidRPr="006333CA">
              <w:rPr>
                <w:rFonts w:ascii="Arial" w:hAnsi="Arial" w:cs="Arial"/>
                <w:sz w:val="20"/>
                <w:szCs w:val="20"/>
                <w:lang w:eastAsia="en-GB"/>
              </w:rPr>
              <w:t>Issue documentation to practices notifying and requesting acceptance of the revised values.</w:t>
            </w:r>
          </w:p>
          <w:p w14:paraId="7921B82F" w14:textId="77777777" w:rsidR="002F51B6" w:rsidRPr="006333CA" w:rsidRDefault="002F51B6" w:rsidP="00334953">
            <w:pPr>
              <w:contextualSpacing/>
              <w:rPr>
                <w:rFonts w:ascii="Arial" w:hAnsi="Arial" w:cs="Arial"/>
                <w:sz w:val="20"/>
                <w:szCs w:val="20"/>
                <w:lang w:eastAsia="en-GB"/>
              </w:rPr>
            </w:pPr>
            <w:r w:rsidRPr="006333CA">
              <w:rPr>
                <w:rFonts w:ascii="Arial" w:hAnsi="Arial" w:cs="Arial"/>
                <w:sz w:val="20"/>
                <w:szCs w:val="20"/>
                <w:lang w:eastAsia="en-GB"/>
              </w:rPr>
              <w:lastRenderedPageBreak/>
              <w:t>.</w:t>
            </w:r>
          </w:p>
          <w:p w14:paraId="1DA3E30E" w14:textId="77777777" w:rsidR="002F51B6" w:rsidRPr="006333CA" w:rsidRDefault="002F51B6" w:rsidP="00334953">
            <w:pPr>
              <w:contextualSpacing/>
              <w:rPr>
                <w:rFonts w:ascii="Arial" w:hAnsi="Arial" w:cs="Arial"/>
                <w:sz w:val="20"/>
                <w:szCs w:val="20"/>
                <w:lang w:eastAsia="en-GB"/>
              </w:rPr>
            </w:pPr>
          </w:p>
        </w:tc>
      </w:tr>
      <w:tr w:rsidR="002F51B6" w:rsidRPr="002F51B6" w14:paraId="11903362" w14:textId="77777777" w:rsidTr="00334953">
        <w:tc>
          <w:tcPr>
            <w:tcW w:w="9640" w:type="dxa"/>
            <w:gridSpan w:val="3"/>
            <w:shd w:val="clear" w:color="auto" w:fill="FFC000"/>
          </w:tcPr>
          <w:p w14:paraId="44732CF3" w14:textId="77777777" w:rsidR="002F51B6" w:rsidRPr="006333CA" w:rsidRDefault="002F51B6" w:rsidP="00334953">
            <w:pPr>
              <w:contextualSpacing/>
              <w:rPr>
                <w:rFonts w:ascii="Arial" w:hAnsi="Arial" w:cs="Arial"/>
                <w:color w:val="000000" w:themeColor="text1"/>
                <w:sz w:val="20"/>
                <w:szCs w:val="20"/>
                <w:lang w:eastAsia="en-GB"/>
              </w:rPr>
            </w:pPr>
            <w:r w:rsidRPr="006333CA">
              <w:rPr>
                <w:rFonts w:ascii="Arial" w:hAnsi="Arial" w:cs="Arial"/>
                <w:b/>
                <w:color w:val="000000" w:themeColor="text1"/>
                <w:sz w:val="20"/>
                <w:szCs w:val="20"/>
                <w:lang w:eastAsia="en-GB"/>
              </w:rPr>
              <w:lastRenderedPageBreak/>
              <w:t xml:space="preserve">Advise </w:t>
            </w:r>
          </w:p>
        </w:tc>
      </w:tr>
      <w:tr w:rsidR="002F51B6" w:rsidRPr="002F51B6" w14:paraId="7CD5B475" w14:textId="77777777" w:rsidTr="00334953">
        <w:tc>
          <w:tcPr>
            <w:tcW w:w="2127" w:type="dxa"/>
          </w:tcPr>
          <w:p w14:paraId="640FE68E" w14:textId="77777777" w:rsidR="002F51B6" w:rsidRPr="006333CA" w:rsidRDefault="002F51B6" w:rsidP="00334953">
            <w:pPr>
              <w:contextualSpacing/>
              <w:rPr>
                <w:rFonts w:ascii="Arial" w:hAnsi="Arial" w:cs="Arial"/>
                <w:b/>
                <w:color w:val="FF0000"/>
                <w:sz w:val="20"/>
                <w:szCs w:val="20"/>
                <w:lang w:eastAsia="en-GB"/>
              </w:rPr>
            </w:pPr>
            <w:r w:rsidRPr="006333CA">
              <w:rPr>
                <w:rFonts w:ascii="Arial" w:hAnsi="Arial" w:cs="Arial"/>
                <w:b/>
                <w:sz w:val="20"/>
                <w:szCs w:val="20"/>
                <w:lang w:eastAsia="en-GB"/>
              </w:rPr>
              <w:t>CCG Legacy Schemes</w:t>
            </w:r>
          </w:p>
        </w:tc>
        <w:tc>
          <w:tcPr>
            <w:tcW w:w="4652" w:type="dxa"/>
          </w:tcPr>
          <w:p w14:paraId="510CB904" w14:textId="1C95E344" w:rsidR="002F51B6" w:rsidRPr="006333CA" w:rsidRDefault="002F51B6" w:rsidP="00334953">
            <w:pPr>
              <w:contextualSpacing/>
              <w:rPr>
                <w:rFonts w:ascii="Arial" w:hAnsi="Arial" w:cs="Arial"/>
                <w:color w:val="FF0000"/>
                <w:sz w:val="20"/>
                <w:szCs w:val="20"/>
                <w:lang w:eastAsia="en-GB"/>
              </w:rPr>
            </w:pPr>
            <w:r w:rsidRPr="006333CA">
              <w:rPr>
                <w:rFonts w:ascii="Arial" w:hAnsi="Arial" w:cs="Arial"/>
                <w:sz w:val="20"/>
                <w:szCs w:val="20"/>
                <w:lang w:eastAsia="en-GB"/>
              </w:rPr>
              <w:t>The group received a detailed update for the Adelaide &amp;South King Street scheme which is progressing.  The local trust Blackpool Teaching is currently proposing to hold the head lease for the premises and is reviewing within their governance system, if approved the scheme will move on to the detailed design and tender stage.</w:t>
            </w:r>
          </w:p>
        </w:tc>
        <w:tc>
          <w:tcPr>
            <w:tcW w:w="2861" w:type="dxa"/>
          </w:tcPr>
          <w:p w14:paraId="7022A9B7" w14:textId="77777777" w:rsidR="002F51B6" w:rsidRPr="006333CA" w:rsidRDefault="002F51B6" w:rsidP="00334953">
            <w:pPr>
              <w:contextualSpacing/>
              <w:rPr>
                <w:rFonts w:ascii="Arial" w:hAnsi="Arial" w:cs="Arial"/>
                <w:sz w:val="20"/>
                <w:szCs w:val="20"/>
                <w:lang w:eastAsia="en-GB"/>
              </w:rPr>
            </w:pPr>
          </w:p>
        </w:tc>
      </w:tr>
      <w:tr w:rsidR="002F51B6" w:rsidRPr="002F51B6" w14:paraId="602C87C1" w14:textId="77777777" w:rsidTr="00334953">
        <w:tc>
          <w:tcPr>
            <w:tcW w:w="2127" w:type="dxa"/>
          </w:tcPr>
          <w:p w14:paraId="2D78EAC2" w14:textId="77777777" w:rsidR="002F51B6" w:rsidRPr="006333CA" w:rsidRDefault="002F51B6" w:rsidP="00334953">
            <w:pPr>
              <w:contextualSpacing/>
              <w:rPr>
                <w:rFonts w:ascii="Arial" w:hAnsi="Arial" w:cs="Arial"/>
                <w:b/>
                <w:sz w:val="20"/>
                <w:szCs w:val="20"/>
                <w:lang w:eastAsia="en-GB"/>
              </w:rPr>
            </w:pPr>
          </w:p>
        </w:tc>
        <w:tc>
          <w:tcPr>
            <w:tcW w:w="4652" w:type="dxa"/>
          </w:tcPr>
          <w:p w14:paraId="12D2F0DE" w14:textId="77777777" w:rsidR="002F51B6" w:rsidRPr="006333CA" w:rsidRDefault="002F51B6" w:rsidP="00334953">
            <w:pPr>
              <w:contextualSpacing/>
              <w:rPr>
                <w:rFonts w:ascii="Arial" w:hAnsi="Arial" w:cs="Arial"/>
                <w:sz w:val="20"/>
                <w:szCs w:val="20"/>
                <w:lang w:eastAsia="en-GB"/>
              </w:rPr>
            </w:pPr>
          </w:p>
        </w:tc>
        <w:tc>
          <w:tcPr>
            <w:tcW w:w="2861" w:type="dxa"/>
          </w:tcPr>
          <w:p w14:paraId="416F26B3" w14:textId="77777777" w:rsidR="002F51B6" w:rsidRPr="006333CA" w:rsidRDefault="002F51B6" w:rsidP="00334953">
            <w:pPr>
              <w:contextualSpacing/>
              <w:rPr>
                <w:rFonts w:ascii="Arial" w:hAnsi="Arial" w:cs="Arial"/>
                <w:sz w:val="20"/>
                <w:szCs w:val="20"/>
                <w:lang w:eastAsia="en-GB"/>
              </w:rPr>
            </w:pPr>
          </w:p>
        </w:tc>
      </w:tr>
      <w:tr w:rsidR="002F51B6" w:rsidRPr="002F51B6" w14:paraId="4868105F" w14:textId="77777777" w:rsidTr="00334953">
        <w:tc>
          <w:tcPr>
            <w:tcW w:w="9640" w:type="dxa"/>
            <w:gridSpan w:val="3"/>
            <w:shd w:val="clear" w:color="auto" w:fill="00B050"/>
          </w:tcPr>
          <w:p w14:paraId="2760D214" w14:textId="77777777" w:rsidR="002F51B6" w:rsidRPr="006333CA" w:rsidRDefault="002F51B6" w:rsidP="00334953">
            <w:pPr>
              <w:contextualSpacing/>
              <w:rPr>
                <w:rFonts w:ascii="Arial" w:hAnsi="Arial" w:cs="Arial"/>
                <w:b/>
                <w:sz w:val="20"/>
                <w:szCs w:val="20"/>
                <w:lang w:eastAsia="en-GB"/>
              </w:rPr>
            </w:pPr>
            <w:r w:rsidRPr="006333CA">
              <w:rPr>
                <w:rFonts w:ascii="Arial" w:hAnsi="Arial" w:cs="Arial"/>
                <w:b/>
                <w:sz w:val="20"/>
                <w:szCs w:val="20"/>
                <w:lang w:eastAsia="en-GB"/>
              </w:rPr>
              <w:t xml:space="preserve">Assure </w:t>
            </w:r>
          </w:p>
        </w:tc>
      </w:tr>
      <w:tr w:rsidR="002F51B6" w:rsidRPr="002F51B6" w14:paraId="6308F264" w14:textId="77777777" w:rsidTr="00334953">
        <w:tc>
          <w:tcPr>
            <w:tcW w:w="2127" w:type="dxa"/>
          </w:tcPr>
          <w:p w14:paraId="5B48F4D0" w14:textId="77777777" w:rsidR="002F51B6" w:rsidRPr="006333CA" w:rsidRDefault="002F51B6" w:rsidP="00334953">
            <w:pPr>
              <w:contextualSpacing/>
              <w:rPr>
                <w:rFonts w:ascii="Arial" w:hAnsi="Arial" w:cs="Arial"/>
                <w:b/>
                <w:sz w:val="20"/>
                <w:szCs w:val="20"/>
                <w:lang w:eastAsia="en-GB"/>
              </w:rPr>
            </w:pPr>
          </w:p>
          <w:p w14:paraId="18E4A369" w14:textId="77777777" w:rsidR="002F51B6" w:rsidRPr="006333CA" w:rsidRDefault="002F51B6" w:rsidP="00334953">
            <w:pPr>
              <w:contextualSpacing/>
              <w:rPr>
                <w:rFonts w:ascii="Arial" w:hAnsi="Arial" w:cs="Arial"/>
                <w:b/>
                <w:sz w:val="20"/>
                <w:szCs w:val="20"/>
                <w:lang w:eastAsia="en-GB"/>
              </w:rPr>
            </w:pPr>
            <w:r w:rsidRPr="006333CA">
              <w:rPr>
                <w:rFonts w:ascii="Arial" w:hAnsi="Arial" w:cs="Arial"/>
                <w:b/>
                <w:sz w:val="20"/>
                <w:szCs w:val="20"/>
                <w:lang w:eastAsia="en-GB"/>
              </w:rPr>
              <w:t xml:space="preserve">None </w:t>
            </w:r>
          </w:p>
        </w:tc>
        <w:tc>
          <w:tcPr>
            <w:tcW w:w="4652" w:type="dxa"/>
          </w:tcPr>
          <w:p w14:paraId="165DB070" w14:textId="77777777" w:rsidR="002F51B6" w:rsidRPr="006333CA" w:rsidRDefault="002F51B6" w:rsidP="00334953">
            <w:pPr>
              <w:contextualSpacing/>
              <w:rPr>
                <w:rFonts w:ascii="Arial" w:hAnsi="Arial" w:cs="Arial"/>
                <w:sz w:val="20"/>
                <w:szCs w:val="20"/>
                <w:lang w:eastAsia="en-GB"/>
              </w:rPr>
            </w:pPr>
          </w:p>
        </w:tc>
        <w:tc>
          <w:tcPr>
            <w:tcW w:w="2861" w:type="dxa"/>
          </w:tcPr>
          <w:p w14:paraId="2346827E" w14:textId="77777777" w:rsidR="002F51B6" w:rsidRPr="006333CA" w:rsidRDefault="002F51B6" w:rsidP="00334953">
            <w:pPr>
              <w:contextualSpacing/>
              <w:rPr>
                <w:rFonts w:ascii="Arial" w:hAnsi="Arial" w:cs="Arial"/>
                <w:sz w:val="20"/>
                <w:szCs w:val="20"/>
                <w:lang w:eastAsia="en-GB"/>
              </w:rPr>
            </w:pPr>
          </w:p>
        </w:tc>
      </w:tr>
    </w:tbl>
    <w:p w14:paraId="6947BF44" w14:textId="77777777" w:rsidR="002F51B6" w:rsidRPr="006333CA" w:rsidRDefault="002F51B6" w:rsidP="002F51B6">
      <w:pPr>
        <w:rPr>
          <w:rFonts w:ascii="Arial" w:hAnsi="Arial" w:cs="Arial"/>
          <w:sz w:val="20"/>
          <w:szCs w:val="20"/>
        </w:rPr>
      </w:pPr>
    </w:p>
    <w:p w14:paraId="4382BAFB" w14:textId="77777777" w:rsidR="00D129EE" w:rsidRPr="006333CA" w:rsidRDefault="00D129EE" w:rsidP="00D0534C">
      <w:pPr>
        <w:rPr>
          <w:rFonts w:ascii="Arial" w:hAnsi="Arial" w:cs="Arial"/>
          <w:sz w:val="20"/>
          <w:szCs w:val="20"/>
        </w:rPr>
      </w:pPr>
    </w:p>
    <w:p w14:paraId="445F2439" w14:textId="77777777" w:rsidR="00D129EE" w:rsidRPr="006333CA" w:rsidRDefault="00D129EE" w:rsidP="00D0534C">
      <w:pPr>
        <w:rPr>
          <w:rFonts w:ascii="Arial" w:hAnsi="Arial" w:cs="Arial"/>
          <w:sz w:val="20"/>
          <w:szCs w:val="20"/>
        </w:rPr>
      </w:pPr>
    </w:p>
    <w:p w14:paraId="6BC57E33" w14:textId="77777777" w:rsidR="00D0534C" w:rsidRPr="006333CA" w:rsidRDefault="00D0534C" w:rsidP="00D0534C">
      <w:pPr>
        <w:rPr>
          <w:rFonts w:ascii="Arial" w:hAnsi="Arial" w:cs="Arial"/>
          <w:sz w:val="20"/>
          <w:szCs w:val="20"/>
        </w:rPr>
      </w:pPr>
    </w:p>
    <w:p w14:paraId="347A80B8" w14:textId="32ED1C17" w:rsidR="00DE649C" w:rsidRPr="006333CA" w:rsidRDefault="40471C97" w:rsidP="000B2206">
      <w:pPr>
        <w:pStyle w:val="ListParagraph"/>
        <w:numPr>
          <w:ilvl w:val="0"/>
          <w:numId w:val="2"/>
        </w:numPr>
        <w:tabs>
          <w:tab w:val="left" w:pos="565"/>
        </w:tabs>
        <w:rPr>
          <w:rFonts w:eastAsia="Arial" w:cs="Arial"/>
          <w:b/>
          <w:color w:val="000000" w:themeColor="text1"/>
          <w:sz w:val="20"/>
          <w:szCs w:val="20"/>
        </w:rPr>
      </w:pPr>
      <w:r w:rsidRPr="006333CA">
        <w:rPr>
          <w:rFonts w:eastAsia="Arial" w:cs="Arial"/>
          <w:b/>
          <w:color w:val="000000" w:themeColor="text1"/>
          <w:sz w:val="20"/>
          <w:szCs w:val="20"/>
          <w:lang w:val="en-US"/>
        </w:rPr>
        <w:t>Conclusion</w:t>
      </w:r>
    </w:p>
    <w:p w14:paraId="7393C6EA" w14:textId="173E936C" w:rsidR="00DE649C" w:rsidRPr="006333CA" w:rsidRDefault="00DE649C" w:rsidP="360C4CB1">
      <w:pPr>
        <w:tabs>
          <w:tab w:val="left" w:pos="565"/>
        </w:tabs>
        <w:spacing w:after="0" w:line="240" w:lineRule="auto"/>
        <w:ind w:left="720"/>
        <w:contextualSpacing/>
        <w:rPr>
          <w:rFonts w:ascii="Arial" w:eastAsia="Arial" w:hAnsi="Arial" w:cs="Arial"/>
          <w:color w:val="000000" w:themeColor="text1"/>
          <w:sz w:val="20"/>
          <w:szCs w:val="20"/>
        </w:rPr>
      </w:pPr>
    </w:p>
    <w:p w14:paraId="76B0AC3D" w14:textId="01EFB038" w:rsidR="00DE649C" w:rsidRPr="006333CA" w:rsidRDefault="40471C97" w:rsidP="000B2206">
      <w:pPr>
        <w:pStyle w:val="ListParagraph"/>
        <w:numPr>
          <w:ilvl w:val="1"/>
          <w:numId w:val="2"/>
        </w:numPr>
        <w:tabs>
          <w:tab w:val="left" w:pos="565"/>
        </w:tabs>
        <w:rPr>
          <w:rFonts w:eastAsia="Arial" w:cs="Arial"/>
          <w:color w:val="000000" w:themeColor="text1"/>
          <w:sz w:val="20"/>
          <w:szCs w:val="20"/>
        </w:rPr>
      </w:pPr>
      <w:r w:rsidRPr="006333CA">
        <w:rPr>
          <w:rFonts w:eastAsia="Arial" w:cs="Arial"/>
          <w:color w:val="000000" w:themeColor="text1"/>
          <w:sz w:val="20"/>
          <w:szCs w:val="20"/>
          <w:lang w:val="en-US"/>
        </w:rPr>
        <w:t>Each of the service groups has con</w:t>
      </w:r>
      <w:r w:rsidR="000B2206" w:rsidRPr="006333CA">
        <w:rPr>
          <w:rFonts w:eastAsia="Arial" w:cs="Arial"/>
          <w:color w:val="000000" w:themeColor="text1"/>
          <w:sz w:val="20"/>
          <w:szCs w:val="20"/>
          <w:lang w:val="en-US"/>
        </w:rPr>
        <w:t>ducted</w:t>
      </w:r>
      <w:r w:rsidRPr="006333CA">
        <w:rPr>
          <w:rFonts w:eastAsia="Arial" w:cs="Arial"/>
          <w:color w:val="000000" w:themeColor="text1"/>
          <w:sz w:val="20"/>
          <w:szCs w:val="20"/>
          <w:lang w:val="en-US"/>
        </w:rPr>
        <w:t xml:space="preserve"> their business in line with their terms of reference.</w:t>
      </w:r>
    </w:p>
    <w:p w14:paraId="2D36283B" w14:textId="3DF4CA61" w:rsidR="00DE649C" w:rsidRPr="006333CA" w:rsidRDefault="00DE649C" w:rsidP="360C4CB1">
      <w:pPr>
        <w:tabs>
          <w:tab w:val="left" w:pos="565"/>
        </w:tabs>
        <w:spacing w:after="0" w:line="240" w:lineRule="auto"/>
        <w:ind w:left="567"/>
        <w:rPr>
          <w:rFonts w:ascii="Arial" w:eastAsia="Arial" w:hAnsi="Arial" w:cs="Arial"/>
          <w:color w:val="000000" w:themeColor="text1"/>
          <w:sz w:val="20"/>
          <w:szCs w:val="20"/>
        </w:rPr>
      </w:pPr>
    </w:p>
    <w:p w14:paraId="2F96AD81" w14:textId="4AD7CA20" w:rsidR="00DE649C" w:rsidRPr="006333CA" w:rsidRDefault="40471C97" w:rsidP="000B2206">
      <w:pPr>
        <w:pStyle w:val="ListParagraph"/>
        <w:numPr>
          <w:ilvl w:val="0"/>
          <w:numId w:val="2"/>
        </w:numPr>
        <w:tabs>
          <w:tab w:val="left" w:pos="565"/>
        </w:tabs>
        <w:rPr>
          <w:rFonts w:eastAsia="Arial" w:cs="Arial"/>
          <w:b/>
          <w:color w:val="000000" w:themeColor="text1"/>
          <w:sz w:val="20"/>
          <w:szCs w:val="20"/>
          <w:lang w:val="en-US"/>
        </w:rPr>
      </w:pPr>
      <w:r w:rsidRPr="006333CA">
        <w:rPr>
          <w:rFonts w:eastAsia="Arial" w:cs="Arial"/>
          <w:b/>
          <w:color w:val="000000" w:themeColor="text1"/>
          <w:sz w:val="20"/>
          <w:szCs w:val="20"/>
          <w:lang w:val="en-US"/>
        </w:rPr>
        <w:t>Recommendations</w:t>
      </w:r>
    </w:p>
    <w:p w14:paraId="72E6EBF5" w14:textId="47D02CCB" w:rsidR="00DE649C" w:rsidRPr="006333CA" w:rsidRDefault="00DE649C" w:rsidP="360C4CB1">
      <w:pPr>
        <w:spacing w:after="0" w:line="240" w:lineRule="auto"/>
        <w:ind w:left="567"/>
        <w:rPr>
          <w:rFonts w:ascii="Arial" w:eastAsia="Arial" w:hAnsi="Arial" w:cs="Arial"/>
          <w:color w:val="000000" w:themeColor="text1"/>
          <w:sz w:val="20"/>
          <w:szCs w:val="20"/>
        </w:rPr>
      </w:pPr>
    </w:p>
    <w:p w14:paraId="5BC4CBB9" w14:textId="22239A7C" w:rsidR="00DE649C" w:rsidRPr="006333CA" w:rsidRDefault="40471C97" w:rsidP="000B2206">
      <w:pPr>
        <w:pStyle w:val="ListParagraph"/>
        <w:numPr>
          <w:ilvl w:val="1"/>
          <w:numId w:val="2"/>
        </w:numPr>
        <w:tabs>
          <w:tab w:val="left" w:pos="565"/>
        </w:tabs>
        <w:rPr>
          <w:rFonts w:eastAsia="Arial" w:cs="Arial"/>
          <w:color w:val="000000" w:themeColor="text1"/>
          <w:sz w:val="20"/>
          <w:szCs w:val="20"/>
          <w:lang w:val="en-US"/>
        </w:rPr>
      </w:pPr>
      <w:r w:rsidRPr="006333CA">
        <w:rPr>
          <w:rFonts w:eastAsia="Arial" w:cs="Arial"/>
          <w:color w:val="000000" w:themeColor="text1"/>
          <w:sz w:val="20"/>
          <w:szCs w:val="20"/>
          <w:lang w:val="en-US"/>
        </w:rPr>
        <w:t>The Primary Care Contracts Sub</w:t>
      </w:r>
      <w:r w:rsidR="000B2206" w:rsidRPr="006333CA">
        <w:rPr>
          <w:rFonts w:eastAsia="Arial" w:cs="Arial"/>
          <w:color w:val="000000" w:themeColor="text1"/>
          <w:sz w:val="20"/>
          <w:szCs w:val="20"/>
          <w:lang w:val="en-US"/>
        </w:rPr>
        <w:t>-c</w:t>
      </w:r>
      <w:r w:rsidRPr="006333CA">
        <w:rPr>
          <w:rFonts w:eastAsia="Arial" w:cs="Arial"/>
          <w:color w:val="000000" w:themeColor="text1"/>
          <w:sz w:val="20"/>
          <w:szCs w:val="20"/>
          <w:lang w:val="en-US"/>
        </w:rPr>
        <w:t>ommittee is requested to:</w:t>
      </w:r>
    </w:p>
    <w:p w14:paraId="17BCE4E2" w14:textId="77777777" w:rsidR="000B2206" w:rsidRPr="006333CA" w:rsidRDefault="000B2206" w:rsidP="000B2206">
      <w:pPr>
        <w:pStyle w:val="ListParagraph"/>
        <w:tabs>
          <w:tab w:val="left" w:pos="565"/>
        </w:tabs>
        <w:spacing w:before="100"/>
        <w:rPr>
          <w:rFonts w:eastAsia="Arial" w:cs="Arial"/>
          <w:color w:val="262626" w:themeColor="text1" w:themeTint="D9"/>
          <w:sz w:val="20"/>
          <w:szCs w:val="20"/>
        </w:rPr>
      </w:pPr>
    </w:p>
    <w:p w14:paraId="3C9EA3F2" w14:textId="0BE5520C" w:rsidR="00DE649C" w:rsidRPr="006333CA" w:rsidRDefault="2FAE5617" w:rsidP="20EF42EC">
      <w:pPr>
        <w:pStyle w:val="ListParagraph"/>
        <w:numPr>
          <w:ilvl w:val="0"/>
          <w:numId w:val="1"/>
        </w:numPr>
        <w:tabs>
          <w:tab w:val="left" w:pos="565"/>
        </w:tabs>
        <w:spacing w:before="120"/>
        <w:rPr>
          <w:rFonts w:eastAsia="Arial" w:cs="Arial"/>
          <w:color w:val="000000" w:themeColor="text1"/>
          <w:sz w:val="20"/>
          <w:szCs w:val="20"/>
        </w:rPr>
      </w:pPr>
      <w:r w:rsidRPr="006333CA">
        <w:rPr>
          <w:rFonts w:eastAsia="Arial" w:cs="Arial"/>
          <w:color w:val="000000" w:themeColor="text1"/>
          <w:sz w:val="20"/>
          <w:szCs w:val="20"/>
          <w:lang w:val="en-US"/>
        </w:rPr>
        <w:t>Receive and note the Alert, Assure and Advise (AAA) reports from the five primary care groups.</w:t>
      </w:r>
    </w:p>
    <w:p w14:paraId="08FB2237" w14:textId="3A7950B0" w:rsidR="00DE649C" w:rsidRPr="006333CA" w:rsidRDefault="00DE649C" w:rsidP="360C4CB1">
      <w:pPr>
        <w:spacing w:before="120" w:after="0" w:line="240" w:lineRule="auto"/>
        <w:rPr>
          <w:rFonts w:ascii="Arial" w:eastAsia="Arial" w:hAnsi="Arial" w:cs="Arial"/>
          <w:color w:val="000000" w:themeColor="text1"/>
          <w:sz w:val="20"/>
          <w:szCs w:val="20"/>
        </w:rPr>
      </w:pPr>
    </w:p>
    <w:p w14:paraId="45BB2FDB" w14:textId="5F6E794C" w:rsidR="00DE649C" w:rsidRPr="006333CA" w:rsidRDefault="40471C97" w:rsidP="360C4CB1">
      <w:pPr>
        <w:spacing w:before="120" w:after="0" w:line="240" w:lineRule="auto"/>
        <w:ind w:left="562" w:hanging="562"/>
        <w:rPr>
          <w:rFonts w:ascii="Arial" w:eastAsia="Arial" w:hAnsi="Arial" w:cs="Arial"/>
          <w:color w:val="000000" w:themeColor="text1"/>
          <w:sz w:val="20"/>
          <w:szCs w:val="20"/>
        </w:rPr>
      </w:pPr>
      <w:r w:rsidRPr="006333CA">
        <w:rPr>
          <w:rFonts w:ascii="Arial" w:eastAsia="Arial" w:hAnsi="Arial" w:cs="Arial"/>
          <w:b/>
          <w:color w:val="000000" w:themeColor="text1"/>
          <w:sz w:val="20"/>
          <w:szCs w:val="20"/>
          <w:lang w:val="en-US"/>
        </w:rPr>
        <w:t>Sarah Danson and David Armstrong</w:t>
      </w:r>
    </w:p>
    <w:p w14:paraId="7B14BA72" w14:textId="7267860F" w:rsidR="00DE649C" w:rsidRPr="006333CA" w:rsidRDefault="40471C97" w:rsidP="360C4CB1">
      <w:pPr>
        <w:spacing w:before="120" w:after="0" w:line="240" w:lineRule="auto"/>
        <w:ind w:left="562" w:hanging="562"/>
        <w:rPr>
          <w:rFonts w:ascii="Arial" w:eastAsia="Arial" w:hAnsi="Arial" w:cs="Arial"/>
          <w:color w:val="000000" w:themeColor="text1"/>
          <w:sz w:val="20"/>
          <w:szCs w:val="20"/>
        </w:rPr>
      </w:pPr>
      <w:r w:rsidRPr="006333CA">
        <w:rPr>
          <w:rFonts w:ascii="Arial" w:eastAsia="Arial" w:hAnsi="Arial" w:cs="Arial"/>
          <w:b/>
          <w:color w:val="000000" w:themeColor="text1"/>
          <w:sz w:val="20"/>
          <w:szCs w:val="20"/>
          <w:lang w:val="en-US"/>
        </w:rPr>
        <w:t>Senior Delivery Assurance Managers</w:t>
      </w:r>
    </w:p>
    <w:p w14:paraId="04F1D68D" w14:textId="75D8C108" w:rsidR="00BB4E3C" w:rsidRPr="006333CA" w:rsidRDefault="00BB4E3C" w:rsidP="2849742D">
      <w:pPr>
        <w:spacing w:before="120" w:after="0" w:line="240" w:lineRule="auto"/>
        <w:rPr>
          <w:rFonts w:ascii="Arial" w:eastAsia="Arial" w:hAnsi="Arial" w:cs="Arial"/>
          <w:b/>
          <w:bCs/>
          <w:color w:val="000000" w:themeColor="text1"/>
          <w:sz w:val="20"/>
          <w:szCs w:val="20"/>
          <w:highlight w:val="yellow"/>
          <w:lang w:val="en-US"/>
        </w:rPr>
      </w:pPr>
    </w:p>
    <w:sectPr w:rsidR="00BB4E3C" w:rsidRPr="006333CA" w:rsidSect="00757B55">
      <w:headerReference w:type="default" r:id="rId12"/>
      <w:footerReference w:type="default" r:id="rId13"/>
      <w:headerReference w:type="first" r:id="rId14"/>
      <w:footerReference w:type="first" r:id="rId15"/>
      <w:pgSz w:w="11906" w:h="16838"/>
      <w:pgMar w:top="1440" w:right="1440" w:bottom="1440" w:left="1440" w:header="708"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DC36" w14:textId="77777777" w:rsidR="00112555" w:rsidRDefault="00112555" w:rsidP="00DE649C">
      <w:pPr>
        <w:spacing w:after="0" w:line="240" w:lineRule="auto"/>
      </w:pPr>
      <w:r>
        <w:separator/>
      </w:r>
    </w:p>
  </w:endnote>
  <w:endnote w:type="continuationSeparator" w:id="0">
    <w:p w14:paraId="0610EE1B" w14:textId="77777777" w:rsidR="00112555" w:rsidRDefault="00112555" w:rsidP="00DE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1" w14:textId="168EC51E" w:rsidR="009708F9" w:rsidRPr="00157E91" w:rsidRDefault="009708F9" w:rsidP="00270B1A">
    <w:pPr>
      <w:tabs>
        <w:tab w:val="center" w:pos="4153"/>
        <w:tab w:val="right" w:pos="8306"/>
      </w:tabs>
      <w:rPr>
        <w:rFonts w:ascii="Arial" w:hAnsi="Arial" w:cs="Arial"/>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8" w14:textId="38EA2C20" w:rsidR="00570210" w:rsidRDefault="00037CB6" w:rsidP="00270B1A">
    <w:pPr>
      <w:pStyle w:val="NoSpacing"/>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00E9" w14:textId="77777777" w:rsidR="00112555" w:rsidRDefault="00112555" w:rsidP="00DE649C">
      <w:pPr>
        <w:spacing w:after="0" w:line="240" w:lineRule="auto"/>
      </w:pPr>
      <w:r>
        <w:separator/>
      </w:r>
    </w:p>
  </w:footnote>
  <w:footnote w:type="continuationSeparator" w:id="0">
    <w:p w14:paraId="7CCE9599" w14:textId="77777777" w:rsidR="00112555" w:rsidRDefault="00112555" w:rsidP="00DE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849742D" w14:paraId="5EA2B942" w14:textId="77777777" w:rsidTr="2849742D">
      <w:trPr>
        <w:trHeight w:val="300"/>
      </w:trPr>
      <w:tc>
        <w:tcPr>
          <w:tcW w:w="3005" w:type="dxa"/>
        </w:tcPr>
        <w:p w14:paraId="623AFA5C" w14:textId="150C7866" w:rsidR="2849742D" w:rsidRDefault="2849742D" w:rsidP="2849742D">
          <w:pPr>
            <w:pStyle w:val="Header"/>
            <w:ind w:left="-115"/>
          </w:pPr>
        </w:p>
      </w:tc>
      <w:tc>
        <w:tcPr>
          <w:tcW w:w="3005" w:type="dxa"/>
        </w:tcPr>
        <w:p w14:paraId="35CD3FC5" w14:textId="748451F5" w:rsidR="2849742D" w:rsidRDefault="2849742D" w:rsidP="2849742D">
          <w:pPr>
            <w:pStyle w:val="Header"/>
            <w:jc w:val="center"/>
          </w:pPr>
        </w:p>
      </w:tc>
      <w:tc>
        <w:tcPr>
          <w:tcW w:w="3005" w:type="dxa"/>
        </w:tcPr>
        <w:p w14:paraId="3D41AC1A" w14:textId="46316C75" w:rsidR="2849742D" w:rsidRDefault="2849742D" w:rsidP="2849742D">
          <w:pPr>
            <w:pStyle w:val="Header"/>
            <w:ind w:right="-115"/>
            <w:jc w:val="right"/>
          </w:pPr>
        </w:p>
      </w:tc>
    </w:tr>
  </w:tbl>
  <w:p w14:paraId="1498D1E2" w14:textId="4DD5DB46" w:rsidR="2849742D" w:rsidRDefault="2849742D" w:rsidP="28497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31" w:type="dxa"/>
      <w:tblLook w:val="04A0" w:firstRow="1" w:lastRow="0" w:firstColumn="1" w:lastColumn="0" w:noHBand="0" w:noVBand="1"/>
    </w:tblPr>
    <w:tblGrid>
      <w:gridCol w:w="9747"/>
      <w:gridCol w:w="4784"/>
    </w:tblGrid>
    <w:tr w:rsidR="00A1353A" w14:paraId="6D3F4174" w14:textId="77777777" w:rsidTr="00E87215">
      <w:tc>
        <w:tcPr>
          <w:tcW w:w="9747" w:type="dxa"/>
        </w:tcPr>
        <w:p w14:paraId="6D3F4172" w14:textId="12AD4363" w:rsidR="00A1353A" w:rsidRDefault="00A1353A" w:rsidP="00D0743C">
          <w:pPr>
            <w:pStyle w:val="Header"/>
            <w:ind w:right="-4785"/>
            <w:jc w:val="center"/>
          </w:pPr>
        </w:p>
      </w:tc>
      <w:tc>
        <w:tcPr>
          <w:tcW w:w="4784" w:type="dxa"/>
        </w:tcPr>
        <w:p w14:paraId="6D3F4173" w14:textId="77777777" w:rsidR="00A1353A" w:rsidRDefault="00A1353A">
          <w:pPr>
            <w:pStyle w:val="Header"/>
            <w:ind w:left="-4361"/>
          </w:pPr>
        </w:p>
      </w:tc>
    </w:tr>
  </w:tbl>
  <w:p w14:paraId="6D3F4175" w14:textId="1BFEEE01" w:rsidR="00757B55" w:rsidRDefault="00E70044" w:rsidP="00A1353A">
    <w:pPr>
      <w:pStyle w:val="Header"/>
      <w:tabs>
        <w:tab w:val="clear" w:pos="4513"/>
      </w:tabs>
    </w:pPr>
    <w:r w:rsidRPr="003E2A5C">
      <w:rPr>
        <w:noProof/>
        <w:sz w:val="20"/>
        <w:szCs w:val="20"/>
      </w:rPr>
      <w:drawing>
        <wp:anchor distT="0" distB="0" distL="114300" distR="114300" simplePos="0" relativeHeight="251660288" behindDoc="0" locked="0" layoutInCell="1" allowOverlap="1" wp14:anchorId="3E7C873E" wp14:editId="65DA374E">
          <wp:simplePos x="0" y="0"/>
          <wp:positionH relativeFrom="column">
            <wp:align>right</wp:align>
          </wp:positionH>
          <wp:positionV relativeFrom="paragraph">
            <wp:posOffset>-531495</wp:posOffset>
          </wp:positionV>
          <wp:extent cx="1219835" cy="768350"/>
          <wp:effectExtent l="0" t="0" r="0" b="0"/>
          <wp:wrapSquare wrapText="bothSides"/>
          <wp:docPr id="2" name="Picture 2">
            <a:extLst xmlns:a="http://schemas.openxmlformats.org/drawingml/2006/main">
              <a:ext uri="{FF2B5EF4-FFF2-40B4-BE49-F238E27FC236}">
                <a16:creationId xmlns:a16="http://schemas.microsoft.com/office/drawing/2014/main" id="{6A76AD5D-60D6-4893-992B-293329D8FE66}"/>
              </a:ext>
            </a:extLst>
          </wp:docPr>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41E"/>
    <w:multiLevelType w:val="hybridMultilevel"/>
    <w:tmpl w:val="FE3CD1AC"/>
    <w:lvl w:ilvl="0" w:tplc="B394EACA">
      <w:start w:val="5"/>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DCE6F"/>
    <w:multiLevelType w:val="hybridMultilevel"/>
    <w:tmpl w:val="4DCAD2B4"/>
    <w:lvl w:ilvl="0" w:tplc="EE3AA89A">
      <w:start w:val="1"/>
      <w:numFmt w:val="bullet"/>
      <w:lvlText w:val="-"/>
      <w:lvlJc w:val="left"/>
      <w:pPr>
        <w:ind w:left="720" w:hanging="360"/>
      </w:pPr>
      <w:rPr>
        <w:rFonts w:ascii="Aptos" w:hAnsi="Aptos" w:hint="default"/>
      </w:rPr>
    </w:lvl>
    <w:lvl w:ilvl="1" w:tplc="AF8E727C">
      <w:start w:val="1"/>
      <w:numFmt w:val="bullet"/>
      <w:lvlText w:val="o"/>
      <w:lvlJc w:val="left"/>
      <w:pPr>
        <w:ind w:left="1440" w:hanging="360"/>
      </w:pPr>
      <w:rPr>
        <w:rFonts w:ascii="Courier New" w:hAnsi="Courier New" w:hint="default"/>
      </w:rPr>
    </w:lvl>
    <w:lvl w:ilvl="2" w:tplc="6CC2BC62">
      <w:start w:val="1"/>
      <w:numFmt w:val="bullet"/>
      <w:lvlText w:val=""/>
      <w:lvlJc w:val="left"/>
      <w:pPr>
        <w:ind w:left="2160" w:hanging="360"/>
      </w:pPr>
      <w:rPr>
        <w:rFonts w:ascii="Wingdings" w:hAnsi="Wingdings" w:hint="default"/>
      </w:rPr>
    </w:lvl>
    <w:lvl w:ilvl="3" w:tplc="8F82E500">
      <w:start w:val="1"/>
      <w:numFmt w:val="bullet"/>
      <w:lvlText w:val=""/>
      <w:lvlJc w:val="left"/>
      <w:pPr>
        <w:ind w:left="2880" w:hanging="360"/>
      </w:pPr>
      <w:rPr>
        <w:rFonts w:ascii="Symbol" w:hAnsi="Symbol" w:hint="default"/>
      </w:rPr>
    </w:lvl>
    <w:lvl w:ilvl="4" w:tplc="D122A034">
      <w:start w:val="1"/>
      <w:numFmt w:val="bullet"/>
      <w:lvlText w:val="o"/>
      <w:lvlJc w:val="left"/>
      <w:pPr>
        <w:ind w:left="3600" w:hanging="360"/>
      </w:pPr>
      <w:rPr>
        <w:rFonts w:ascii="Courier New" w:hAnsi="Courier New" w:hint="default"/>
      </w:rPr>
    </w:lvl>
    <w:lvl w:ilvl="5" w:tplc="785001DC">
      <w:start w:val="1"/>
      <w:numFmt w:val="bullet"/>
      <w:lvlText w:val=""/>
      <w:lvlJc w:val="left"/>
      <w:pPr>
        <w:ind w:left="4320" w:hanging="360"/>
      </w:pPr>
      <w:rPr>
        <w:rFonts w:ascii="Wingdings" w:hAnsi="Wingdings" w:hint="default"/>
      </w:rPr>
    </w:lvl>
    <w:lvl w:ilvl="6" w:tplc="8F74DD52">
      <w:start w:val="1"/>
      <w:numFmt w:val="bullet"/>
      <w:lvlText w:val=""/>
      <w:lvlJc w:val="left"/>
      <w:pPr>
        <w:ind w:left="5040" w:hanging="360"/>
      </w:pPr>
      <w:rPr>
        <w:rFonts w:ascii="Symbol" w:hAnsi="Symbol" w:hint="default"/>
      </w:rPr>
    </w:lvl>
    <w:lvl w:ilvl="7" w:tplc="15C465FA">
      <w:start w:val="1"/>
      <w:numFmt w:val="bullet"/>
      <w:lvlText w:val="o"/>
      <w:lvlJc w:val="left"/>
      <w:pPr>
        <w:ind w:left="5760" w:hanging="360"/>
      </w:pPr>
      <w:rPr>
        <w:rFonts w:ascii="Courier New" w:hAnsi="Courier New" w:hint="default"/>
      </w:rPr>
    </w:lvl>
    <w:lvl w:ilvl="8" w:tplc="BD90E1B8">
      <w:start w:val="1"/>
      <w:numFmt w:val="bullet"/>
      <w:lvlText w:val=""/>
      <w:lvlJc w:val="left"/>
      <w:pPr>
        <w:ind w:left="6480" w:hanging="360"/>
      </w:pPr>
      <w:rPr>
        <w:rFonts w:ascii="Wingdings" w:hAnsi="Wingdings" w:hint="default"/>
      </w:rPr>
    </w:lvl>
  </w:abstractNum>
  <w:abstractNum w:abstractNumId="2" w15:restartNumberingAfterBreak="0">
    <w:nsid w:val="04CD4B91"/>
    <w:multiLevelType w:val="hybridMultilevel"/>
    <w:tmpl w:val="01D255B6"/>
    <w:lvl w:ilvl="0" w:tplc="E0CA68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33909"/>
    <w:multiLevelType w:val="multilevel"/>
    <w:tmpl w:val="5F3CE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C885EE5"/>
    <w:multiLevelType w:val="hybridMultilevel"/>
    <w:tmpl w:val="801C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21E5"/>
    <w:multiLevelType w:val="hybridMultilevel"/>
    <w:tmpl w:val="6BC01070"/>
    <w:lvl w:ilvl="0" w:tplc="5876212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CC13D4"/>
    <w:multiLevelType w:val="hybridMultilevel"/>
    <w:tmpl w:val="4F2C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08E5F"/>
    <w:multiLevelType w:val="multilevel"/>
    <w:tmpl w:val="DCC4CF5A"/>
    <w:lvl w:ilvl="0">
      <w:start w:val="1"/>
      <w:numFmt w:val="decimal"/>
      <w:lvlText w:val="%1."/>
      <w:lvlJc w:val="left"/>
      <w:pPr>
        <w:ind w:left="720" w:hanging="360"/>
      </w:pPr>
    </w:lvl>
    <w:lvl w:ilvl="1">
      <w:start w:val="1"/>
      <w:numFmt w:val="decimal"/>
      <w:lvlText w:val="%1.%2"/>
      <w:lvlJc w:val="left"/>
      <w:pPr>
        <w:ind w:left="564" w:hanging="564"/>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0093B"/>
    <w:multiLevelType w:val="multilevel"/>
    <w:tmpl w:val="A5703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A1A2F"/>
    <w:multiLevelType w:val="hybridMultilevel"/>
    <w:tmpl w:val="5640326E"/>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FD27F81"/>
    <w:multiLevelType w:val="hybridMultilevel"/>
    <w:tmpl w:val="B434A7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D50688"/>
    <w:multiLevelType w:val="hybridMultilevel"/>
    <w:tmpl w:val="5BF4336C"/>
    <w:lvl w:ilvl="0" w:tplc="DAF2F818">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04C26"/>
    <w:multiLevelType w:val="hybridMultilevel"/>
    <w:tmpl w:val="92DC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222C"/>
    <w:multiLevelType w:val="hybridMultilevel"/>
    <w:tmpl w:val="56B607B0"/>
    <w:lvl w:ilvl="0" w:tplc="3FDC3D22">
      <w:start w:val="1"/>
      <w:numFmt w:val="bullet"/>
      <w:lvlText w:val="-"/>
      <w:lvlJc w:val="left"/>
      <w:pPr>
        <w:ind w:left="720" w:hanging="360"/>
      </w:pPr>
      <w:rPr>
        <w:rFonts w:ascii="Aptos" w:hAnsi="Aptos" w:hint="default"/>
      </w:rPr>
    </w:lvl>
    <w:lvl w:ilvl="1" w:tplc="8FECF76E">
      <w:start w:val="1"/>
      <w:numFmt w:val="bullet"/>
      <w:lvlText w:val="o"/>
      <w:lvlJc w:val="left"/>
      <w:pPr>
        <w:ind w:left="1440" w:hanging="360"/>
      </w:pPr>
      <w:rPr>
        <w:rFonts w:ascii="Courier New" w:hAnsi="Courier New" w:hint="default"/>
      </w:rPr>
    </w:lvl>
    <w:lvl w:ilvl="2" w:tplc="F446D63C">
      <w:start w:val="1"/>
      <w:numFmt w:val="bullet"/>
      <w:lvlText w:val=""/>
      <w:lvlJc w:val="left"/>
      <w:pPr>
        <w:ind w:left="2160" w:hanging="360"/>
      </w:pPr>
      <w:rPr>
        <w:rFonts w:ascii="Wingdings" w:hAnsi="Wingdings" w:hint="default"/>
      </w:rPr>
    </w:lvl>
    <w:lvl w:ilvl="3" w:tplc="4EDE2394">
      <w:start w:val="1"/>
      <w:numFmt w:val="bullet"/>
      <w:lvlText w:val=""/>
      <w:lvlJc w:val="left"/>
      <w:pPr>
        <w:ind w:left="2880" w:hanging="360"/>
      </w:pPr>
      <w:rPr>
        <w:rFonts w:ascii="Symbol" w:hAnsi="Symbol" w:hint="default"/>
      </w:rPr>
    </w:lvl>
    <w:lvl w:ilvl="4" w:tplc="4D288BEE">
      <w:start w:val="1"/>
      <w:numFmt w:val="bullet"/>
      <w:lvlText w:val="o"/>
      <w:lvlJc w:val="left"/>
      <w:pPr>
        <w:ind w:left="3600" w:hanging="360"/>
      </w:pPr>
      <w:rPr>
        <w:rFonts w:ascii="Courier New" w:hAnsi="Courier New" w:hint="default"/>
      </w:rPr>
    </w:lvl>
    <w:lvl w:ilvl="5" w:tplc="90407D8E">
      <w:start w:val="1"/>
      <w:numFmt w:val="bullet"/>
      <w:lvlText w:val=""/>
      <w:lvlJc w:val="left"/>
      <w:pPr>
        <w:ind w:left="4320" w:hanging="360"/>
      </w:pPr>
      <w:rPr>
        <w:rFonts w:ascii="Wingdings" w:hAnsi="Wingdings" w:hint="default"/>
      </w:rPr>
    </w:lvl>
    <w:lvl w:ilvl="6" w:tplc="40823920">
      <w:start w:val="1"/>
      <w:numFmt w:val="bullet"/>
      <w:lvlText w:val=""/>
      <w:lvlJc w:val="left"/>
      <w:pPr>
        <w:ind w:left="5040" w:hanging="360"/>
      </w:pPr>
      <w:rPr>
        <w:rFonts w:ascii="Symbol" w:hAnsi="Symbol" w:hint="default"/>
      </w:rPr>
    </w:lvl>
    <w:lvl w:ilvl="7" w:tplc="0B762216">
      <w:start w:val="1"/>
      <w:numFmt w:val="bullet"/>
      <w:lvlText w:val="o"/>
      <w:lvlJc w:val="left"/>
      <w:pPr>
        <w:ind w:left="5760" w:hanging="360"/>
      </w:pPr>
      <w:rPr>
        <w:rFonts w:ascii="Courier New" w:hAnsi="Courier New" w:hint="default"/>
      </w:rPr>
    </w:lvl>
    <w:lvl w:ilvl="8" w:tplc="116E1A76">
      <w:start w:val="1"/>
      <w:numFmt w:val="bullet"/>
      <w:lvlText w:val=""/>
      <w:lvlJc w:val="left"/>
      <w:pPr>
        <w:ind w:left="6480" w:hanging="360"/>
      </w:pPr>
      <w:rPr>
        <w:rFonts w:ascii="Wingdings" w:hAnsi="Wingdings" w:hint="default"/>
      </w:rPr>
    </w:lvl>
  </w:abstractNum>
  <w:abstractNum w:abstractNumId="14" w15:restartNumberingAfterBreak="0">
    <w:nsid w:val="2A460D61"/>
    <w:multiLevelType w:val="hybridMultilevel"/>
    <w:tmpl w:val="DF5A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F50A2"/>
    <w:multiLevelType w:val="hybridMultilevel"/>
    <w:tmpl w:val="96F6D40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F451C70"/>
    <w:multiLevelType w:val="hybridMultilevel"/>
    <w:tmpl w:val="7458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24CB0"/>
    <w:multiLevelType w:val="hybridMultilevel"/>
    <w:tmpl w:val="A4DA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773A4"/>
    <w:multiLevelType w:val="hybridMultilevel"/>
    <w:tmpl w:val="F51CE112"/>
    <w:lvl w:ilvl="0" w:tplc="32987658">
      <w:start w:val="1"/>
      <w:numFmt w:val="decimal"/>
      <w:lvlText w:val="%1."/>
      <w:lvlJc w:val="left"/>
      <w:pPr>
        <w:ind w:left="930" w:hanging="570"/>
      </w:pPr>
    </w:lvl>
    <w:lvl w:ilvl="1" w:tplc="8B42C4B6">
      <w:start w:val="1"/>
      <w:numFmt w:val="lowerLetter"/>
      <w:lvlText w:val="%2."/>
      <w:lvlJc w:val="left"/>
      <w:pPr>
        <w:ind w:left="1440" w:hanging="360"/>
      </w:pPr>
    </w:lvl>
    <w:lvl w:ilvl="2" w:tplc="FBEC5A6C">
      <w:start w:val="1"/>
      <w:numFmt w:val="lowerRoman"/>
      <w:lvlText w:val="%3."/>
      <w:lvlJc w:val="right"/>
      <w:pPr>
        <w:ind w:left="2160" w:hanging="180"/>
      </w:pPr>
    </w:lvl>
    <w:lvl w:ilvl="3" w:tplc="4BC05D22">
      <w:start w:val="1"/>
      <w:numFmt w:val="decimal"/>
      <w:lvlText w:val="%4."/>
      <w:lvlJc w:val="left"/>
      <w:pPr>
        <w:ind w:left="2880" w:hanging="360"/>
      </w:pPr>
    </w:lvl>
    <w:lvl w:ilvl="4" w:tplc="6ED66C3A">
      <w:start w:val="1"/>
      <w:numFmt w:val="lowerLetter"/>
      <w:lvlText w:val="%5."/>
      <w:lvlJc w:val="left"/>
      <w:pPr>
        <w:ind w:left="3600" w:hanging="360"/>
      </w:pPr>
    </w:lvl>
    <w:lvl w:ilvl="5" w:tplc="74A09AE6">
      <w:start w:val="1"/>
      <w:numFmt w:val="lowerRoman"/>
      <w:lvlText w:val="%6."/>
      <w:lvlJc w:val="right"/>
      <w:pPr>
        <w:ind w:left="4320" w:hanging="180"/>
      </w:pPr>
    </w:lvl>
    <w:lvl w:ilvl="6" w:tplc="03120AFC">
      <w:start w:val="1"/>
      <w:numFmt w:val="decimal"/>
      <w:lvlText w:val="%7."/>
      <w:lvlJc w:val="left"/>
      <w:pPr>
        <w:ind w:left="5040" w:hanging="360"/>
      </w:pPr>
    </w:lvl>
    <w:lvl w:ilvl="7" w:tplc="B3FC3DA6">
      <w:start w:val="1"/>
      <w:numFmt w:val="lowerLetter"/>
      <w:lvlText w:val="%8."/>
      <w:lvlJc w:val="left"/>
      <w:pPr>
        <w:ind w:left="5760" w:hanging="360"/>
      </w:pPr>
    </w:lvl>
    <w:lvl w:ilvl="8" w:tplc="7D8C0578">
      <w:start w:val="1"/>
      <w:numFmt w:val="lowerRoman"/>
      <w:lvlText w:val="%9."/>
      <w:lvlJc w:val="right"/>
      <w:pPr>
        <w:ind w:left="6480" w:hanging="180"/>
      </w:pPr>
    </w:lvl>
  </w:abstractNum>
  <w:abstractNum w:abstractNumId="19" w15:restartNumberingAfterBreak="0">
    <w:nsid w:val="3B4E66BB"/>
    <w:multiLevelType w:val="hybridMultilevel"/>
    <w:tmpl w:val="E36C5ADE"/>
    <w:lvl w:ilvl="0" w:tplc="78E2EA00">
      <w:start w:val="1"/>
      <w:numFmt w:val="bullet"/>
      <w:lvlText w:val=""/>
      <w:lvlJc w:val="left"/>
      <w:pPr>
        <w:ind w:left="1287" w:hanging="360"/>
      </w:pPr>
      <w:rPr>
        <w:rFonts w:ascii="Symbol" w:hAnsi="Symbol" w:hint="default"/>
      </w:rPr>
    </w:lvl>
    <w:lvl w:ilvl="1" w:tplc="A35EDF72">
      <w:start w:val="1"/>
      <w:numFmt w:val="bullet"/>
      <w:lvlText w:val="o"/>
      <w:lvlJc w:val="left"/>
      <w:pPr>
        <w:ind w:left="1440" w:hanging="360"/>
      </w:pPr>
      <w:rPr>
        <w:rFonts w:ascii="Courier New" w:hAnsi="Courier New" w:hint="default"/>
      </w:rPr>
    </w:lvl>
    <w:lvl w:ilvl="2" w:tplc="B7E090E0">
      <w:start w:val="1"/>
      <w:numFmt w:val="bullet"/>
      <w:lvlText w:val=""/>
      <w:lvlJc w:val="left"/>
      <w:pPr>
        <w:ind w:left="2160" w:hanging="360"/>
      </w:pPr>
      <w:rPr>
        <w:rFonts w:ascii="Wingdings" w:hAnsi="Wingdings" w:hint="default"/>
      </w:rPr>
    </w:lvl>
    <w:lvl w:ilvl="3" w:tplc="6076F39A">
      <w:start w:val="1"/>
      <w:numFmt w:val="bullet"/>
      <w:lvlText w:val=""/>
      <w:lvlJc w:val="left"/>
      <w:pPr>
        <w:ind w:left="2880" w:hanging="360"/>
      </w:pPr>
      <w:rPr>
        <w:rFonts w:ascii="Symbol" w:hAnsi="Symbol" w:hint="default"/>
      </w:rPr>
    </w:lvl>
    <w:lvl w:ilvl="4" w:tplc="25EAE224">
      <w:start w:val="1"/>
      <w:numFmt w:val="bullet"/>
      <w:lvlText w:val="o"/>
      <w:lvlJc w:val="left"/>
      <w:pPr>
        <w:ind w:left="3600" w:hanging="360"/>
      </w:pPr>
      <w:rPr>
        <w:rFonts w:ascii="Courier New" w:hAnsi="Courier New" w:hint="default"/>
      </w:rPr>
    </w:lvl>
    <w:lvl w:ilvl="5" w:tplc="115C3AAC">
      <w:start w:val="1"/>
      <w:numFmt w:val="bullet"/>
      <w:lvlText w:val=""/>
      <w:lvlJc w:val="left"/>
      <w:pPr>
        <w:ind w:left="4320" w:hanging="360"/>
      </w:pPr>
      <w:rPr>
        <w:rFonts w:ascii="Wingdings" w:hAnsi="Wingdings" w:hint="default"/>
      </w:rPr>
    </w:lvl>
    <w:lvl w:ilvl="6" w:tplc="2D6049A2">
      <w:start w:val="1"/>
      <w:numFmt w:val="bullet"/>
      <w:lvlText w:val=""/>
      <w:lvlJc w:val="left"/>
      <w:pPr>
        <w:ind w:left="5040" w:hanging="360"/>
      </w:pPr>
      <w:rPr>
        <w:rFonts w:ascii="Symbol" w:hAnsi="Symbol" w:hint="default"/>
      </w:rPr>
    </w:lvl>
    <w:lvl w:ilvl="7" w:tplc="57C0D18E">
      <w:start w:val="1"/>
      <w:numFmt w:val="bullet"/>
      <w:lvlText w:val="o"/>
      <w:lvlJc w:val="left"/>
      <w:pPr>
        <w:ind w:left="5760" w:hanging="360"/>
      </w:pPr>
      <w:rPr>
        <w:rFonts w:ascii="Courier New" w:hAnsi="Courier New" w:hint="default"/>
      </w:rPr>
    </w:lvl>
    <w:lvl w:ilvl="8" w:tplc="F3BE87F2">
      <w:start w:val="1"/>
      <w:numFmt w:val="bullet"/>
      <w:lvlText w:val=""/>
      <w:lvlJc w:val="left"/>
      <w:pPr>
        <w:ind w:left="6480" w:hanging="360"/>
      </w:pPr>
      <w:rPr>
        <w:rFonts w:ascii="Wingdings" w:hAnsi="Wingdings" w:hint="default"/>
      </w:rPr>
    </w:lvl>
  </w:abstractNum>
  <w:abstractNum w:abstractNumId="20" w15:restartNumberingAfterBreak="0">
    <w:nsid w:val="3FD696FE"/>
    <w:multiLevelType w:val="hybridMultilevel"/>
    <w:tmpl w:val="0D524E4A"/>
    <w:lvl w:ilvl="0" w:tplc="0382EA1A">
      <w:start w:val="2"/>
      <w:numFmt w:val="decimal"/>
      <w:lvlText w:val="%1."/>
      <w:lvlJc w:val="left"/>
      <w:pPr>
        <w:ind w:left="930" w:hanging="570"/>
      </w:pPr>
    </w:lvl>
    <w:lvl w:ilvl="1" w:tplc="81BA4978">
      <w:start w:val="1"/>
      <w:numFmt w:val="lowerLetter"/>
      <w:lvlText w:val="%2."/>
      <w:lvlJc w:val="left"/>
      <w:pPr>
        <w:ind w:left="1440" w:hanging="360"/>
      </w:pPr>
    </w:lvl>
    <w:lvl w:ilvl="2" w:tplc="11CC08D0">
      <w:start w:val="1"/>
      <w:numFmt w:val="lowerRoman"/>
      <w:lvlText w:val="%3."/>
      <w:lvlJc w:val="right"/>
      <w:pPr>
        <w:ind w:left="2160" w:hanging="180"/>
      </w:pPr>
    </w:lvl>
    <w:lvl w:ilvl="3" w:tplc="6D605B30">
      <w:start w:val="1"/>
      <w:numFmt w:val="decimal"/>
      <w:lvlText w:val="%4."/>
      <w:lvlJc w:val="left"/>
      <w:pPr>
        <w:ind w:left="2880" w:hanging="360"/>
      </w:pPr>
    </w:lvl>
    <w:lvl w:ilvl="4" w:tplc="C606664C">
      <w:start w:val="1"/>
      <w:numFmt w:val="lowerLetter"/>
      <w:lvlText w:val="%5."/>
      <w:lvlJc w:val="left"/>
      <w:pPr>
        <w:ind w:left="3600" w:hanging="360"/>
      </w:pPr>
    </w:lvl>
    <w:lvl w:ilvl="5" w:tplc="EC1A2836">
      <w:start w:val="1"/>
      <w:numFmt w:val="lowerRoman"/>
      <w:lvlText w:val="%6."/>
      <w:lvlJc w:val="right"/>
      <w:pPr>
        <w:ind w:left="4320" w:hanging="180"/>
      </w:pPr>
    </w:lvl>
    <w:lvl w:ilvl="6" w:tplc="13E0ECDC">
      <w:start w:val="1"/>
      <w:numFmt w:val="decimal"/>
      <w:lvlText w:val="%7."/>
      <w:lvlJc w:val="left"/>
      <w:pPr>
        <w:ind w:left="5040" w:hanging="360"/>
      </w:pPr>
    </w:lvl>
    <w:lvl w:ilvl="7" w:tplc="455EB26E">
      <w:start w:val="1"/>
      <w:numFmt w:val="lowerLetter"/>
      <w:lvlText w:val="%8."/>
      <w:lvlJc w:val="left"/>
      <w:pPr>
        <w:ind w:left="5760" w:hanging="360"/>
      </w:pPr>
    </w:lvl>
    <w:lvl w:ilvl="8" w:tplc="B130218C">
      <w:start w:val="1"/>
      <w:numFmt w:val="lowerRoman"/>
      <w:lvlText w:val="%9."/>
      <w:lvlJc w:val="right"/>
      <w:pPr>
        <w:ind w:left="6480" w:hanging="180"/>
      </w:pPr>
    </w:lvl>
  </w:abstractNum>
  <w:abstractNum w:abstractNumId="21" w15:restartNumberingAfterBreak="0">
    <w:nsid w:val="42C376CA"/>
    <w:multiLevelType w:val="hybridMultilevel"/>
    <w:tmpl w:val="0B1C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C341D"/>
    <w:multiLevelType w:val="multilevel"/>
    <w:tmpl w:val="901AA36C"/>
    <w:lvl w:ilvl="0">
      <w:start w:val="2"/>
      <w:numFmt w:val="decimal"/>
      <w:lvlText w:val="%1."/>
      <w:lvlJc w:val="left"/>
      <w:pPr>
        <w:tabs>
          <w:tab w:val="num" w:pos="720"/>
        </w:tabs>
        <w:ind w:left="720" w:hanging="360"/>
      </w:pPr>
      <w:rPr>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CB185E"/>
    <w:multiLevelType w:val="hybridMultilevel"/>
    <w:tmpl w:val="DD301BC4"/>
    <w:lvl w:ilvl="0" w:tplc="00B2203A">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72A2D"/>
    <w:multiLevelType w:val="hybridMultilevel"/>
    <w:tmpl w:val="5640326E"/>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A0C056F"/>
    <w:multiLevelType w:val="hybridMultilevel"/>
    <w:tmpl w:val="DBCEF816"/>
    <w:lvl w:ilvl="0" w:tplc="8026CB8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D1A6A"/>
    <w:multiLevelType w:val="multilevel"/>
    <w:tmpl w:val="F5BE1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469CB"/>
    <w:multiLevelType w:val="multilevel"/>
    <w:tmpl w:val="97564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691CBA4"/>
    <w:multiLevelType w:val="hybridMultilevel"/>
    <w:tmpl w:val="5640326E"/>
    <w:lvl w:ilvl="0" w:tplc="15282442">
      <w:start w:val="2"/>
      <w:numFmt w:val="decimal"/>
      <w:lvlText w:val="%1."/>
      <w:lvlJc w:val="left"/>
      <w:pPr>
        <w:ind w:left="720" w:hanging="360"/>
      </w:pPr>
    </w:lvl>
    <w:lvl w:ilvl="1" w:tplc="55FE815C">
      <w:start w:val="1"/>
      <w:numFmt w:val="lowerLetter"/>
      <w:lvlText w:val="%2."/>
      <w:lvlJc w:val="left"/>
      <w:pPr>
        <w:ind w:left="1440" w:hanging="360"/>
      </w:pPr>
    </w:lvl>
    <w:lvl w:ilvl="2" w:tplc="4DF2A696">
      <w:start w:val="1"/>
      <w:numFmt w:val="lowerRoman"/>
      <w:lvlText w:val="%3."/>
      <w:lvlJc w:val="right"/>
      <w:pPr>
        <w:ind w:left="2160" w:hanging="180"/>
      </w:pPr>
    </w:lvl>
    <w:lvl w:ilvl="3" w:tplc="5ADC0F5E">
      <w:start w:val="1"/>
      <w:numFmt w:val="decimal"/>
      <w:lvlText w:val="%4."/>
      <w:lvlJc w:val="left"/>
      <w:pPr>
        <w:ind w:left="2880" w:hanging="360"/>
      </w:pPr>
    </w:lvl>
    <w:lvl w:ilvl="4" w:tplc="0F4645AE">
      <w:start w:val="1"/>
      <w:numFmt w:val="lowerLetter"/>
      <w:lvlText w:val="%5."/>
      <w:lvlJc w:val="left"/>
      <w:pPr>
        <w:ind w:left="3600" w:hanging="360"/>
      </w:pPr>
    </w:lvl>
    <w:lvl w:ilvl="5" w:tplc="97123CAC">
      <w:start w:val="1"/>
      <w:numFmt w:val="lowerRoman"/>
      <w:lvlText w:val="%6."/>
      <w:lvlJc w:val="right"/>
      <w:pPr>
        <w:ind w:left="4320" w:hanging="180"/>
      </w:pPr>
    </w:lvl>
    <w:lvl w:ilvl="6" w:tplc="07D854EA">
      <w:start w:val="1"/>
      <w:numFmt w:val="decimal"/>
      <w:lvlText w:val="%7."/>
      <w:lvlJc w:val="left"/>
      <w:pPr>
        <w:ind w:left="5040" w:hanging="360"/>
      </w:pPr>
    </w:lvl>
    <w:lvl w:ilvl="7" w:tplc="06DA3954">
      <w:start w:val="1"/>
      <w:numFmt w:val="lowerLetter"/>
      <w:lvlText w:val="%8."/>
      <w:lvlJc w:val="left"/>
      <w:pPr>
        <w:ind w:left="5760" w:hanging="360"/>
      </w:pPr>
    </w:lvl>
    <w:lvl w:ilvl="8" w:tplc="A686E98A">
      <w:start w:val="1"/>
      <w:numFmt w:val="lowerRoman"/>
      <w:lvlText w:val="%9."/>
      <w:lvlJc w:val="right"/>
      <w:pPr>
        <w:ind w:left="6480" w:hanging="180"/>
      </w:pPr>
    </w:lvl>
  </w:abstractNum>
  <w:abstractNum w:abstractNumId="29" w15:restartNumberingAfterBreak="0">
    <w:nsid w:val="587A05C7"/>
    <w:multiLevelType w:val="hybridMultilevel"/>
    <w:tmpl w:val="AFD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E4571"/>
    <w:multiLevelType w:val="hybridMultilevel"/>
    <w:tmpl w:val="69C4E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E31592"/>
    <w:multiLevelType w:val="multilevel"/>
    <w:tmpl w:val="5EC2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E6B82"/>
    <w:multiLevelType w:val="hybridMultilevel"/>
    <w:tmpl w:val="54FC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4304C"/>
    <w:multiLevelType w:val="hybridMultilevel"/>
    <w:tmpl w:val="77FEB78E"/>
    <w:lvl w:ilvl="0" w:tplc="C4BAA82E">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9F4FC6"/>
    <w:multiLevelType w:val="hybridMultilevel"/>
    <w:tmpl w:val="43E2AA58"/>
    <w:lvl w:ilvl="0" w:tplc="80DA9A90">
      <w:start w:val="2"/>
      <w:numFmt w:val="decimal"/>
      <w:lvlText w:val="%1."/>
      <w:lvlJc w:val="left"/>
      <w:pPr>
        <w:ind w:left="720" w:hanging="360"/>
      </w:pPr>
    </w:lvl>
    <w:lvl w:ilvl="1" w:tplc="FEACD84C">
      <w:start w:val="1"/>
      <w:numFmt w:val="lowerLetter"/>
      <w:lvlText w:val="%2."/>
      <w:lvlJc w:val="left"/>
      <w:pPr>
        <w:ind w:left="1440" w:hanging="360"/>
      </w:pPr>
    </w:lvl>
    <w:lvl w:ilvl="2" w:tplc="8AD20B22">
      <w:start w:val="1"/>
      <w:numFmt w:val="lowerRoman"/>
      <w:lvlText w:val="%3."/>
      <w:lvlJc w:val="right"/>
      <w:pPr>
        <w:ind w:left="2160" w:hanging="180"/>
      </w:pPr>
    </w:lvl>
    <w:lvl w:ilvl="3" w:tplc="9370A19A">
      <w:start w:val="1"/>
      <w:numFmt w:val="decimal"/>
      <w:lvlText w:val="%4."/>
      <w:lvlJc w:val="left"/>
      <w:pPr>
        <w:ind w:left="2880" w:hanging="360"/>
      </w:pPr>
    </w:lvl>
    <w:lvl w:ilvl="4" w:tplc="0E1A81A8">
      <w:start w:val="1"/>
      <w:numFmt w:val="lowerLetter"/>
      <w:lvlText w:val="%5."/>
      <w:lvlJc w:val="left"/>
      <w:pPr>
        <w:ind w:left="3600" w:hanging="360"/>
      </w:pPr>
    </w:lvl>
    <w:lvl w:ilvl="5" w:tplc="7A4E812E">
      <w:start w:val="1"/>
      <w:numFmt w:val="lowerRoman"/>
      <w:lvlText w:val="%6."/>
      <w:lvlJc w:val="right"/>
      <w:pPr>
        <w:ind w:left="4320" w:hanging="180"/>
      </w:pPr>
    </w:lvl>
    <w:lvl w:ilvl="6" w:tplc="38466550">
      <w:start w:val="1"/>
      <w:numFmt w:val="decimal"/>
      <w:lvlText w:val="%7."/>
      <w:lvlJc w:val="left"/>
      <w:pPr>
        <w:ind w:left="5040" w:hanging="360"/>
      </w:pPr>
    </w:lvl>
    <w:lvl w:ilvl="7" w:tplc="20106C08">
      <w:start w:val="1"/>
      <w:numFmt w:val="lowerLetter"/>
      <w:lvlText w:val="%8."/>
      <w:lvlJc w:val="left"/>
      <w:pPr>
        <w:ind w:left="5760" w:hanging="360"/>
      </w:pPr>
    </w:lvl>
    <w:lvl w:ilvl="8" w:tplc="C778FDC2">
      <w:start w:val="1"/>
      <w:numFmt w:val="lowerRoman"/>
      <w:lvlText w:val="%9."/>
      <w:lvlJc w:val="right"/>
      <w:pPr>
        <w:ind w:left="6480" w:hanging="180"/>
      </w:pPr>
    </w:lvl>
  </w:abstractNum>
  <w:abstractNum w:abstractNumId="36" w15:restartNumberingAfterBreak="0">
    <w:nsid w:val="625C37CA"/>
    <w:multiLevelType w:val="hybridMultilevel"/>
    <w:tmpl w:val="2BCC9EFE"/>
    <w:lvl w:ilvl="0" w:tplc="011AC35C">
      <w:start w:val="1"/>
      <w:numFmt w:val="bullet"/>
      <w:lvlText w:val="•"/>
      <w:lvlJc w:val="left"/>
      <w:pPr>
        <w:tabs>
          <w:tab w:val="num" w:pos="720"/>
        </w:tabs>
        <w:ind w:left="720" w:hanging="360"/>
      </w:pPr>
      <w:rPr>
        <w:rFonts w:ascii="Arial" w:hAnsi="Arial" w:cs="Times New Roman" w:hint="default"/>
        <w:color w:val="auto"/>
      </w:rPr>
    </w:lvl>
    <w:lvl w:ilvl="1" w:tplc="5CEC2F32">
      <w:start w:val="1"/>
      <w:numFmt w:val="bullet"/>
      <w:lvlText w:val="•"/>
      <w:lvlJc w:val="left"/>
      <w:pPr>
        <w:tabs>
          <w:tab w:val="num" w:pos="1440"/>
        </w:tabs>
        <w:ind w:left="1440" w:hanging="360"/>
      </w:pPr>
      <w:rPr>
        <w:rFonts w:ascii="Arial" w:hAnsi="Arial" w:cs="Times New Roman" w:hint="default"/>
      </w:rPr>
    </w:lvl>
    <w:lvl w:ilvl="2" w:tplc="04B61FEE">
      <w:start w:val="1"/>
      <w:numFmt w:val="bullet"/>
      <w:lvlText w:val="•"/>
      <w:lvlJc w:val="left"/>
      <w:pPr>
        <w:tabs>
          <w:tab w:val="num" w:pos="2160"/>
        </w:tabs>
        <w:ind w:left="2160" w:hanging="360"/>
      </w:pPr>
      <w:rPr>
        <w:rFonts w:ascii="Arial" w:hAnsi="Arial" w:cs="Times New Roman" w:hint="default"/>
      </w:rPr>
    </w:lvl>
    <w:lvl w:ilvl="3" w:tplc="76E6E874">
      <w:start w:val="1"/>
      <w:numFmt w:val="bullet"/>
      <w:lvlText w:val="•"/>
      <w:lvlJc w:val="left"/>
      <w:pPr>
        <w:tabs>
          <w:tab w:val="num" w:pos="2880"/>
        </w:tabs>
        <w:ind w:left="2880" w:hanging="360"/>
      </w:pPr>
      <w:rPr>
        <w:rFonts w:ascii="Arial" w:hAnsi="Arial" w:cs="Times New Roman" w:hint="default"/>
      </w:rPr>
    </w:lvl>
    <w:lvl w:ilvl="4" w:tplc="60981EC4">
      <w:start w:val="1"/>
      <w:numFmt w:val="bullet"/>
      <w:lvlText w:val="•"/>
      <w:lvlJc w:val="left"/>
      <w:pPr>
        <w:tabs>
          <w:tab w:val="num" w:pos="3600"/>
        </w:tabs>
        <w:ind w:left="3600" w:hanging="360"/>
      </w:pPr>
      <w:rPr>
        <w:rFonts w:ascii="Arial" w:hAnsi="Arial" w:cs="Times New Roman" w:hint="default"/>
      </w:rPr>
    </w:lvl>
    <w:lvl w:ilvl="5" w:tplc="BF8280F0">
      <w:start w:val="1"/>
      <w:numFmt w:val="bullet"/>
      <w:lvlText w:val="•"/>
      <w:lvlJc w:val="left"/>
      <w:pPr>
        <w:tabs>
          <w:tab w:val="num" w:pos="4320"/>
        </w:tabs>
        <w:ind w:left="4320" w:hanging="360"/>
      </w:pPr>
      <w:rPr>
        <w:rFonts w:ascii="Arial" w:hAnsi="Arial" w:cs="Times New Roman" w:hint="default"/>
      </w:rPr>
    </w:lvl>
    <w:lvl w:ilvl="6" w:tplc="EEEA1178">
      <w:start w:val="1"/>
      <w:numFmt w:val="bullet"/>
      <w:lvlText w:val="•"/>
      <w:lvlJc w:val="left"/>
      <w:pPr>
        <w:tabs>
          <w:tab w:val="num" w:pos="5040"/>
        </w:tabs>
        <w:ind w:left="5040" w:hanging="360"/>
      </w:pPr>
      <w:rPr>
        <w:rFonts w:ascii="Arial" w:hAnsi="Arial" w:cs="Times New Roman" w:hint="default"/>
      </w:rPr>
    </w:lvl>
    <w:lvl w:ilvl="7" w:tplc="96A60BDA">
      <w:start w:val="1"/>
      <w:numFmt w:val="bullet"/>
      <w:lvlText w:val="•"/>
      <w:lvlJc w:val="left"/>
      <w:pPr>
        <w:tabs>
          <w:tab w:val="num" w:pos="5760"/>
        </w:tabs>
        <w:ind w:left="5760" w:hanging="360"/>
      </w:pPr>
      <w:rPr>
        <w:rFonts w:ascii="Arial" w:hAnsi="Arial" w:cs="Times New Roman" w:hint="default"/>
      </w:rPr>
    </w:lvl>
    <w:lvl w:ilvl="8" w:tplc="FAF090BE">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32B2855"/>
    <w:multiLevelType w:val="hybridMultilevel"/>
    <w:tmpl w:val="1AE2B0C8"/>
    <w:lvl w:ilvl="0" w:tplc="D81EA400">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046C04BE">
      <w:numFmt w:val="bullet"/>
      <w:lvlText w:val="•"/>
      <w:lvlJc w:val="left"/>
      <w:pPr>
        <w:ind w:left="2405" w:hanging="360"/>
      </w:pPr>
      <w:rPr>
        <w:rFonts w:hint="default"/>
        <w:lang w:val="en-US" w:eastAsia="en-US" w:bidi="ar-SA"/>
      </w:rPr>
    </w:lvl>
    <w:lvl w:ilvl="2" w:tplc="4FB8D0B0">
      <w:numFmt w:val="bullet"/>
      <w:lvlText w:val="•"/>
      <w:lvlJc w:val="left"/>
      <w:pPr>
        <w:ind w:left="3271" w:hanging="360"/>
      </w:pPr>
      <w:rPr>
        <w:rFonts w:hint="default"/>
        <w:lang w:val="en-US" w:eastAsia="en-US" w:bidi="ar-SA"/>
      </w:rPr>
    </w:lvl>
    <w:lvl w:ilvl="3" w:tplc="77BE4804">
      <w:numFmt w:val="bullet"/>
      <w:lvlText w:val="•"/>
      <w:lvlJc w:val="left"/>
      <w:pPr>
        <w:ind w:left="4137" w:hanging="360"/>
      </w:pPr>
      <w:rPr>
        <w:rFonts w:hint="default"/>
        <w:lang w:val="en-US" w:eastAsia="en-US" w:bidi="ar-SA"/>
      </w:rPr>
    </w:lvl>
    <w:lvl w:ilvl="4" w:tplc="3DE03EAA">
      <w:numFmt w:val="bullet"/>
      <w:lvlText w:val="•"/>
      <w:lvlJc w:val="left"/>
      <w:pPr>
        <w:ind w:left="5002" w:hanging="360"/>
      </w:pPr>
      <w:rPr>
        <w:rFonts w:hint="default"/>
        <w:lang w:val="en-US" w:eastAsia="en-US" w:bidi="ar-SA"/>
      </w:rPr>
    </w:lvl>
    <w:lvl w:ilvl="5" w:tplc="72DAA9A0">
      <w:numFmt w:val="bullet"/>
      <w:lvlText w:val="•"/>
      <w:lvlJc w:val="left"/>
      <w:pPr>
        <w:ind w:left="5868" w:hanging="360"/>
      </w:pPr>
      <w:rPr>
        <w:rFonts w:hint="default"/>
        <w:lang w:val="en-US" w:eastAsia="en-US" w:bidi="ar-SA"/>
      </w:rPr>
    </w:lvl>
    <w:lvl w:ilvl="6" w:tplc="E3805CD4">
      <w:numFmt w:val="bullet"/>
      <w:lvlText w:val="•"/>
      <w:lvlJc w:val="left"/>
      <w:pPr>
        <w:ind w:left="6734" w:hanging="360"/>
      </w:pPr>
      <w:rPr>
        <w:rFonts w:hint="default"/>
        <w:lang w:val="en-US" w:eastAsia="en-US" w:bidi="ar-SA"/>
      </w:rPr>
    </w:lvl>
    <w:lvl w:ilvl="7" w:tplc="BA40C36C">
      <w:numFmt w:val="bullet"/>
      <w:lvlText w:val="•"/>
      <w:lvlJc w:val="left"/>
      <w:pPr>
        <w:ind w:left="7599" w:hanging="360"/>
      </w:pPr>
      <w:rPr>
        <w:rFonts w:hint="default"/>
        <w:lang w:val="en-US" w:eastAsia="en-US" w:bidi="ar-SA"/>
      </w:rPr>
    </w:lvl>
    <w:lvl w:ilvl="8" w:tplc="795C5B66">
      <w:numFmt w:val="bullet"/>
      <w:lvlText w:val="•"/>
      <w:lvlJc w:val="left"/>
      <w:pPr>
        <w:ind w:left="8465" w:hanging="360"/>
      </w:pPr>
      <w:rPr>
        <w:rFonts w:hint="default"/>
        <w:lang w:val="en-US" w:eastAsia="en-US" w:bidi="ar-SA"/>
      </w:rPr>
    </w:lvl>
  </w:abstractNum>
  <w:abstractNum w:abstractNumId="38" w15:restartNumberingAfterBreak="0">
    <w:nsid w:val="650368E1"/>
    <w:multiLevelType w:val="hybridMultilevel"/>
    <w:tmpl w:val="867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E32D1"/>
    <w:multiLevelType w:val="hybridMultilevel"/>
    <w:tmpl w:val="79BCBC56"/>
    <w:lvl w:ilvl="0" w:tplc="DAF2F818">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EA73D4"/>
    <w:multiLevelType w:val="multilevel"/>
    <w:tmpl w:val="DC38082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ind w:left="720" w:hanging="360"/>
      </w:pPr>
      <w:rPr>
        <w:rFonts w:ascii="Symbol" w:hAnsi="Symbo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D954E"/>
    <w:multiLevelType w:val="hybridMultilevel"/>
    <w:tmpl w:val="0464B232"/>
    <w:lvl w:ilvl="0" w:tplc="CB02808E">
      <w:start w:val="1"/>
      <w:numFmt w:val="bullet"/>
      <w:lvlText w:val=""/>
      <w:lvlJc w:val="left"/>
      <w:pPr>
        <w:ind w:left="720" w:hanging="360"/>
      </w:pPr>
      <w:rPr>
        <w:rFonts w:ascii="Symbol" w:hAnsi="Symbol" w:hint="default"/>
      </w:rPr>
    </w:lvl>
    <w:lvl w:ilvl="1" w:tplc="3A2042AA">
      <w:start w:val="1"/>
      <w:numFmt w:val="bullet"/>
      <w:lvlText w:val="o"/>
      <w:lvlJc w:val="left"/>
      <w:pPr>
        <w:ind w:left="1440" w:hanging="360"/>
      </w:pPr>
      <w:rPr>
        <w:rFonts w:ascii="Courier New" w:hAnsi="Courier New" w:hint="default"/>
      </w:rPr>
    </w:lvl>
    <w:lvl w:ilvl="2" w:tplc="E3F022FA">
      <w:start w:val="1"/>
      <w:numFmt w:val="bullet"/>
      <w:lvlText w:val=""/>
      <w:lvlJc w:val="left"/>
      <w:pPr>
        <w:ind w:left="2160" w:hanging="360"/>
      </w:pPr>
      <w:rPr>
        <w:rFonts w:ascii="Wingdings" w:hAnsi="Wingdings" w:hint="default"/>
      </w:rPr>
    </w:lvl>
    <w:lvl w:ilvl="3" w:tplc="50DA4482">
      <w:start w:val="1"/>
      <w:numFmt w:val="bullet"/>
      <w:lvlText w:val=""/>
      <w:lvlJc w:val="left"/>
      <w:pPr>
        <w:ind w:left="2880" w:hanging="360"/>
      </w:pPr>
      <w:rPr>
        <w:rFonts w:ascii="Symbol" w:hAnsi="Symbol" w:hint="default"/>
      </w:rPr>
    </w:lvl>
    <w:lvl w:ilvl="4" w:tplc="96FAA16E">
      <w:start w:val="1"/>
      <w:numFmt w:val="bullet"/>
      <w:lvlText w:val="o"/>
      <w:lvlJc w:val="left"/>
      <w:pPr>
        <w:ind w:left="3600" w:hanging="360"/>
      </w:pPr>
      <w:rPr>
        <w:rFonts w:ascii="Courier New" w:hAnsi="Courier New" w:hint="default"/>
      </w:rPr>
    </w:lvl>
    <w:lvl w:ilvl="5" w:tplc="7B862B40">
      <w:start w:val="1"/>
      <w:numFmt w:val="bullet"/>
      <w:lvlText w:val=""/>
      <w:lvlJc w:val="left"/>
      <w:pPr>
        <w:ind w:left="4320" w:hanging="360"/>
      </w:pPr>
      <w:rPr>
        <w:rFonts w:ascii="Wingdings" w:hAnsi="Wingdings" w:hint="default"/>
      </w:rPr>
    </w:lvl>
    <w:lvl w:ilvl="6" w:tplc="A0CEAC44">
      <w:start w:val="1"/>
      <w:numFmt w:val="bullet"/>
      <w:lvlText w:val=""/>
      <w:lvlJc w:val="left"/>
      <w:pPr>
        <w:ind w:left="5040" w:hanging="360"/>
      </w:pPr>
      <w:rPr>
        <w:rFonts w:ascii="Symbol" w:hAnsi="Symbol" w:hint="default"/>
      </w:rPr>
    </w:lvl>
    <w:lvl w:ilvl="7" w:tplc="23B4F3F2">
      <w:start w:val="1"/>
      <w:numFmt w:val="bullet"/>
      <w:lvlText w:val="o"/>
      <w:lvlJc w:val="left"/>
      <w:pPr>
        <w:ind w:left="5760" w:hanging="360"/>
      </w:pPr>
      <w:rPr>
        <w:rFonts w:ascii="Courier New" w:hAnsi="Courier New" w:hint="default"/>
      </w:rPr>
    </w:lvl>
    <w:lvl w:ilvl="8" w:tplc="3190C0FE">
      <w:start w:val="1"/>
      <w:numFmt w:val="bullet"/>
      <w:lvlText w:val=""/>
      <w:lvlJc w:val="left"/>
      <w:pPr>
        <w:ind w:left="6480" w:hanging="360"/>
      </w:pPr>
      <w:rPr>
        <w:rFonts w:ascii="Wingdings" w:hAnsi="Wingdings" w:hint="default"/>
      </w:rPr>
    </w:lvl>
  </w:abstractNum>
  <w:abstractNum w:abstractNumId="42" w15:restartNumberingAfterBreak="0">
    <w:nsid w:val="715F069E"/>
    <w:multiLevelType w:val="multilevel"/>
    <w:tmpl w:val="B9C8CA7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3D336B"/>
    <w:multiLevelType w:val="hybridMultilevel"/>
    <w:tmpl w:val="AE0E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565F"/>
    <w:multiLevelType w:val="hybridMultilevel"/>
    <w:tmpl w:val="B9EABBA8"/>
    <w:lvl w:ilvl="0" w:tplc="EBCA68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85094">
    <w:abstractNumId w:val="19"/>
  </w:num>
  <w:num w:numId="2" w16cid:durableId="1157381842">
    <w:abstractNumId w:val="3"/>
  </w:num>
  <w:num w:numId="3" w16cid:durableId="78716869">
    <w:abstractNumId w:val="28"/>
  </w:num>
  <w:num w:numId="4" w16cid:durableId="1880243407">
    <w:abstractNumId w:val="35"/>
  </w:num>
  <w:num w:numId="5" w16cid:durableId="1510770">
    <w:abstractNumId w:val="42"/>
  </w:num>
  <w:num w:numId="6" w16cid:durableId="986083612">
    <w:abstractNumId w:val="20"/>
  </w:num>
  <w:num w:numId="7" w16cid:durableId="1555509117">
    <w:abstractNumId w:val="1"/>
  </w:num>
  <w:num w:numId="8" w16cid:durableId="1057049610">
    <w:abstractNumId w:val="13"/>
  </w:num>
  <w:num w:numId="9" w16cid:durableId="1748112284">
    <w:abstractNumId w:val="41"/>
  </w:num>
  <w:num w:numId="10" w16cid:durableId="589243040">
    <w:abstractNumId w:val="7"/>
  </w:num>
  <w:num w:numId="11" w16cid:durableId="685640050">
    <w:abstractNumId w:val="18"/>
  </w:num>
  <w:num w:numId="12" w16cid:durableId="699277824">
    <w:abstractNumId w:val="14"/>
  </w:num>
  <w:num w:numId="13" w16cid:durableId="2119912075">
    <w:abstractNumId w:val="10"/>
  </w:num>
  <w:num w:numId="14" w16cid:durableId="1001086666">
    <w:abstractNumId w:val="12"/>
  </w:num>
  <w:num w:numId="15" w16cid:durableId="1718435551">
    <w:abstractNumId w:val="29"/>
  </w:num>
  <w:num w:numId="16" w16cid:durableId="1829125225">
    <w:abstractNumId w:val="36"/>
  </w:num>
  <w:num w:numId="17" w16cid:durableId="758215152">
    <w:abstractNumId w:val="33"/>
  </w:num>
  <w:num w:numId="18" w16cid:durableId="2122457536">
    <w:abstractNumId w:val="44"/>
  </w:num>
  <w:num w:numId="19" w16cid:durableId="944074094">
    <w:abstractNumId w:val="2"/>
  </w:num>
  <w:num w:numId="20" w16cid:durableId="462046802">
    <w:abstractNumId w:val="37"/>
  </w:num>
  <w:num w:numId="21" w16cid:durableId="1531189044">
    <w:abstractNumId w:val="5"/>
  </w:num>
  <w:num w:numId="22" w16cid:durableId="35081353">
    <w:abstractNumId w:val="0"/>
  </w:num>
  <w:num w:numId="23" w16cid:durableId="838229075">
    <w:abstractNumId w:val="32"/>
  </w:num>
  <w:num w:numId="24" w16cid:durableId="707602513">
    <w:abstractNumId w:val="39"/>
  </w:num>
  <w:num w:numId="25" w16cid:durableId="626548906">
    <w:abstractNumId w:val="31"/>
  </w:num>
  <w:num w:numId="26" w16cid:durableId="821431238">
    <w:abstractNumId w:val="8"/>
  </w:num>
  <w:num w:numId="27" w16cid:durableId="588000343">
    <w:abstractNumId w:val="26"/>
  </w:num>
  <w:num w:numId="28" w16cid:durableId="2019648492">
    <w:abstractNumId w:val="11"/>
  </w:num>
  <w:num w:numId="29" w16cid:durableId="251401271">
    <w:abstractNumId w:val="15"/>
  </w:num>
  <w:num w:numId="30" w16cid:durableId="245067786">
    <w:abstractNumId w:val="6"/>
  </w:num>
  <w:num w:numId="31" w16cid:durableId="894244397">
    <w:abstractNumId w:val="23"/>
  </w:num>
  <w:num w:numId="32" w16cid:durableId="474875488">
    <w:abstractNumId w:val="21"/>
  </w:num>
  <w:num w:numId="33" w16cid:durableId="1719932060">
    <w:abstractNumId w:val="34"/>
  </w:num>
  <w:num w:numId="34" w16cid:durableId="596452300">
    <w:abstractNumId w:val="9"/>
  </w:num>
  <w:num w:numId="35" w16cid:durableId="2030522305">
    <w:abstractNumId w:val="27"/>
  </w:num>
  <w:num w:numId="36" w16cid:durableId="1337614988">
    <w:abstractNumId w:val="38"/>
  </w:num>
  <w:num w:numId="37" w16cid:durableId="1136871737">
    <w:abstractNumId w:val="30"/>
  </w:num>
  <w:num w:numId="38" w16cid:durableId="606691558">
    <w:abstractNumId w:val="16"/>
  </w:num>
  <w:num w:numId="39" w16cid:durableId="726994050">
    <w:abstractNumId w:val="43"/>
  </w:num>
  <w:num w:numId="40" w16cid:durableId="294919045">
    <w:abstractNumId w:val="40"/>
  </w:num>
  <w:num w:numId="41" w16cid:durableId="1758673975">
    <w:abstractNumId w:val="22"/>
  </w:num>
  <w:num w:numId="42" w16cid:durableId="1867060122">
    <w:abstractNumId w:val="17"/>
  </w:num>
  <w:num w:numId="43" w16cid:durableId="1959874174">
    <w:abstractNumId w:val="4"/>
  </w:num>
  <w:num w:numId="44" w16cid:durableId="923757258">
    <w:abstractNumId w:val="24"/>
  </w:num>
  <w:num w:numId="45" w16cid:durableId="7530161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9C"/>
    <w:rsid w:val="00000162"/>
    <w:rsid w:val="000016E0"/>
    <w:rsid w:val="00001F65"/>
    <w:rsid w:val="00003662"/>
    <w:rsid w:val="00003D3D"/>
    <w:rsid w:val="00003E12"/>
    <w:rsid w:val="0000553C"/>
    <w:rsid w:val="00005D68"/>
    <w:rsid w:val="00006537"/>
    <w:rsid w:val="00007513"/>
    <w:rsid w:val="000101F5"/>
    <w:rsid w:val="00012C39"/>
    <w:rsid w:val="00013AE3"/>
    <w:rsid w:val="00014EF9"/>
    <w:rsid w:val="00017FB5"/>
    <w:rsid w:val="000201C1"/>
    <w:rsid w:val="00020270"/>
    <w:rsid w:val="000219BF"/>
    <w:rsid w:val="00022C37"/>
    <w:rsid w:val="000271DE"/>
    <w:rsid w:val="00027E47"/>
    <w:rsid w:val="000304A5"/>
    <w:rsid w:val="000330EB"/>
    <w:rsid w:val="00033407"/>
    <w:rsid w:val="0003432A"/>
    <w:rsid w:val="00036C74"/>
    <w:rsid w:val="0003779C"/>
    <w:rsid w:val="00037CB6"/>
    <w:rsid w:val="00041951"/>
    <w:rsid w:val="000421A2"/>
    <w:rsid w:val="00044B03"/>
    <w:rsid w:val="00044B30"/>
    <w:rsid w:val="00045C46"/>
    <w:rsid w:val="0004652C"/>
    <w:rsid w:val="0004654F"/>
    <w:rsid w:val="00047A9E"/>
    <w:rsid w:val="00051D97"/>
    <w:rsid w:val="00055A27"/>
    <w:rsid w:val="00056667"/>
    <w:rsid w:val="000591E2"/>
    <w:rsid w:val="000614EC"/>
    <w:rsid w:val="000620C6"/>
    <w:rsid w:val="00063D09"/>
    <w:rsid w:val="00066593"/>
    <w:rsid w:val="000670AD"/>
    <w:rsid w:val="00074EE3"/>
    <w:rsid w:val="00076457"/>
    <w:rsid w:val="000838B9"/>
    <w:rsid w:val="00084E77"/>
    <w:rsid w:val="00086951"/>
    <w:rsid w:val="00087228"/>
    <w:rsid w:val="0008756F"/>
    <w:rsid w:val="00091502"/>
    <w:rsid w:val="000917E1"/>
    <w:rsid w:val="00094578"/>
    <w:rsid w:val="000948B7"/>
    <w:rsid w:val="0009584F"/>
    <w:rsid w:val="000967E2"/>
    <w:rsid w:val="000A073D"/>
    <w:rsid w:val="000A2F30"/>
    <w:rsid w:val="000A5F6C"/>
    <w:rsid w:val="000A7028"/>
    <w:rsid w:val="000A78C3"/>
    <w:rsid w:val="000A7AE2"/>
    <w:rsid w:val="000B1012"/>
    <w:rsid w:val="000B1AF1"/>
    <w:rsid w:val="000B2206"/>
    <w:rsid w:val="000B265E"/>
    <w:rsid w:val="000B4292"/>
    <w:rsid w:val="000B56A5"/>
    <w:rsid w:val="000B6D8D"/>
    <w:rsid w:val="000B7BBE"/>
    <w:rsid w:val="000C3354"/>
    <w:rsid w:val="000C3376"/>
    <w:rsid w:val="000C48AD"/>
    <w:rsid w:val="000C606C"/>
    <w:rsid w:val="000D3BDD"/>
    <w:rsid w:val="000D3C8E"/>
    <w:rsid w:val="000D4941"/>
    <w:rsid w:val="000D6589"/>
    <w:rsid w:val="000D6B0F"/>
    <w:rsid w:val="000D6EFC"/>
    <w:rsid w:val="000D779C"/>
    <w:rsid w:val="000E0498"/>
    <w:rsid w:val="000E20D6"/>
    <w:rsid w:val="000E381E"/>
    <w:rsid w:val="000E4C96"/>
    <w:rsid w:val="000E5413"/>
    <w:rsid w:val="000E6C99"/>
    <w:rsid w:val="000E72AE"/>
    <w:rsid w:val="000F09B7"/>
    <w:rsid w:val="000F1492"/>
    <w:rsid w:val="000F2B7C"/>
    <w:rsid w:val="000F42E7"/>
    <w:rsid w:val="000F4463"/>
    <w:rsid w:val="000F52B0"/>
    <w:rsid w:val="000F5721"/>
    <w:rsid w:val="000F7328"/>
    <w:rsid w:val="000F7B48"/>
    <w:rsid w:val="00101979"/>
    <w:rsid w:val="001032F4"/>
    <w:rsid w:val="00103D31"/>
    <w:rsid w:val="00103D52"/>
    <w:rsid w:val="00104CA9"/>
    <w:rsid w:val="001055DE"/>
    <w:rsid w:val="00105BED"/>
    <w:rsid w:val="00106204"/>
    <w:rsid w:val="00111B79"/>
    <w:rsid w:val="00112555"/>
    <w:rsid w:val="0011256B"/>
    <w:rsid w:val="00112A8B"/>
    <w:rsid w:val="00116E48"/>
    <w:rsid w:val="00117963"/>
    <w:rsid w:val="00117B64"/>
    <w:rsid w:val="0012426A"/>
    <w:rsid w:val="00124AFC"/>
    <w:rsid w:val="0012670C"/>
    <w:rsid w:val="001268E8"/>
    <w:rsid w:val="00130DAF"/>
    <w:rsid w:val="00135210"/>
    <w:rsid w:val="0013688F"/>
    <w:rsid w:val="001369E2"/>
    <w:rsid w:val="001410AE"/>
    <w:rsid w:val="0014372D"/>
    <w:rsid w:val="0015055D"/>
    <w:rsid w:val="00154D35"/>
    <w:rsid w:val="00157E91"/>
    <w:rsid w:val="001606F0"/>
    <w:rsid w:val="001610E1"/>
    <w:rsid w:val="001631C5"/>
    <w:rsid w:val="00163283"/>
    <w:rsid w:val="00164137"/>
    <w:rsid w:val="001650F2"/>
    <w:rsid w:val="001673DC"/>
    <w:rsid w:val="00171F88"/>
    <w:rsid w:val="00172DAC"/>
    <w:rsid w:val="00176A58"/>
    <w:rsid w:val="001808CB"/>
    <w:rsid w:val="00181862"/>
    <w:rsid w:val="00185C9B"/>
    <w:rsid w:val="00185ED2"/>
    <w:rsid w:val="001919E3"/>
    <w:rsid w:val="00192A52"/>
    <w:rsid w:val="00194B9D"/>
    <w:rsid w:val="001A2D75"/>
    <w:rsid w:val="001A3B10"/>
    <w:rsid w:val="001A4505"/>
    <w:rsid w:val="001A6D4A"/>
    <w:rsid w:val="001A7AE1"/>
    <w:rsid w:val="001A7B59"/>
    <w:rsid w:val="001B0AAE"/>
    <w:rsid w:val="001B0F95"/>
    <w:rsid w:val="001B2A34"/>
    <w:rsid w:val="001B35BD"/>
    <w:rsid w:val="001B4D27"/>
    <w:rsid w:val="001B50DD"/>
    <w:rsid w:val="001C23EA"/>
    <w:rsid w:val="001C2784"/>
    <w:rsid w:val="001C2EE3"/>
    <w:rsid w:val="001C4414"/>
    <w:rsid w:val="001C70B1"/>
    <w:rsid w:val="001D02F0"/>
    <w:rsid w:val="001D13A9"/>
    <w:rsid w:val="001D2EA0"/>
    <w:rsid w:val="001D3C93"/>
    <w:rsid w:val="001D4924"/>
    <w:rsid w:val="001D5093"/>
    <w:rsid w:val="001D5A8C"/>
    <w:rsid w:val="001D7DA0"/>
    <w:rsid w:val="001E2378"/>
    <w:rsid w:val="001E50C7"/>
    <w:rsid w:val="001E55FC"/>
    <w:rsid w:val="001E79C6"/>
    <w:rsid w:val="001E7BE9"/>
    <w:rsid w:val="001F11BA"/>
    <w:rsid w:val="001F1A46"/>
    <w:rsid w:val="001F2066"/>
    <w:rsid w:val="001F2FA8"/>
    <w:rsid w:val="001F542C"/>
    <w:rsid w:val="001F7522"/>
    <w:rsid w:val="001F7556"/>
    <w:rsid w:val="0020221E"/>
    <w:rsid w:val="00204CFF"/>
    <w:rsid w:val="00206D4E"/>
    <w:rsid w:val="00207C64"/>
    <w:rsid w:val="002109B9"/>
    <w:rsid w:val="00212F8E"/>
    <w:rsid w:val="00214FF2"/>
    <w:rsid w:val="0021612C"/>
    <w:rsid w:val="00217F88"/>
    <w:rsid w:val="002202EE"/>
    <w:rsid w:val="00220584"/>
    <w:rsid w:val="00221271"/>
    <w:rsid w:val="00227225"/>
    <w:rsid w:val="002379E2"/>
    <w:rsid w:val="00241FC0"/>
    <w:rsid w:val="00253623"/>
    <w:rsid w:val="00254DF3"/>
    <w:rsid w:val="00255A4F"/>
    <w:rsid w:val="00256DAE"/>
    <w:rsid w:val="00260F29"/>
    <w:rsid w:val="00261E05"/>
    <w:rsid w:val="00261F24"/>
    <w:rsid w:val="00262C55"/>
    <w:rsid w:val="00265EA6"/>
    <w:rsid w:val="00270566"/>
    <w:rsid w:val="00270B1A"/>
    <w:rsid w:val="00273B62"/>
    <w:rsid w:val="00281E44"/>
    <w:rsid w:val="0028404B"/>
    <w:rsid w:val="0028486B"/>
    <w:rsid w:val="00285F61"/>
    <w:rsid w:val="00286F39"/>
    <w:rsid w:val="002910D8"/>
    <w:rsid w:val="00292FF3"/>
    <w:rsid w:val="002974DA"/>
    <w:rsid w:val="002979AD"/>
    <w:rsid w:val="00297ACD"/>
    <w:rsid w:val="002A06D2"/>
    <w:rsid w:val="002A0755"/>
    <w:rsid w:val="002A18EE"/>
    <w:rsid w:val="002A2745"/>
    <w:rsid w:val="002A3626"/>
    <w:rsid w:val="002A3A6A"/>
    <w:rsid w:val="002A3DC7"/>
    <w:rsid w:val="002A3F86"/>
    <w:rsid w:val="002A4040"/>
    <w:rsid w:val="002A66AC"/>
    <w:rsid w:val="002B07D3"/>
    <w:rsid w:val="002B1517"/>
    <w:rsid w:val="002B2447"/>
    <w:rsid w:val="002B323F"/>
    <w:rsid w:val="002C0D54"/>
    <w:rsid w:val="002C22AF"/>
    <w:rsid w:val="002C2DA2"/>
    <w:rsid w:val="002D0321"/>
    <w:rsid w:val="002D0572"/>
    <w:rsid w:val="002D0EDB"/>
    <w:rsid w:val="002D3C3A"/>
    <w:rsid w:val="002D6B1D"/>
    <w:rsid w:val="002D79D5"/>
    <w:rsid w:val="002D7C62"/>
    <w:rsid w:val="002E0C93"/>
    <w:rsid w:val="002E23BD"/>
    <w:rsid w:val="002F51B6"/>
    <w:rsid w:val="00300F72"/>
    <w:rsid w:val="0030311C"/>
    <w:rsid w:val="00304099"/>
    <w:rsid w:val="00304A2B"/>
    <w:rsid w:val="00306491"/>
    <w:rsid w:val="00310861"/>
    <w:rsid w:val="00310941"/>
    <w:rsid w:val="00311F8F"/>
    <w:rsid w:val="00313E6E"/>
    <w:rsid w:val="00314398"/>
    <w:rsid w:val="00314630"/>
    <w:rsid w:val="00322567"/>
    <w:rsid w:val="0032518E"/>
    <w:rsid w:val="003254CC"/>
    <w:rsid w:val="00326930"/>
    <w:rsid w:val="0033295E"/>
    <w:rsid w:val="00334BEC"/>
    <w:rsid w:val="00334CA5"/>
    <w:rsid w:val="003364B4"/>
    <w:rsid w:val="0034109D"/>
    <w:rsid w:val="0034232F"/>
    <w:rsid w:val="00344C9A"/>
    <w:rsid w:val="00350667"/>
    <w:rsid w:val="00353EEC"/>
    <w:rsid w:val="00354CEB"/>
    <w:rsid w:val="00355A02"/>
    <w:rsid w:val="00355CC2"/>
    <w:rsid w:val="003567B6"/>
    <w:rsid w:val="003606E6"/>
    <w:rsid w:val="00361DA9"/>
    <w:rsid w:val="00362BE4"/>
    <w:rsid w:val="003655EF"/>
    <w:rsid w:val="00371ED3"/>
    <w:rsid w:val="00372520"/>
    <w:rsid w:val="00372882"/>
    <w:rsid w:val="00374671"/>
    <w:rsid w:val="00374A3A"/>
    <w:rsid w:val="003808EE"/>
    <w:rsid w:val="00382391"/>
    <w:rsid w:val="00383A57"/>
    <w:rsid w:val="00383CD2"/>
    <w:rsid w:val="00384526"/>
    <w:rsid w:val="003848AE"/>
    <w:rsid w:val="0038662B"/>
    <w:rsid w:val="00386B76"/>
    <w:rsid w:val="00387F53"/>
    <w:rsid w:val="00390DD8"/>
    <w:rsid w:val="003935ED"/>
    <w:rsid w:val="00394341"/>
    <w:rsid w:val="0039524B"/>
    <w:rsid w:val="003A2C66"/>
    <w:rsid w:val="003A3BE1"/>
    <w:rsid w:val="003A44DD"/>
    <w:rsid w:val="003A47B2"/>
    <w:rsid w:val="003A7D9B"/>
    <w:rsid w:val="003B1041"/>
    <w:rsid w:val="003B3ED1"/>
    <w:rsid w:val="003B72D4"/>
    <w:rsid w:val="003C1607"/>
    <w:rsid w:val="003C2E8E"/>
    <w:rsid w:val="003C4561"/>
    <w:rsid w:val="003C5004"/>
    <w:rsid w:val="003C51E9"/>
    <w:rsid w:val="003D1C96"/>
    <w:rsid w:val="003D25A8"/>
    <w:rsid w:val="003D2F0D"/>
    <w:rsid w:val="003D3BDA"/>
    <w:rsid w:val="003D3D5A"/>
    <w:rsid w:val="003D641E"/>
    <w:rsid w:val="003D679B"/>
    <w:rsid w:val="003D7AB4"/>
    <w:rsid w:val="003E52B4"/>
    <w:rsid w:val="003E5D02"/>
    <w:rsid w:val="003E74C7"/>
    <w:rsid w:val="003F081D"/>
    <w:rsid w:val="003F1462"/>
    <w:rsid w:val="003F20A6"/>
    <w:rsid w:val="003F3BA8"/>
    <w:rsid w:val="003F405C"/>
    <w:rsid w:val="003F433D"/>
    <w:rsid w:val="003F5619"/>
    <w:rsid w:val="003F578C"/>
    <w:rsid w:val="003F5944"/>
    <w:rsid w:val="003F603B"/>
    <w:rsid w:val="00401943"/>
    <w:rsid w:val="00402E9A"/>
    <w:rsid w:val="00406FDA"/>
    <w:rsid w:val="004078BF"/>
    <w:rsid w:val="00410ACC"/>
    <w:rsid w:val="00410BF3"/>
    <w:rsid w:val="004128EC"/>
    <w:rsid w:val="00416BA7"/>
    <w:rsid w:val="00420E9D"/>
    <w:rsid w:val="00421548"/>
    <w:rsid w:val="00422C9C"/>
    <w:rsid w:val="00425345"/>
    <w:rsid w:val="00431CB0"/>
    <w:rsid w:val="004321BF"/>
    <w:rsid w:val="00434916"/>
    <w:rsid w:val="00434B61"/>
    <w:rsid w:val="004366FF"/>
    <w:rsid w:val="00437468"/>
    <w:rsid w:val="00442454"/>
    <w:rsid w:val="00442F08"/>
    <w:rsid w:val="00451DE0"/>
    <w:rsid w:val="00451E92"/>
    <w:rsid w:val="00453740"/>
    <w:rsid w:val="00454EF6"/>
    <w:rsid w:val="0045736E"/>
    <w:rsid w:val="00461B47"/>
    <w:rsid w:val="004622CD"/>
    <w:rsid w:val="004626EC"/>
    <w:rsid w:val="004628E5"/>
    <w:rsid w:val="00463467"/>
    <w:rsid w:val="00463916"/>
    <w:rsid w:val="00467588"/>
    <w:rsid w:val="004676D5"/>
    <w:rsid w:val="00470FB6"/>
    <w:rsid w:val="00471410"/>
    <w:rsid w:val="00471D52"/>
    <w:rsid w:val="00474E2F"/>
    <w:rsid w:val="0048015A"/>
    <w:rsid w:val="004832BA"/>
    <w:rsid w:val="00485ABF"/>
    <w:rsid w:val="00485CDE"/>
    <w:rsid w:val="0048647C"/>
    <w:rsid w:val="00487393"/>
    <w:rsid w:val="004908A8"/>
    <w:rsid w:val="0049725E"/>
    <w:rsid w:val="004979B4"/>
    <w:rsid w:val="004A3543"/>
    <w:rsid w:val="004A3BE0"/>
    <w:rsid w:val="004A4F0C"/>
    <w:rsid w:val="004A5388"/>
    <w:rsid w:val="004A7BE5"/>
    <w:rsid w:val="004B0B72"/>
    <w:rsid w:val="004B0CEF"/>
    <w:rsid w:val="004B0F28"/>
    <w:rsid w:val="004B10AF"/>
    <w:rsid w:val="004B310E"/>
    <w:rsid w:val="004B5AC8"/>
    <w:rsid w:val="004B72D0"/>
    <w:rsid w:val="004C22DF"/>
    <w:rsid w:val="004C4960"/>
    <w:rsid w:val="004C49CC"/>
    <w:rsid w:val="004C7FDF"/>
    <w:rsid w:val="004D1169"/>
    <w:rsid w:val="004D2295"/>
    <w:rsid w:val="004D3C11"/>
    <w:rsid w:val="004D4A0C"/>
    <w:rsid w:val="004D6495"/>
    <w:rsid w:val="004D7601"/>
    <w:rsid w:val="004E3C2C"/>
    <w:rsid w:val="004E483F"/>
    <w:rsid w:val="004E56E7"/>
    <w:rsid w:val="004E6A91"/>
    <w:rsid w:val="004F12A9"/>
    <w:rsid w:val="004F1AD0"/>
    <w:rsid w:val="004F25AC"/>
    <w:rsid w:val="004F2BAD"/>
    <w:rsid w:val="005019B6"/>
    <w:rsid w:val="00501CA1"/>
    <w:rsid w:val="0050327D"/>
    <w:rsid w:val="00504534"/>
    <w:rsid w:val="00506FBA"/>
    <w:rsid w:val="00514519"/>
    <w:rsid w:val="00517D7F"/>
    <w:rsid w:val="005217C7"/>
    <w:rsid w:val="00524684"/>
    <w:rsid w:val="005247B2"/>
    <w:rsid w:val="00533BBC"/>
    <w:rsid w:val="00534207"/>
    <w:rsid w:val="0053530E"/>
    <w:rsid w:val="00545DFD"/>
    <w:rsid w:val="005477D0"/>
    <w:rsid w:val="005510E0"/>
    <w:rsid w:val="00552731"/>
    <w:rsid w:val="00554644"/>
    <w:rsid w:val="005556AD"/>
    <w:rsid w:val="00555A56"/>
    <w:rsid w:val="00556E6A"/>
    <w:rsid w:val="00560A07"/>
    <w:rsid w:val="005613CA"/>
    <w:rsid w:val="00561609"/>
    <w:rsid w:val="00562B60"/>
    <w:rsid w:val="0056475D"/>
    <w:rsid w:val="0056763D"/>
    <w:rsid w:val="00567641"/>
    <w:rsid w:val="00570210"/>
    <w:rsid w:val="00570731"/>
    <w:rsid w:val="0057087E"/>
    <w:rsid w:val="0057166F"/>
    <w:rsid w:val="00571A1F"/>
    <w:rsid w:val="00572E71"/>
    <w:rsid w:val="00575A32"/>
    <w:rsid w:val="00575F21"/>
    <w:rsid w:val="00576890"/>
    <w:rsid w:val="0058373B"/>
    <w:rsid w:val="00583809"/>
    <w:rsid w:val="005853BB"/>
    <w:rsid w:val="00586025"/>
    <w:rsid w:val="00586E6A"/>
    <w:rsid w:val="00587E5A"/>
    <w:rsid w:val="00590598"/>
    <w:rsid w:val="005906AD"/>
    <w:rsid w:val="00590D6B"/>
    <w:rsid w:val="00592F69"/>
    <w:rsid w:val="0059323B"/>
    <w:rsid w:val="00594A99"/>
    <w:rsid w:val="005960EA"/>
    <w:rsid w:val="005A07C6"/>
    <w:rsid w:val="005A1AB2"/>
    <w:rsid w:val="005A1BE8"/>
    <w:rsid w:val="005A1D02"/>
    <w:rsid w:val="005A1FD1"/>
    <w:rsid w:val="005A311F"/>
    <w:rsid w:val="005A34F4"/>
    <w:rsid w:val="005A350D"/>
    <w:rsid w:val="005A38BF"/>
    <w:rsid w:val="005A5126"/>
    <w:rsid w:val="005B0B53"/>
    <w:rsid w:val="005B4061"/>
    <w:rsid w:val="005B4487"/>
    <w:rsid w:val="005B475D"/>
    <w:rsid w:val="005B4E46"/>
    <w:rsid w:val="005C0821"/>
    <w:rsid w:val="005C11DD"/>
    <w:rsid w:val="005C1CCD"/>
    <w:rsid w:val="005C301C"/>
    <w:rsid w:val="005C5112"/>
    <w:rsid w:val="005C52EB"/>
    <w:rsid w:val="005C755F"/>
    <w:rsid w:val="005C77DE"/>
    <w:rsid w:val="005D1275"/>
    <w:rsid w:val="005D2944"/>
    <w:rsid w:val="005D34C5"/>
    <w:rsid w:val="005D4C3C"/>
    <w:rsid w:val="005D7855"/>
    <w:rsid w:val="005E0F45"/>
    <w:rsid w:val="005E22DC"/>
    <w:rsid w:val="005F07BA"/>
    <w:rsid w:val="005F4B59"/>
    <w:rsid w:val="005F500C"/>
    <w:rsid w:val="005F6158"/>
    <w:rsid w:val="005F66D8"/>
    <w:rsid w:val="005F6EAB"/>
    <w:rsid w:val="005F7171"/>
    <w:rsid w:val="005F7D78"/>
    <w:rsid w:val="006022B9"/>
    <w:rsid w:val="00602A63"/>
    <w:rsid w:val="006054E0"/>
    <w:rsid w:val="00606868"/>
    <w:rsid w:val="00606A5F"/>
    <w:rsid w:val="0060700E"/>
    <w:rsid w:val="0061070A"/>
    <w:rsid w:val="006107AB"/>
    <w:rsid w:val="00611A6D"/>
    <w:rsid w:val="006125DE"/>
    <w:rsid w:val="0061297E"/>
    <w:rsid w:val="00616BBC"/>
    <w:rsid w:val="00620013"/>
    <w:rsid w:val="006213B0"/>
    <w:rsid w:val="00622F58"/>
    <w:rsid w:val="00626938"/>
    <w:rsid w:val="00630272"/>
    <w:rsid w:val="006333CA"/>
    <w:rsid w:val="006342A6"/>
    <w:rsid w:val="00634E44"/>
    <w:rsid w:val="00634FF9"/>
    <w:rsid w:val="006362F7"/>
    <w:rsid w:val="00640F57"/>
    <w:rsid w:val="006414B2"/>
    <w:rsid w:val="006416CB"/>
    <w:rsid w:val="00652E85"/>
    <w:rsid w:val="006540D6"/>
    <w:rsid w:val="00656981"/>
    <w:rsid w:val="006572BB"/>
    <w:rsid w:val="00660190"/>
    <w:rsid w:val="006602B3"/>
    <w:rsid w:val="00664E01"/>
    <w:rsid w:val="006668C2"/>
    <w:rsid w:val="00667FA6"/>
    <w:rsid w:val="00670071"/>
    <w:rsid w:val="00671210"/>
    <w:rsid w:val="00682FFB"/>
    <w:rsid w:val="00683C3C"/>
    <w:rsid w:val="006866B7"/>
    <w:rsid w:val="006940F8"/>
    <w:rsid w:val="0069533E"/>
    <w:rsid w:val="00695984"/>
    <w:rsid w:val="006963D8"/>
    <w:rsid w:val="00696B53"/>
    <w:rsid w:val="006A372D"/>
    <w:rsid w:val="006B24F7"/>
    <w:rsid w:val="006B2D04"/>
    <w:rsid w:val="006C240F"/>
    <w:rsid w:val="006C28EB"/>
    <w:rsid w:val="006C50D3"/>
    <w:rsid w:val="006C7050"/>
    <w:rsid w:val="006D0691"/>
    <w:rsid w:val="006D0EE9"/>
    <w:rsid w:val="006D140A"/>
    <w:rsid w:val="006D161D"/>
    <w:rsid w:val="006D1E3A"/>
    <w:rsid w:val="006D20B1"/>
    <w:rsid w:val="006D21DA"/>
    <w:rsid w:val="006D2E48"/>
    <w:rsid w:val="006D564F"/>
    <w:rsid w:val="006D5F2A"/>
    <w:rsid w:val="006D7B8E"/>
    <w:rsid w:val="006E0344"/>
    <w:rsid w:val="006E2184"/>
    <w:rsid w:val="006E2685"/>
    <w:rsid w:val="006E2770"/>
    <w:rsid w:val="006E39B1"/>
    <w:rsid w:val="006E3D01"/>
    <w:rsid w:val="006E4589"/>
    <w:rsid w:val="006E465A"/>
    <w:rsid w:val="006E67AB"/>
    <w:rsid w:val="006E6C53"/>
    <w:rsid w:val="006F0A28"/>
    <w:rsid w:val="006F1D5F"/>
    <w:rsid w:val="006F215F"/>
    <w:rsid w:val="006F3F04"/>
    <w:rsid w:val="006F4832"/>
    <w:rsid w:val="006F6112"/>
    <w:rsid w:val="0070157A"/>
    <w:rsid w:val="0070168A"/>
    <w:rsid w:val="00701793"/>
    <w:rsid w:val="00701E30"/>
    <w:rsid w:val="007027E6"/>
    <w:rsid w:val="00703E31"/>
    <w:rsid w:val="0070478B"/>
    <w:rsid w:val="0070575C"/>
    <w:rsid w:val="007111BB"/>
    <w:rsid w:val="0071481A"/>
    <w:rsid w:val="00715AE2"/>
    <w:rsid w:val="00717425"/>
    <w:rsid w:val="00720F74"/>
    <w:rsid w:val="00722096"/>
    <w:rsid w:val="007224AA"/>
    <w:rsid w:val="00722DE5"/>
    <w:rsid w:val="00724516"/>
    <w:rsid w:val="00724916"/>
    <w:rsid w:val="00726DB6"/>
    <w:rsid w:val="007275C3"/>
    <w:rsid w:val="00727EBD"/>
    <w:rsid w:val="00727F00"/>
    <w:rsid w:val="007316FF"/>
    <w:rsid w:val="00731E7B"/>
    <w:rsid w:val="0073347F"/>
    <w:rsid w:val="00734404"/>
    <w:rsid w:val="00737549"/>
    <w:rsid w:val="00743CC3"/>
    <w:rsid w:val="00745544"/>
    <w:rsid w:val="00751257"/>
    <w:rsid w:val="00751EEC"/>
    <w:rsid w:val="00754736"/>
    <w:rsid w:val="0075475B"/>
    <w:rsid w:val="0075516A"/>
    <w:rsid w:val="0075621B"/>
    <w:rsid w:val="00756BBF"/>
    <w:rsid w:val="00757B55"/>
    <w:rsid w:val="00760553"/>
    <w:rsid w:val="00760C37"/>
    <w:rsid w:val="007611C9"/>
    <w:rsid w:val="00763062"/>
    <w:rsid w:val="00764DFE"/>
    <w:rsid w:val="0076639B"/>
    <w:rsid w:val="00766711"/>
    <w:rsid w:val="00766BB6"/>
    <w:rsid w:val="007673DF"/>
    <w:rsid w:val="00770232"/>
    <w:rsid w:val="00770E45"/>
    <w:rsid w:val="00771582"/>
    <w:rsid w:val="0077238D"/>
    <w:rsid w:val="00772867"/>
    <w:rsid w:val="00772918"/>
    <w:rsid w:val="0077300A"/>
    <w:rsid w:val="00780DAC"/>
    <w:rsid w:val="007833A5"/>
    <w:rsid w:val="00785949"/>
    <w:rsid w:val="00786B65"/>
    <w:rsid w:val="00786F6D"/>
    <w:rsid w:val="0078BA29"/>
    <w:rsid w:val="0079423B"/>
    <w:rsid w:val="00796D00"/>
    <w:rsid w:val="007973E7"/>
    <w:rsid w:val="007A1613"/>
    <w:rsid w:val="007A1775"/>
    <w:rsid w:val="007A19BD"/>
    <w:rsid w:val="007A2AAE"/>
    <w:rsid w:val="007A3551"/>
    <w:rsid w:val="007A3D5D"/>
    <w:rsid w:val="007A42A5"/>
    <w:rsid w:val="007A4BA2"/>
    <w:rsid w:val="007A518F"/>
    <w:rsid w:val="007A572B"/>
    <w:rsid w:val="007B19EE"/>
    <w:rsid w:val="007B34B0"/>
    <w:rsid w:val="007B36AC"/>
    <w:rsid w:val="007C13E4"/>
    <w:rsid w:val="007C211F"/>
    <w:rsid w:val="007C295B"/>
    <w:rsid w:val="007C3359"/>
    <w:rsid w:val="007C33F4"/>
    <w:rsid w:val="007C3A93"/>
    <w:rsid w:val="007C40EE"/>
    <w:rsid w:val="007C4C7B"/>
    <w:rsid w:val="007C520C"/>
    <w:rsid w:val="007D0921"/>
    <w:rsid w:val="007D45A7"/>
    <w:rsid w:val="007D51F8"/>
    <w:rsid w:val="007D5659"/>
    <w:rsid w:val="007D5A16"/>
    <w:rsid w:val="007D5AFA"/>
    <w:rsid w:val="007D609D"/>
    <w:rsid w:val="007D6274"/>
    <w:rsid w:val="007D7255"/>
    <w:rsid w:val="007D79DD"/>
    <w:rsid w:val="007E0E58"/>
    <w:rsid w:val="007E5A77"/>
    <w:rsid w:val="007E6497"/>
    <w:rsid w:val="007E65E5"/>
    <w:rsid w:val="007E7704"/>
    <w:rsid w:val="007F63A3"/>
    <w:rsid w:val="007F6D4D"/>
    <w:rsid w:val="007F7A04"/>
    <w:rsid w:val="0080167C"/>
    <w:rsid w:val="008019F7"/>
    <w:rsid w:val="00803068"/>
    <w:rsid w:val="0080392B"/>
    <w:rsid w:val="008059E5"/>
    <w:rsid w:val="00810272"/>
    <w:rsid w:val="00810C1F"/>
    <w:rsid w:val="008110DC"/>
    <w:rsid w:val="008118CA"/>
    <w:rsid w:val="0081557D"/>
    <w:rsid w:val="00815871"/>
    <w:rsid w:val="00815CA7"/>
    <w:rsid w:val="008161CB"/>
    <w:rsid w:val="00820DCE"/>
    <w:rsid w:val="00822455"/>
    <w:rsid w:val="00823935"/>
    <w:rsid w:val="00824F48"/>
    <w:rsid w:val="00827975"/>
    <w:rsid w:val="00831B00"/>
    <w:rsid w:val="00832DEB"/>
    <w:rsid w:val="008330C4"/>
    <w:rsid w:val="0083637A"/>
    <w:rsid w:val="0083751B"/>
    <w:rsid w:val="008430B0"/>
    <w:rsid w:val="008439A9"/>
    <w:rsid w:val="00845B3B"/>
    <w:rsid w:val="00846235"/>
    <w:rsid w:val="0085015D"/>
    <w:rsid w:val="00850BDA"/>
    <w:rsid w:val="008513A0"/>
    <w:rsid w:val="00852E05"/>
    <w:rsid w:val="00853DA9"/>
    <w:rsid w:val="008544B4"/>
    <w:rsid w:val="00854AAD"/>
    <w:rsid w:val="00855F9F"/>
    <w:rsid w:val="008560BE"/>
    <w:rsid w:val="00860BCB"/>
    <w:rsid w:val="00861B8C"/>
    <w:rsid w:val="008625D3"/>
    <w:rsid w:val="00862BBF"/>
    <w:rsid w:val="00862CB3"/>
    <w:rsid w:val="008643B3"/>
    <w:rsid w:val="00864EFB"/>
    <w:rsid w:val="008651CB"/>
    <w:rsid w:val="00865B5C"/>
    <w:rsid w:val="0086690E"/>
    <w:rsid w:val="0087193E"/>
    <w:rsid w:val="00872850"/>
    <w:rsid w:val="00873B68"/>
    <w:rsid w:val="0087609A"/>
    <w:rsid w:val="008761E5"/>
    <w:rsid w:val="008767EA"/>
    <w:rsid w:val="00876861"/>
    <w:rsid w:val="00877814"/>
    <w:rsid w:val="00877C1C"/>
    <w:rsid w:val="008805D5"/>
    <w:rsid w:val="0088139C"/>
    <w:rsid w:val="0088175D"/>
    <w:rsid w:val="00882615"/>
    <w:rsid w:val="008849A2"/>
    <w:rsid w:val="00887A64"/>
    <w:rsid w:val="008937D7"/>
    <w:rsid w:val="00893F7C"/>
    <w:rsid w:val="00896B5C"/>
    <w:rsid w:val="00897763"/>
    <w:rsid w:val="008A133A"/>
    <w:rsid w:val="008A4465"/>
    <w:rsid w:val="008A4AE1"/>
    <w:rsid w:val="008A6C53"/>
    <w:rsid w:val="008A73CE"/>
    <w:rsid w:val="008B0327"/>
    <w:rsid w:val="008B2156"/>
    <w:rsid w:val="008B34F1"/>
    <w:rsid w:val="008B48C5"/>
    <w:rsid w:val="008B5FCE"/>
    <w:rsid w:val="008B6324"/>
    <w:rsid w:val="008B6828"/>
    <w:rsid w:val="008B6A86"/>
    <w:rsid w:val="008B7E6A"/>
    <w:rsid w:val="008C0E4E"/>
    <w:rsid w:val="008C0FDA"/>
    <w:rsid w:val="008C3B68"/>
    <w:rsid w:val="008C3CA2"/>
    <w:rsid w:val="008C515C"/>
    <w:rsid w:val="008C7CAF"/>
    <w:rsid w:val="008D0F48"/>
    <w:rsid w:val="008D4350"/>
    <w:rsid w:val="008E08FF"/>
    <w:rsid w:val="008E416C"/>
    <w:rsid w:val="008E4C39"/>
    <w:rsid w:val="008E7FFD"/>
    <w:rsid w:val="008F0510"/>
    <w:rsid w:val="008F3224"/>
    <w:rsid w:val="009002DD"/>
    <w:rsid w:val="00903503"/>
    <w:rsid w:val="00903E43"/>
    <w:rsid w:val="0090401A"/>
    <w:rsid w:val="009042BE"/>
    <w:rsid w:val="00904DC0"/>
    <w:rsid w:val="00905177"/>
    <w:rsid w:val="00905243"/>
    <w:rsid w:val="0090630C"/>
    <w:rsid w:val="00910F3C"/>
    <w:rsid w:val="0091158C"/>
    <w:rsid w:val="00911F76"/>
    <w:rsid w:val="00912CAF"/>
    <w:rsid w:val="00915F69"/>
    <w:rsid w:val="00915FFD"/>
    <w:rsid w:val="009211C0"/>
    <w:rsid w:val="009213AF"/>
    <w:rsid w:val="0092194E"/>
    <w:rsid w:val="00923F46"/>
    <w:rsid w:val="00924650"/>
    <w:rsid w:val="00925819"/>
    <w:rsid w:val="00926342"/>
    <w:rsid w:val="009267EE"/>
    <w:rsid w:val="009270CA"/>
    <w:rsid w:val="00932B80"/>
    <w:rsid w:val="00933FE3"/>
    <w:rsid w:val="0093450C"/>
    <w:rsid w:val="009352E8"/>
    <w:rsid w:val="00937BB7"/>
    <w:rsid w:val="00941AD6"/>
    <w:rsid w:val="00942699"/>
    <w:rsid w:val="00942E96"/>
    <w:rsid w:val="00942F55"/>
    <w:rsid w:val="009454D6"/>
    <w:rsid w:val="00946B38"/>
    <w:rsid w:val="009471AD"/>
    <w:rsid w:val="0094751C"/>
    <w:rsid w:val="0094794E"/>
    <w:rsid w:val="00956BE9"/>
    <w:rsid w:val="00960C8E"/>
    <w:rsid w:val="00962577"/>
    <w:rsid w:val="0096455A"/>
    <w:rsid w:val="00967374"/>
    <w:rsid w:val="0096776F"/>
    <w:rsid w:val="0097089F"/>
    <w:rsid w:val="009708F9"/>
    <w:rsid w:val="009729B1"/>
    <w:rsid w:val="00972DD7"/>
    <w:rsid w:val="00975027"/>
    <w:rsid w:val="00977519"/>
    <w:rsid w:val="00980334"/>
    <w:rsid w:val="00982005"/>
    <w:rsid w:val="00985288"/>
    <w:rsid w:val="00986504"/>
    <w:rsid w:val="0099056B"/>
    <w:rsid w:val="00990E36"/>
    <w:rsid w:val="009913E9"/>
    <w:rsid w:val="009922BB"/>
    <w:rsid w:val="009935D3"/>
    <w:rsid w:val="00993FBD"/>
    <w:rsid w:val="00995AA8"/>
    <w:rsid w:val="009A0AE6"/>
    <w:rsid w:val="009A4297"/>
    <w:rsid w:val="009A6921"/>
    <w:rsid w:val="009A6F51"/>
    <w:rsid w:val="009A71A7"/>
    <w:rsid w:val="009B0667"/>
    <w:rsid w:val="009B1114"/>
    <w:rsid w:val="009B284A"/>
    <w:rsid w:val="009B3DC6"/>
    <w:rsid w:val="009B5402"/>
    <w:rsid w:val="009B5C83"/>
    <w:rsid w:val="009B7CDD"/>
    <w:rsid w:val="009C327B"/>
    <w:rsid w:val="009C3848"/>
    <w:rsid w:val="009C399C"/>
    <w:rsid w:val="009C46A4"/>
    <w:rsid w:val="009C4FBD"/>
    <w:rsid w:val="009C6DCE"/>
    <w:rsid w:val="009D0333"/>
    <w:rsid w:val="009D274B"/>
    <w:rsid w:val="009D2C9F"/>
    <w:rsid w:val="009D5B8F"/>
    <w:rsid w:val="009D617C"/>
    <w:rsid w:val="009D6865"/>
    <w:rsid w:val="009E05A3"/>
    <w:rsid w:val="009E093E"/>
    <w:rsid w:val="009E0CF4"/>
    <w:rsid w:val="009E1088"/>
    <w:rsid w:val="009F03EB"/>
    <w:rsid w:val="009F0A50"/>
    <w:rsid w:val="009F1579"/>
    <w:rsid w:val="009F7A06"/>
    <w:rsid w:val="009F7A85"/>
    <w:rsid w:val="00A02894"/>
    <w:rsid w:val="00A041DC"/>
    <w:rsid w:val="00A10103"/>
    <w:rsid w:val="00A101A1"/>
    <w:rsid w:val="00A10C55"/>
    <w:rsid w:val="00A118BB"/>
    <w:rsid w:val="00A118DD"/>
    <w:rsid w:val="00A1353A"/>
    <w:rsid w:val="00A147E7"/>
    <w:rsid w:val="00A16689"/>
    <w:rsid w:val="00A17D58"/>
    <w:rsid w:val="00A22B41"/>
    <w:rsid w:val="00A248C9"/>
    <w:rsid w:val="00A25647"/>
    <w:rsid w:val="00A311B5"/>
    <w:rsid w:val="00A31500"/>
    <w:rsid w:val="00A31E78"/>
    <w:rsid w:val="00A339D6"/>
    <w:rsid w:val="00A3509B"/>
    <w:rsid w:val="00A35165"/>
    <w:rsid w:val="00A3628B"/>
    <w:rsid w:val="00A40D34"/>
    <w:rsid w:val="00A40FB6"/>
    <w:rsid w:val="00A41350"/>
    <w:rsid w:val="00A41AAF"/>
    <w:rsid w:val="00A43E9C"/>
    <w:rsid w:val="00A441AB"/>
    <w:rsid w:val="00A46962"/>
    <w:rsid w:val="00A5018F"/>
    <w:rsid w:val="00A52317"/>
    <w:rsid w:val="00A526C7"/>
    <w:rsid w:val="00A55F82"/>
    <w:rsid w:val="00A56EDB"/>
    <w:rsid w:val="00A62347"/>
    <w:rsid w:val="00A62C37"/>
    <w:rsid w:val="00A62E5C"/>
    <w:rsid w:val="00A636D3"/>
    <w:rsid w:val="00A665CB"/>
    <w:rsid w:val="00A66A31"/>
    <w:rsid w:val="00A67A41"/>
    <w:rsid w:val="00A704F6"/>
    <w:rsid w:val="00A71CB6"/>
    <w:rsid w:val="00A72966"/>
    <w:rsid w:val="00A74772"/>
    <w:rsid w:val="00A75F53"/>
    <w:rsid w:val="00A76BF7"/>
    <w:rsid w:val="00A7754E"/>
    <w:rsid w:val="00A84373"/>
    <w:rsid w:val="00A90242"/>
    <w:rsid w:val="00A90D90"/>
    <w:rsid w:val="00A90EED"/>
    <w:rsid w:val="00A91505"/>
    <w:rsid w:val="00A9297D"/>
    <w:rsid w:val="00A93418"/>
    <w:rsid w:val="00A942B4"/>
    <w:rsid w:val="00A944C2"/>
    <w:rsid w:val="00A94C35"/>
    <w:rsid w:val="00A9564B"/>
    <w:rsid w:val="00A97B3B"/>
    <w:rsid w:val="00AA0248"/>
    <w:rsid w:val="00AA0D04"/>
    <w:rsid w:val="00AA1054"/>
    <w:rsid w:val="00AA36A1"/>
    <w:rsid w:val="00AA3822"/>
    <w:rsid w:val="00AA43EA"/>
    <w:rsid w:val="00AA45E4"/>
    <w:rsid w:val="00AA4A6D"/>
    <w:rsid w:val="00AA5BD4"/>
    <w:rsid w:val="00AA6D76"/>
    <w:rsid w:val="00AA7509"/>
    <w:rsid w:val="00AB02F9"/>
    <w:rsid w:val="00AB0D12"/>
    <w:rsid w:val="00AB2748"/>
    <w:rsid w:val="00AB3A38"/>
    <w:rsid w:val="00AB3D60"/>
    <w:rsid w:val="00AB5C08"/>
    <w:rsid w:val="00AB6777"/>
    <w:rsid w:val="00AC16C3"/>
    <w:rsid w:val="00AC61BD"/>
    <w:rsid w:val="00AC6A96"/>
    <w:rsid w:val="00AC765B"/>
    <w:rsid w:val="00AD01D9"/>
    <w:rsid w:val="00AD1743"/>
    <w:rsid w:val="00AD5CCC"/>
    <w:rsid w:val="00AD63C8"/>
    <w:rsid w:val="00AE0BC1"/>
    <w:rsid w:val="00AE134E"/>
    <w:rsid w:val="00AE2252"/>
    <w:rsid w:val="00AE406B"/>
    <w:rsid w:val="00AE7073"/>
    <w:rsid w:val="00AE7599"/>
    <w:rsid w:val="00AF2880"/>
    <w:rsid w:val="00AF52EB"/>
    <w:rsid w:val="00AF7AF8"/>
    <w:rsid w:val="00B03367"/>
    <w:rsid w:val="00B04327"/>
    <w:rsid w:val="00B07A2C"/>
    <w:rsid w:val="00B11A16"/>
    <w:rsid w:val="00B14674"/>
    <w:rsid w:val="00B1534E"/>
    <w:rsid w:val="00B16AF9"/>
    <w:rsid w:val="00B16CBF"/>
    <w:rsid w:val="00B1708A"/>
    <w:rsid w:val="00B20CE8"/>
    <w:rsid w:val="00B20FD8"/>
    <w:rsid w:val="00B21DE1"/>
    <w:rsid w:val="00B2391C"/>
    <w:rsid w:val="00B258B0"/>
    <w:rsid w:val="00B2748B"/>
    <w:rsid w:val="00B30B6D"/>
    <w:rsid w:val="00B32D58"/>
    <w:rsid w:val="00B33EBD"/>
    <w:rsid w:val="00B36229"/>
    <w:rsid w:val="00B4266A"/>
    <w:rsid w:val="00B439A7"/>
    <w:rsid w:val="00B4422E"/>
    <w:rsid w:val="00B47A06"/>
    <w:rsid w:val="00B50543"/>
    <w:rsid w:val="00B519DD"/>
    <w:rsid w:val="00B56CCA"/>
    <w:rsid w:val="00B60E47"/>
    <w:rsid w:val="00B61305"/>
    <w:rsid w:val="00B62CCA"/>
    <w:rsid w:val="00B646B5"/>
    <w:rsid w:val="00B65863"/>
    <w:rsid w:val="00B677A2"/>
    <w:rsid w:val="00B67BEB"/>
    <w:rsid w:val="00B701E2"/>
    <w:rsid w:val="00B73096"/>
    <w:rsid w:val="00B74C26"/>
    <w:rsid w:val="00B75524"/>
    <w:rsid w:val="00B77496"/>
    <w:rsid w:val="00B77BB4"/>
    <w:rsid w:val="00B80EB3"/>
    <w:rsid w:val="00B82861"/>
    <w:rsid w:val="00B83CA5"/>
    <w:rsid w:val="00B8413C"/>
    <w:rsid w:val="00B866A2"/>
    <w:rsid w:val="00B878D4"/>
    <w:rsid w:val="00B87956"/>
    <w:rsid w:val="00B87A08"/>
    <w:rsid w:val="00B87B1D"/>
    <w:rsid w:val="00B9222B"/>
    <w:rsid w:val="00BA1A2D"/>
    <w:rsid w:val="00BA2AE2"/>
    <w:rsid w:val="00BA543C"/>
    <w:rsid w:val="00BA5D1B"/>
    <w:rsid w:val="00BA7D3B"/>
    <w:rsid w:val="00BB05A4"/>
    <w:rsid w:val="00BB100D"/>
    <w:rsid w:val="00BB109B"/>
    <w:rsid w:val="00BB208E"/>
    <w:rsid w:val="00BB46D7"/>
    <w:rsid w:val="00BB4E3C"/>
    <w:rsid w:val="00BB59BD"/>
    <w:rsid w:val="00BB62AF"/>
    <w:rsid w:val="00BB6BA0"/>
    <w:rsid w:val="00BC1AE6"/>
    <w:rsid w:val="00BC1D69"/>
    <w:rsid w:val="00BC2306"/>
    <w:rsid w:val="00BC2838"/>
    <w:rsid w:val="00BC2BE0"/>
    <w:rsid w:val="00BD226C"/>
    <w:rsid w:val="00BD5DFE"/>
    <w:rsid w:val="00BD66E7"/>
    <w:rsid w:val="00BD7035"/>
    <w:rsid w:val="00BE0122"/>
    <w:rsid w:val="00BE23D9"/>
    <w:rsid w:val="00BE2BB4"/>
    <w:rsid w:val="00BE3149"/>
    <w:rsid w:val="00BE3E91"/>
    <w:rsid w:val="00BE47FF"/>
    <w:rsid w:val="00BE569C"/>
    <w:rsid w:val="00BE5AC5"/>
    <w:rsid w:val="00BE7AE6"/>
    <w:rsid w:val="00BF05D0"/>
    <w:rsid w:val="00C00A4B"/>
    <w:rsid w:val="00C00C84"/>
    <w:rsid w:val="00C0121D"/>
    <w:rsid w:val="00C026C3"/>
    <w:rsid w:val="00C02882"/>
    <w:rsid w:val="00C050DD"/>
    <w:rsid w:val="00C060CD"/>
    <w:rsid w:val="00C062CE"/>
    <w:rsid w:val="00C113F6"/>
    <w:rsid w:val="00C11B7F"/>
    <w:rsid w:val="00C145BA"/>
    <w:rsid w:val="00C146CC"/>
    <w:rsid w:val="00C16CAF"/>
    <w:rsid w:val="00C24108"/>
    <w:rsid w:val="00C249ED"/>
    <w:rsid w:val="00C259A3"/>
    <w:rsid w:val="00C2728C"/>
    <w:rsid w:val="00C317D0"/>
    <w:rsid w:val="00C32802"/>
    <w:rsid w:val="00C3316D"/>
    <w:rsid w:val="00C343E7"/>
    <w:rsid w:val="00C345A9"/>
    <w:rsid w:val="00C3478F"/>
    <w:rsid w:val="00C37683"/>
    <w:rsid w:val="00C42A39"/>
    <w:rsid w:val="00C44C9F"/>
    <w:rsid w:val="00C51500"/>
    <w:rsid w:val="00C51968"/>
    <w:rsid w:val="00C51F0B"/>
    <w:rsid w:val="00C5298A"/>
    <w:rsid w:val="00C56290"/>
    <w:rsid w:val="00C5685E"/>
    <w:rsid w:val="00C56962"/>
    <w:rsid w:val="00C644EF"/>
    <w:rsid w:val="00C66491"/>
    <w:rsid w:val="00C70485"/>
    <w:rsid w:val="00C71A03"/>
    <w:rsid w:val="00C71D0E"/>
    <w:rsid w:val="00C71FFE"/>
    <w:rsid w:val="00C73701"/>
    <w:rsid w:val="00C74088"/>
    <w:rsid w:val="00C75611"/>
    <w:rsid w:val="00C773F6"/>
    <w:rsid w:val="00C80AC9"/>
    <w:rsid w:val="00C82D42"/>
    <w:rsid w:val="00C87163"/>
    <w:rsid w:val="00C876D6"/>
    <w:rsid w:val="00C87ADA"/>
    <w:rsid w:val="00C9179B"/>
    <w:rsid w:val="00C92E5A"/>
    <w:rsid w:val="00C937E6"/>
    <w:rsid w:val="00C93A19"/>
    <w:rsid w:val="00C93CEA"/>
    <w:rsid w:val="00C9437B"/>
    <w:rsid w:val="00C96BE1"/>
    <w:rsid w:val="00CA1DE6"/>
    <w:rsid w:val="00CA2720"/>
    <w:rsid w:val="00CA3983"/>
    <w:rsid w:val="00CA3B70"/>
    <w:rsid w:val="00CA5B94"/>
    <w:rsid w:val="00CA6917"/>
    <w:rsid w:val="00CB1902"/>
    <w:rsid w:val="00CB1F9C"/>
    <w:rsid w:val="00CB279A"/>
    <w:rsid w:val="00CB37AC"/>
    <w:rsid w:val="00CB5166"/>
    <w:rsid w:val="00CB5553"/>
    <w:rsid w:val="00CB6CC9"/>
    <w:rsid w:val="00CC53AD"/>
    <w:rsid w:val="00CC614D"/>
    <w:rsid w:val="00CC7DA2"/>
    <w:rsid w:val="00CD03E7"/>
    <w:rsid w:val="00CD1E33"/>
    <w:rsid w:val="00CD32AF"/>
    <w:rsid w:val="00CD34F5"/>
    <w:rsid w:val="00CD357D"/>
    <w:rsid w:val="00CD5D47"/>
    <w:rsid w:val="00CD65BD"/>
    <w:rsid w:val="00CE2D77"/>
    <w:rsid w:val="00CE380A"/>
    <w:rsid w:val="00CE3C75"/>
    <w:rsid w:val="00CE3D27"/>
    <w:rsid w:val="00CE6BE7"/>
    <w:rsid w:val="00CE745A"/>
    <w:rsid w:val="00CF0E0B"/>
    <w:rsid w:val="00CF28A4"/>
    <w:rsid w:val="00CF3500"/>
    <w:rsid w:val="00CF4964"/>
    <w:rsid w:val="00CF50AE"/>
    <w:rsid w:val="00CF57C7"/>
    <w:rsid w:val="00CF73E7"/>
    <w:rsid w:val="00CF7C2B"/>
    <w:rsid w:val="00D02ACE"/>
    <w:rsid w:val="00D04364"/>
    <w:rsid w:val="00D0534C"/>
    <w:rsid w:val="00D0547B"/>
    <w:rsid w:val="00D0743C"/>
    <w:rsid w:val="00D119C4"/>
    <w:rsid w:val="00D11BFC"/>
    <w:rsid w:val="00D129EE"/>
    <w:rsid w:val="00D14013"/>
    <w:rsid w:val="00D152BB"/>
    <w:rsid w:val="00D159E0"/>
    <w:rsid w:val="00D17521"/>
    <w:rsid w:val="00D17CBC"/>
    <w:rsid w:val="00D20049"/>
    <w:rsid w:val="00D21585"/>
    <w:rsid w:val="00D23D26"/>
    <w:rsid w:val="00D25B3E"/>
    <w:rsid w:val="00D341FD"/>
    <w:rsid w:val="00D34DDA"/>
    <w:rsid w:val="00D36F1E"/>
    <w:rsid w:val="00D40235"/>
    <w:rsid w:val="00D4090F"/>
    <w:rsid w:val="00D42285"/>
    <w:rsid w:val="00D4414B"/>
    <w:rsid w:val="00D50052"/>
    <w:rsid w:val="00D506A9"/>
    <w:rsid w:val="00D54389"/>
    <w:rsid w:val="00D56F89"/>
    <w:rsid w:val="00D62002"/>
    <w:rsid w:val="00D62569"/>
    <w:rsid w:val="00D62B4B"/>
    <w:rsid w:val="00D672EA"/>
    <w:rsid w:val="00D704EC"/>
    <w:rsid w:val="00D712BB"/>
    <w:rsid w:val="00D71D2E"/>
    <w:rsid w:val="00D74C10"/>
    <w:rsid w:val="00D759DF"/>
    <w:rsid w:val="00D75C49"/>
    <w:rsid w:val="00D76174"/>
    <w:rsid w:val="00D77E70"/>
    <w:rsid w:val="00D81480"/>
    <w:rsid w:val="00D83989"/>
    <w:rsid w:val="00D84A01"/>
    <w:rsid w:val="00D87A89"/>
    <w:rsid w:val="00D9241E"/>
    <w:rsid w:val="00D96A73"/>
    <w:rsid w:val="00D96E8C"/>
    <w:rsid w:val="00DA316F"/>
    <w:rsid w:val="00DA6E75"/>
    <w:rsid w:val="00DB07E0"/>
    <w:rsid w:val="00DB12E1"/>
    <w:rsid w:val="00DB1849"/>
    <w:rsid w:val="00DB2166"/>
    <w:rsid w:val="00DB21C4"/>
    <w:rsid w:val="00DB3E02"/>
    <w:rsid w:val="00DB5CD6"/>
    <w:rsid w:val="00DB77D3"/>
    <w:rsid w:val="00DB79B5"/>
    <w:rsid w:val="00DC0B6A"/>
    <w:rsid w:val="00DC3636"/>
    <w:rsid w:val="00DC3BB7"/>
    <w:rsid w:val="00DC3C82"/>
    <w:rsid w:val="00DC3E7D"/>
    <w:rsid w:val="00DC5575"/>
    <w:rsid w:val="00DC60DA"/>
    <w:rsid w:val="00DC64A7"/>
    <w:rsid w:val="00DD0DAA"/>
    <w:rsid w:val="00DD0E32"/>
    <w:rsid w:val="00DD42C8"/>
    <w:rsid w:val="00DD4AD0"/>
    <w:rsid w:val="00DD550F"/>
    <w:rsid w:val="00DD6AFA"/>
    <w:rsid w:val="00DE30F4"/>
    <w:rsid w:val="00DE39D4"/>
    <w:rsid w:val="00DE3ABF"/>
    <w:rsid w:val="00DE649C"/>
    <w:rsid w:val="00DF2EED"/>
    <w:rsid w:val="00DF6826"/>
    <w:rsid w:val="00DF6F3B"/>
    <w:rsid w:val="00E01D29"/>
    <w:rsid w:val="00E01ECD"/>
    <w:rsid w:val="00E05A59"/>
    <w:rsid w:val="00E103C6"/>
    <w:rsid w:val="00E12586"/>
    <w:rsid w:val="00E16467"/>
    <w:rsid w:val="00E16C96"/>
    <w:rsid w:val="00E21B58"/>
    <w:rsid w:val="00E247B1"/>
    <w:rsid w:val="00E253DB"/>
    <w:rsid w:val="00E25608"/>
    <w:rsid w:val="00E25C03"/>
    <w:rsid w:val="00E268B8"/>
    <w:rsid w:val="00E30380"/>
    <w:rsid w:val="00E368A3"/>
    <w:rsid w:val="00E41F2D"/>
    <w:rsid w:val="00E43398"/>
    <w:rsid w:val="00E45690"/>
    <w:rsid w:val="00E510E3"/>
    <w:rsid w:val="00E51B58"/>
    <w:rsid w:val="00E54DAC"/>
    <w:rsid w:val="00E555A3"/>
    <w:rsid w:val="00E56CAC"/>
    <w:rsid w:val="00E57335"/>
    <w:rsid w:val="00E5752A"/>
    <w:rsid w:val="00E60271"/>
    <w:rsid w:val="00E60530"/>
    <w:rsid w:val="00E621FC"/>
    <w:rsid w:val="00E64A33"/>
    <w:rsid w:val="00E70044"/>
    <w:rsid w:val="00E71E16"/>
    <w:rsid w:val="00E72015"/>
    <w:rsid w:val="00E72EE2"/>
    <w:rsid w:val="00E7349E"/>
    <w:rsid w:val="00E7543E"/>
    <w:rsid w:val="00E77491"/>
    <w:rsid w:val="00E77821"/>
    <w:rsid w:val="00E8103E"/>
    <w:rsid w:val="00E8174F"/>
    <w:rsid w:val="00E82374"/>
    <w:rsid w:val="00E83A53"/>
    <w:rsid w:val="00E84DD7"/>
    <w:rsid w:val="00E87215"/>
    <w:rsid w:val="00E87A3A"/>
    <w:rsid w:val="00E908A0"/>
    <w:rsid w:val="00E90BF5"/>
    <w:rsid w:val="00E90E5E"/>
    <w:rsid w:val="00E96888"/>
    <w:rsid w:val="00EA040E"/>
    <w:rsid w:val="00EA19EA"/>
    <w:rsid w:val="00EA4073"/>
    <w:rsid w:val="00EA457B"/>
    <w:rsid w:val="00EA56D4"/>
    <w:rsid w:val="00EB12DD"/>
    <w:rsid w:val="00EB2A64"/>
    <w:rsid w:val="00EB4505"/>
    <w:rsid w:val="00EB4E1D"/>
    <w:rsid w:val="00EB54FF"/>
    <w:rsid w:val="00EB6944"/>
    <w:rsid w:val="00EB707D"/>
    <w:rsid w:val="00EC252E"/>
    <w:rsid w:val="00EC272C"/>
    <w:rsid w:val="00EC305E"/>
    <w:rsid w:val="00EC32E8"/>
    <w:rsid w:val="00EC4304"/>
    <w:rsid w:val="00EC4CE9"/>
    <w:rsid w:val="00EC5BAC"/>
    <w:rsid w:val="00EC6592"/>
    <w:rsid w:val="00EC6F4F"/>
    <w:rsid w:val="00ED1E48"/>
    <w:rsid w:val="00ED4059"/>
    <w:rsid w:val="00ED48AE"/>
    <w:rsid w:val="00EE2B5A"/>
    <w:rsid w:val="00EF38A5"/>
    <w:rsid w:val="00EF6A1D"/>
    <w:rsid w:val="00EF6EE2"/>
    <w:rsid w:val="00F00479"/>
    <w:rsid w:val="00F021A4"/>
    <w:rsid w:val="00F021E1"/>
    <w:rsid w:val="00F10B58"/>
    <w:rsid w:val="00F12955"/>
    <w:rsid w:val="00F12EF6"/>
    <w:rsid w:val="00F13458"/>
    <w:rsid w:val="00F14B4E"/>
    <w:rsid w:val="00F169C3"/>
    <w:rsid w:val="00F203B4"/>
    <w:rsid w:val="00F22B48"/>
    <w:rsid w:val="00F2480E"/>
    <w:rsid w:val="00F24B89"/>
    <w:rsid w:val="00F25DB8"/>
    <w:rsid w:val="00F25FED"/>
    <w:rsid w:val="00F26C69"/>
    <w:rsid w:val="00F3134D"/>
    <w:rsid w:val="00F336B4"/>
    <w:rsid w:val="00F370C7"/>
    <w:rsid w:val="00F40180"/>
    <w:rsid w:val="00F407CC"/>
    <w:rsid w:val="00F40820"/>
    <w:rsid w:val="00F41E53"/>
    <w:rsid w:val="00F42645"/>
    <w:rsid w:val="00F42EBD"/>
    <w:rsid w:val="00F45A8F"/>
    <w:rsid w:val="00F45B42"/>
    <w:rsid w:val="00F46763"/>
    <w:rsid w:val="00F47656"/>
    <w:rsid w:val="00F50764"/>
    <w:rsid w:val="00F50E8C"/>
    <w:rsid w:val="00F51B30"/>
    <w:rsid w:val="00F54041"/>
    <w:rsid w:val="00F54AA0"/>
    <w:rsid w:val="00F55000"/>
    <w:rsid w:val="00F5500B"/>
    <w:rsid w:val="00F55E11"/>
    <w:rsid w:val="00F5731A"/>
    <w:rsid w:val="00F57BFB"/>
    <w:rsid w:val="00F57E14"/>
    <w:rsid w:val="00F61D82"/>
    <w:rsid w:val="00F62E90"/>
    <w:rsid w:val="00F63857"/>
    <w:rsid w:val="00F65758"/>
    <w:rsid w:val="00F65E14"/>
    <w:rsid w:val="00F66C88"/>
    <w:rsid w:val="00F67B8C"/>
    <w:rsid w:val="00F702AD"/>
    <w:rsid w:val="00F72E53"/>
    <w:rsid w:val="00F7322C"/>
    <w:rsid w:val="00F7499B"/>
    <w:rsid w:val="00F74A05"/>
    <w:rsid w:val="00F77678"/>
    <w:rsid w:val="00F7796C"/>
    <w:rsid w:val="00F810F4"/>
    <w:rsid w:val="00F8324F"/>
    <w:rsid w:val="00F83579"/>
    <w:rsid w:val="00F83A53"/>
    <w:rsid w:val="00F84AA6"/>
    <w:rsid w:val="00F862D9"/>
    <w:rsid w:val="00F8658D"/>
    <w:rsid w:val="00F8680B"/>
    <w:rsid w:val="00F8770E"/>
    <w:rsid w:val="00F934AC"/>
    <w:rsid w:val="00FA001B"/>
    <w:rsid w:val="00FA04C2"/>
    <w:rsid w:val="00FA2A72"/>
    <w:rsid w:val="00FA494A"/>
    <w:rsid w:val="00FA6492"/>
    <w:rsid w:val="00FA7F53"/>
    <w:rsid w:val="00FB6255"/>
    <w:rsid w:val="00FC20AB"/>
    <w:rsid w:val="00FC4CE2"/>
    <w:rsid w:val="00FD2D83"/>
    <w:rsid w:val="00FD71D1"/>
    <w:rsid w:val="00FD7D44"/>
    <w:rsid w:val="00FD7F8F"/>
    <w:rsid w:val="00FE0918"/>
    <w:rsid w:val="00FE2E65"/>
    <w:rsid w:val="00FE36A8"/>
    <w:rsid w:val="00FE4AAC"/>
    <w:rsid w:val="00FE5F63"/>
    <w:rsid w:val="00FE749D"/>
    <w:rsid w:val="00FE78BD"/>
    <w:rsid w:val="00FF0AF8"/>
    <w:rsid w:val="00FF7098"/>
    <w:rsid w:val="01260181"/>
    <w:rsid w:val="019DE85B"/>
    <w:rsid w:val="01A88405"/>
    <w:rsid w:val="020C19A2"/>
    <w:rsid w:val="025DD5D9"/>
    <w:rsid w:val="0297463B"/>
    <w:rsid w:val="02C205EC"/>
    <w:rsid w:val="03585071"/>
    <w:rsid w:val="03E3349E"/>
    <w:rsid w:val="0485A26C"/>
    <w:rsid w:val="0496D575"/>
    <w:rsid w:val="04CDDC9E"/>
    <w:rsid w:val="04D72CA5"/>
    <w:rsid w:val="05175EBE"/>
    <w:rsid w:val="05274D3F"/>
    <w:rsid w:val="05644734"/>
    <w:rsid w:val="05E8D556"/>
    <w:rsid w:val="06155A3B"/>
    <w:rsid w:val="0634EBC5"/>
    <w:rsid w:val="069527E2"/>
    <w:rsid w:val="06B7DD25"/>
    <w:rsid w:val="06FD55CB"/>
    <w:rsid w:val="0724E096"/>
    <w:rsid w:val="07680075"/>
    <w:rsid w:val="07765561"/>
    <w:rsid w:val="079E3357"/>
    <w:rsid w:val="07E0137D"/>
    <w:rsid w:val="07F30564"/>
    <w:rsid w:val="08041B53"/>
    <w:rsid w:val="081BD0EE"/>
    <w:rsid w:val="083B9B7A"/>
    <w:rsid w:val="08DA5B05"/>
    <w:rsid w:val="08F1CD35"/>
    <w:rsid w:val="097608F7"/>
    <w:rsid w:val="0991A245"/>
    <w:rsid w:val="099E4CA9"/>
    <w:rsid w:val="09AB7826"/>
    <w:rsid w:val="09CC30F1"/>
    <w:rsid w:val="0A245F11"/>
    <w:rsid w:val="0A405775"/>
    <w:rsid w:val="0A58FC5F"/>
    <w:rsid w:val="0A7F35AA"/>
    <w:rsid w:val="0A9FB662"/>
    <w:rsid w:val="0ACB965A"/>
    <w:rsid w:val="0AE0AED2"/>
    <w:rsid w:val="0B57F34E"/>
    <w:rsid w:val="0BD17729"/>
    <w:rsid w:val="0C319120"/>
    <w:rsid w:val="0C3F9449"/>
    <w:rsid w:val="0C4F2EB8"/>
    <w:rsid w:val="0C6AF341"/>
    <w:rsid w:val="0CF4C7C7"/>
    <w:rsid w:val="0D4014F8"/>
    <w:rsid w:val="0D424DF7"/>
    <w:rsid w:val="0DB7B651"/>
    <w:rsid w:val="0DBE5983"/>
    <w:rsid w:val="0E19D2A0"/>
    <w:rsid w:val="0E4EDBAF"/>
    <w:rsid w:val="0E65D46F"/>
    <w:rsid w:val="0E83C3A7"/>
    <w:rsid w:val="0EE4478E"/>
    <w:rsid w:val="0F6F66EC"/>
    <w:rsid w:val="0F75F53F"/>
    <w:rsid w:val="0F7ADF3A"/>
    <w:rsid w:val="0FEF69C1"/>
    <w:rsid w:val="0FFC514A"/>
    <w:rsid w:val="100374A3"/>
    <w:rsid w:val="10195108"/>
    <w:rsid w:val="10323BD9"/>
    <w:rsid w:val="10495805"/>
    <w:rsid w:val="1084E06B"/>
    <w:rsid w:val="10C4796B"/>
    <w:rsid w:val="10D3AB6E"/>
    <w:rsid w:val="10E25DA8"/>
    <w:rsid w:val="10F4DE99"/>
    <w:rsid w:val="111F3083"/>
    <w:rsid w:val="112BB13A"/>
    <w:rsid w:val="11775CDE"/>
    <w:rsid w:val="11A6C6D5"/>
    <w:rsid w:val="11B2E430"/>
    <w:rsid w:val="11B705B1"/>
    <w:rsid w:val="11F639AA"/>
    <w:rsid w:val="122E18E9"/>
    <w:rsid w:val="122FACC3"/>
    <w:rsid w:val="1254AF31"/>
    <w:rsid w:val="12AC79CE"/>
    <w:rsid w:val="12E4D5FF"/>
    <w:rsid w:val="13046683"/>
    <w:rsid w:val="130B6F68"/>
    <w:rsid w:val="131C3503"/>
    <w:rsid w:val="132576DC"/>
    <w:rsid w:val="1339AF62"/>
    <w:rsid w:val="13402D84"/>
    <w:rsid w:val="136C2847"/>
    <w:rsid w:val="137AA3FD"/>
    <w:rsid w:val="137C4443"/>
    <w:rsid w:val="13C336E6"/>
    <w:rsid w:val="14459BA4"/>
    <w:rsid w:val="144FA7CF"/>
    <w:rsid w:val="14509D87"/>
    <w:rsid w:val="154BBC0D"/>
    <w:rsid w:val="15BD7D5A"/>
    <w:rsid w:val="15D0FC69"/>
    <w:rsid w:val="16679E1E"/>
    <w:rsid w:val="16ABA00C"/>
    <w:rsid w:val="16CA517E"/>
    <w:rsid w:val="16CDBB4A"/>
    <w:rsid w:val="16F70522"/>
    <w:rsid w:val="17074F03"/>
    <w:rsid w:val="174E09F5"/>
    <w:rsid w:val="174E6CEF"/>
    <w:rsid w:val="1779107A"/>
    <w:rsid w:val="17798413"/>
    <w:rsid w:val="17DCA48F"/>
    <w:rsid w:val="17DD8E2C"/>
    <w:rsid w:val="18378C2E"/>
    <w:rsid w:val="1897D08D"/>
    <w:rsid w:val="189F8DE8"/>
    <w:rsid w:val="18B5ED83"/>
    <w:rsid w:val="190AEBF6"/>
    <w:rsid w:val="192E187D"/>
    <w:rsid w:val="1971F9B4"/>
    <w:rsid w:val="198FAB43"/>
    <w:rsid w:val="19A68898"/>
    <w:rsid w:val="19D9BFB5"/>
    <w:rsid w:val="1A299896"/>
    <w:rsid w:val="1A3ADCB7"/>
    <w:rsid w:val="1A57081A"/>
    <w:rsid w:val="1AA9B304"/>
    <w:rsid w:val="1AA9D851"/>
    <w:rsid w:val="1B137575"/>
    <w:rsid w:val="1B2AF666"/>
    <w:rsid w:val="1B2F8EBD"/>
    <w:rsid w:val="1B5781A1"/>
    <w:rsid w:val="1B870DE0"/>
    <w:rsid w:val="1BA66316"/>
    <w:rsid w:val="1BBD1B9D"/>
    <w:rsid w:val="1BC85B39"/>
    <w:rsid w:val="1C43AC46"/>
    <w:rsid w:val="1C5CB2E0"/>
    <w:rsid w:val="1CB61520"/>
    <w:rsid w:val="1D24BDC1"/>
    <w:rsid w:val="1D4301E9"/>
    <w:rsid w:val="1D93BE3F"/>
    <w:rsid w:val="1D96C1A0"/>
    <w:rsid w:val="1DDC6BFD"/>
    <w:rsid w:val="1EF01E68"/>
    <w:rsid w:val="1F0EA3E5"/>
    <w:rsid w:val="1F65EE22"/>
    <w:rsid w:val="1FC3645A"/>
    <w:rsid w:val="2018D049"/>
    <w:rsid w:val="2041C610"/>
    <w:rsid w:val="205824F9"/>
    <w:rsid w:val="2069A126"/>
    <w:rsid w:val="20887BDD"/>
    <w:rsid w:val="20D8B414"/>
    <w:rsid w:val="20ED8FFE"/>
    <w:rsid w:val="20EF42EC"/>
    <w:rsid w:val="213BAA68"/>
    <w:rsid w:val="213DCBE7"/>
    <w:rsid w:val="2153E7AF"/>
    <w:rsid w:val="2176B251"/>
    <w:rsid w:val="21AF9B6B"/>
    <w:rsid w:val="21DD8F22"/>
    <w:rsid w:val="2249BEFF"/>
    <w:rsid w:val="22529F08"/>
    <w:rsid w:val="22574FFF"/>
    <w:rsid w:val="225F7948"/>
    <w:rsid w:val="22A978C4"/>
    <w:rsid w:val="22A9A8CE"/>
    <w:rsid w:val="22D25E98"/>
    <w:rsid w:val="23292BBE"/>
    <w:rsid w:val="234465A9"/>
    <w:rsid w:val="235E3845"/>
    <w:rsid w:val="23A89536"/>
    <w:rsid w:val="24B2835D"/>
    <w:rsid w:val="24C4162B"/>
    <w:rsid w:val="24D9E6EF"/>
    <w:rsid w:val="251F9FA0"/>
    <w:rsid w:val="2530AA78"/>
    <w:rsid w:val="25CAA5C2"/>
    <w:rsid w:val="25CDC308"/>
    <w:rsid w:val="25E8D97D"/>
    <w:rsid w:val="2607545C"/>
    <w:rsid w:val="261916A1"/>
    <w:rsid w:val="26205956"/>
    <w:rsid w:val="269DF869"/>
    <w:rsid w:val="26C16B8C"/>
    <w:rsid w:val="272E3E90"/>
    <w:rsid w:val="2767AF41"/>
    <w:rsid w:val="2782F0C2"/>
    <w:rsid w:val="27B8909D"/>
    <w:rsid w:val="27BC5A5B"/>
    <w:rsid w:val="27E4835B"/>
    <w:rsid w:val="27EE0084"/>
    <w:rsid w:val="2801FCD6"/>
    <w:rsid w:val="2825ACBC"/>
    <w:rsid w:val="2829DC25"/>
    <w:rsid w:val="282E6421"/>
    <w:rsid w:val="2840B399"/>
    <w:rsid w:val="2849742D"/>
    <w:rsid w:val="287D9140"/>
    <w:rsid w:val="2893A0FC"/>
    <w:rsid w:val="28F7D4AF"/>
    <w:rsid w:val="292F50AC"/>
    <w:rsid w:val="294DE20F"/>
    <w:rsid w:val="297587F0"/>
    <w:rsid w:val="299BFD75"/>
    <w:rsid w:val="29D0EFD3"/>
    <w:rsid w:val="2A393AA2"/>
    <w:rsid w:val="2A3D17FE"/>
    <w:rsid w:val="2A8FFD3A"/>
    <w:rsid w:val="2AA36E08"/>
    <w:rsid w:val="2AD64441"/>
    <w:rsid w:val="2AEABB22"/>
    <w:rsid w:val="2AFA11FA"/>
    <w:rsid w:val="2AFB4A3F"/>
    <w:rsid w:val="2B0F14E8"/>
    <w:rsid w:val="2B3A8A15"/>
    <w:rsid w:val="2B6449E4"/>
    <w:rsid w:val="2B8DD77F"/>
    <w:rsid w:val="2BE9AF32"/>
    <w:rsid w:val="2BEAC5BC"/>
    <w:rsid w:val="2BEEF5CD"/>
    <w:rsid w:val="2C2E687B"/>
    <w:rsid w:val="2C69D666"/>
    <w:rsid w:val="2C70B2D1"/>
    <w:rsid w:val="2CD1F33F"/>
    <w:rsid w:val="2D493E7E"/>
    <w:rsid w:val="2D49C2DC"/>
    <w:rsid w:val="2E26A821"/>
    <w:rsid w:val="2E39721C"/>
    <w:rsid w:val="2EC30537"/>
    <w:rsid w:val="2EC43EAD"/>
    <w:rsid w:val="2F0D2462"/>
    <w:rsid w:val="2F7687F1"/>
    <w:rsid w:val="2F897A71"/>
    <w:rsid w:val="2FAE5617"/>
    <w:rsid w:val="2FEBB476"/>
    <w:rsid w:val="302C74FB"/>
    <w:rsid w:val="3063DF1F"/>
    <w:rsid w:val="30ACBB06"/>
    <w:rsid w:val="30C6933E"/>
    <w:rsid w:val="30D399FF"/>
    <w:rsid w:val="30EC2ECA"/>
    <w:rsid w:val="31042213"/>
    <w:rsid w:val="3198BEC1"/>
    <w:rsid w:val="31A59E22"/>
    <w:rsid w:val="321635DA"/>
    <w:rsid w:val="32442911"/>
    <w:rsid w:val="325335B5"/>
    <w:rsid w:val="325909A0"/>
    <w:rsid w:val="3261C9BD"/>
    <w:rsid w:val="32664CC7"/>
    <w:rsid w:val="3280DF21"/>
    <w:rsid w:val="32ADC8A2"/>
    <w:rsid w:val="32D577D9"/>
    <w:rsid w:val="32EC6371"/>
    <w:rsid w:val="3314FED2"/>
    <w:rsid w:val="33B3E5B6"/>
    <w:rsid w:val="33EDD8A5"/>
    <w:rsid w:val="343E789A"/>
    <w:rsid w:val="34AE1E80"/>
    <w:rsid w:val="350E3CF8"/>
    <w:rsid w:val="353D64C2"/>
    <w:rsid w:val="354C2692"/>
    <w:rsid w:val="3575ABC2"/>
    <w:rsid w:val="357D3717"/>
    <w:rsid w:val="35CB9375"/>
    <w:rsid w:val="35CE41D3"/>
    <w:rsid w:val="35F6EFCD"/>
    <w:rsid w:val="360C4CB1"/>
    <w:rsid w:val="364228C4"/>
    <w:rsid w:val="36720385"/>
    <w:rsid w:val="368B40FE"/>
    <w:rsid w:val="36C2C74F"/>
    <w:rsid w:val="370951DB"/>
    <w:rsid w:val="3736F551"/>
    <w:rsid w:val="379243EC"/>
    <w:rsid w:val="37980FC4"/>
    <w:rsid w:val="37A19063"/>
    <w:rsid w:val="37D3E662"/>
    <w:rsid w:val="37E14FBE"/>
    <w:rsid w:val="37EC35DE"/>
    <w:rsid w:val="382CD1FD"/>
    <w:rsid w:val="386B5356"/>
    <w:rsid w:val="387CD1F0"/>
    <w:rsid w:val="387E43E6"/>
    <w:rsid w:val="38AC42A9"/>
    <w:rsid w:val="3901567E"/>
    <w:rsid w:val="3938A7DD"/>
    <w:rsid w:val="394C630F"/>
    <w:rsid w:val="398C69EA"/>
    <w:rsid w:val="39E2EC17"/>
    <w:rsid w:val="39EC83F0"/>
    <w:rsid w:val="3A03EFC3"/>
    <w:rsid w:val="3A46AB15"/>
    <w:rsid w:val="3A85A67B"/>
    <w:rsid w:val="3AD30740"/>
    <w:rsid w:val="3B0A488E"/>
    <w:rsid w:val="3B342D57"/>
    <w:rsid w:val="3B5274F1"/>
    <w:rsid w:val="3B52E9FE"/>
    <w:rsid w:val="3B9506BB"/>
    <w:rsid w:val="3BD745DD"/>
    <w:rsid w:val="3BDB9BE0"/>
    <w:rsid w:val="3BE33918"/>
    <w:rsid w:val="3BFC6BC9"/>
    <w:rsid w:val="3C16B024"/>
    <w:rsid w:val="3C271CA2"/>
    <w:rsid w:val="3C82EBEF"/>
    <w:rsid w:val="3D0426B1"/>
    <w:rsid w:val="3D1DC426"/>
    <w:rsid w:val="3D3F8409"/>
    <w:rsid w:val="3D955277"/>
    <w:rsid w:val="3E026CA9"/>
    <w:rsid w:val="3E2F87FA"/>
    <w:rsid w:val="3E9E933F"/>
    <w:rsid w:val="3EFF26E9"/>
    <w:rsid w:val="3F0E5C1A"/>
    <w:rsid w:val="3F626C65"/>
    <w:rsid w:val="3F70107E"/>
    <w:rsid w:val="3F85465E"/>
    <w:rsid w:val="3FA2EF86"/>
    <w:rsid w:val="3FE2128E"/>
    <w:rsid w:val="40471C97"/>
    <w:rsid w:val="40A7E50E"/>
    <w:rsid w:val="40AA16B5"/>
    <w:rsid w:val="40BBE6C8"/>
    <w:rsid w:val="40D2FE40"/>
    <w:rsid w:val="40FF7107"/>
    <w:rsid w:val="4185784F"/>
    <w:rsid w:val="41D5115E"/>
    <w:rsid w:val="41E8ED60"/>
    <w:rsid w:val="421BFF51"/>
    <w:rsid w:val="4224A1E7"/>
    <w:rsid w:val="423BDDFE"/>
    <w:rsid w:val="42EF635A"/>
    <w:rsid w:val="433678C5"/>
    <w:rsid w:val="438D71AA"/>
    <w:rsid w:val="43E6E328"/>
    <w:rsid w:val="43E9E39C"/>
    <w:rsid w:val="4414F159"/>
    <w:rsid w:val="4432C274"/>
    <w:rsid w:val="446B5022"/>
    <w:rsid w:val="44844EFD"/>
    <w:rsid w:val="44A8AC8E"/>
    <w:rsid w:val="44C6E903"/>
    <w:rsid w:val="44F3EB79"/>
    <w:rsid w:val="44FD9499"/>
    <w:rsid w:val="451AE6B9"/>
    <w:rsid w:val="45395AF4"/>
    <w:rsid w:val="454A89B5"/>
    <w:rsid w:val="45B98C16"/>
    <w:rsid w:val="45D6C6B7"/>
    <w:rsid w:val="460A83A0"/>
    <w:rsid w:val="4643BFDA"/>
    <w:rsid w:val="46623DC4"/>
    <w:rsid w:val="46645136"/>
    <w:rsid w:val="46DB360E"/>
    <w:rsid w:val="46E3FCCD"/>
    <w:rsid w:val="47889765"/>
    <w:rsid w:val="47E5EAAA"/>
    <w:rsid w:val="47E87608"/>
    <w:rsid w:val="483AACDE"/>
    <w:rsid w:val="48409B34"/>
    <w:rsid w:val="48BADDBE"/>
    <w:rsid w:val="48D02309"/>
    <w:rsid w:val="48DC3716"/>
    <w:rsid w:val="48DDAE9E"/>
    <w:rsid w:val="48F63EE9"/>
    <w:rsid w:val="4900AFCF"/>
    <w:rsid w:val="491ED78F"/>
    <w:rsid w:val="491ED87A"/>
    <w:rsid w:val="4947908B"/>
    <w:rsid w:val="495CE292"/>
    <w:rsid w:val="495F87E3"/>
    <w:rsid w:val="4965FEE4"/>
    <w:rsid w:val="49805929"/>
    <w:rsid w:val="49B6B7AC"/>
    <w:rsid w:val="49F03453"/>
    <w:rsid w:val="4A2805CF"/>
    <w:rsid w:val="4A2C790D"/>
    <w:rsid w:val="4A313BA3"/>
    <w:rsid w:val="4A50A4B1"/>
    <w:rsid w:val="4A525DF1"/>
    <w:rsid w:val="4A547EDA"/>
    <w:rsid w:val="4A667584"/>
    <w:rsid w:val="4A6DAECA"/>
    <w:rsid w:val="4A98A484"/>
    <w:rsid w:val="4AA8012A"/>
    <w:rsid w:val="4B0BC446"/>
    <w:rsid w:val="4B28D112"/>
    <w:rsid w:val="4B8CA720"/>
    <w:rsid w:val="4BAA1477"/>
    <w:rsid w:val="4BB5C368"/>
    <w:rsid w:val="4BE38D80"/>
    <w:rsid w:val="4C288B7E"/>
    <w:rsid w:val="4C3F632F"/>
    <w:rsid w:val="4C714CEC"/>
    <w:rsid w:val="4CBB8830"/>
    <w:rsid w:val="4CC54CB1"/>
    <w:rsid w:val="4CDA0EFB"/>
    <w:rsid w:val="4D4BEFD8"/>
    <w:rsid w:val="4D519787"/>
    <w:rsid w:val="4D712564"/>
    <w:rsid w:val="4D813321"/>
    <w:rsid w:val="4D87F6BC"/>
    <w:rsid w:val="4DE581B0"/>
    <w:rsid w:val="4E0FE4DE"/>
    <w:rsid w:val="4E11D1E2"/>
    <w:rsid w:val="4E3429B2"/>
    <w:rsid w:val="4E7C9288"/>
    <w:rsid w:val="4EBB83F3"/>
    <w:rsid w:val="4EC1F0DB"/>
    <w:rsid w:val="4F3EC9AB"/>
    <w:rsid w:val="4F89835F"/>
    <w:rsid w:val="4F9C77B5"/>
    <w:rsid w:val="4FECC40D"/>
    <w:rsid w:val="4FF8DC4F"/>
    <w:rsid w:val="5015E9CB"/>
    <w:rsid w:val="5063F6B4"/>
    <w:rsid w:val="5089282C"/>
    <w:rsid w:val="50B510DE"/>
    <w:rsid w:val="51116BA5"/>
    <w:rsid w:val="5119AEB0"/>
    <w:rsid w:val="516F8C81"/>
    <w:rsid w:val="5173D474"/>
    <w:rsid w:val="51DD710B"/>
    <w:rsid w:val="521B3064"/>
    <w:rsid w:val="5238FA7D"/>
    <w:rsid w:val="525A811C"/>
    <w:rsid w:val="52CDF3E9"/>
    <w:rsid w:val="52EF27A9"/>
    <w:rsid w:val="530A1F0B"/>
    <w:rsid w:val="5348E501"/>
    <w:rsid w:val="53C392D2"/>
    <w:rsid w:val="53DBEB62"/>
    <w:rsid w:val="53E69E44"/>
    <w:rsid w:val="5411155C"/>
    <w:rsid w:val="548D6E65"/>
    <w:rsid w:val="550630BC"/>
    <w:rsid w:val="5530DD80"/>
    <w:rsid w:val="5543E347"/>
    <w:rsid w:val="555C3801"/>
    <w:rsid w:val="55C7AB6E"/>
    <w:rsid w:val="55DF1C5F"/>
    <w:rsid w:val="55F69FF5"/>
    <w:rsid w:val="55FB75F8"/>
    <w:rsid w:val="564333F2"/>
    <w:rsid w:val="565B0844"/>
    <w:rsid w:val="5674CDC5"/>
    <w:rsid w:val="56B6BC62"/>
    <w:rsid w:val="56E1E95C"/>
    <w:rsid w:val="57099E20"/>
    <w:rsid w:val="576E34BD"/>
    <w:rsid w:val="57F97AE9"/>
    <w:rsid w:val="58391C73"/>
    <w:rsid w:val="587CF5FC"/>
    <w:rsid w:val="58A6C298"/>
    <w:rsid w:val="58CD5E60"/>
    <w:rsid w:val="595B4014"/>
    <w:rsid w:val="595EB136"/>
    <w:rsid w:val="59DE60A3"/>
    <w:rsid w:val="59DEA229"/>
    <w:rsid w:val="59E23670"/>
    <w:rsid w:val="5A08F21C"/>
    <w:rsid w:val="5A0FEFC4"/>
    <w:rsid w:val="5A2E67A2"/>
    <w:rsid w:val="5A861768"/>
    <w:rsid w:val="5AAC41B4"/>
    <w:rsid w:val="5B5055A9"/>
    <w:rsid w:val="5BF2AC93"/>
    <w:rsid w:val="5BFBC2CD"/>
    <w:rsid w:val="5C029318"/>
    <w:rsid w:val="5C0972E7"/>
    <w:rsid w:val="5C0AB89E"/>
    <w:rsid w:val="5C214B32"/>
    <w:rsid w:val="5C64D4E2"/>
    <w:rsid w:val="5C99EEFB"/>
    <w:rsid w:val="5CACCC6E"/>
    <w:rsid w:val="5D61BC72"/>
    <w:rsid w:val="5DB75099"/>
    <w:rsid w:val="5E0CA476"/>
    <w:rsid w:val="5E10503D"/>
    <w:rsid w:val="5E628476"/>
    <w:rsid w:val="5EF7BC60"/>
    <w:rsid w:val="5EF9FB35"/>
    <w:rsid w:val="5FA3286F"/>
    <w:rsid w:val="5FD94DBF"/>
    <w:rsid w:val="5FDA0A98"/>
    <w:rsid w:val="5FF63425"/>
    <w:rsid w:val="5FFAEB59"/>
    <w:rsid w:val="602AC51B"/>
    <w:rsid w:val="603132FC"/>
    <w:rsid w:val="60372407"/>
    <w:rsid w:val="60C6C5EC"/>
    <w:rsid w:val="61C4F344"/>
    <w:rsid w:val="62165F36"/>
    <w:rsid w:val="6268C5F0"/>
    <w:rsid w:val="62C57154"/>
    <w:rsid w:val="62DDD266"/>
    <w:rsid w:val="63001469"/>
    <w:rsid w:val="63345D80"/>
    <w:rsid w:val="6334F79D"/>
    <w:rsid w:val="633CD48D"/>
    <w:rsid w:val="638CBCC3"/>
    <w:rsid w:val="63AE023C"/>
    <w:rsid w:val="63E1AA08"/>
    <w:rsid w:val="63F626A8"/>
    <w:rsid w:val="64363BE3"/>
    <w:rsid w:val="644162D9"/>
    <w:rsid w:val="644733EE"/>
    <w:rsid w:val="6499E8A4"/>
    <w:rsid w:val="64CBE879"/>
    <w:rsid w:val="64CBEDDE"/>
    <w:rsid w:val="6521EFF9"/>
    <w:rsid w:val="65633810"/>
    <w:rsid w:val="65952404"/>
    <w:rsid w:val="6595D013"/>
    <w:rsid w:val="65BD4644"/>
    <w:rsid w:val="65DDD1E9"/>
    <w:rsid w:val="6602ACCD"/>
    <w:rsid w:val="665EE276"/>
    <w:rsid w:val="6669198F"/>
    <w:rsid w:val="67231EB4"/>
    <w:rsid w:val="672C1A9C"/>
    <w:rsid w:val="67350747"/>
    <w:rsid w:val="67428BDD"/>
    <w:rsid w:val="67583E23"/>
    <w:rsid w:val="67ADC623"/>
    <w:rsid w:val="67FB631E"/>
    <w:rsid w:val="680B3672"/>
    <w:rsid w:val="6873A0FE"/>
    <w:rsid w:val="68935DAC"/>
    <w:rsid w:val="689CB93D"/>
    <w:rsid w:val="689D8230"/>
    <w:rsid w:val="68EC973B"/>
    <w:rsid w:val="68F17E15"/>
    <w:rsid w:val="698E17CB"/>
    <w:rsid w:val="6997B46A"/>
    <w:rsid w:val="699C4CF1"/>
    <w:rsid w:val="69A4681D"/>
    <w:rsid w:val="69CC94CF"/>
    <w:rsid w:val="6A12E579"/>
    <w:rsid w:val="6A4AF651"/>
    <w:rsid w:val="6A9C22F6"/>
    <w:rsid w:val="6AC8266D"/>
    <w:rsid w:val="6AD0993A"/>
    <w:rsid w:val="6AE21BF9"/>
    <w:rsid w:val="6BCA68D8"/>
    <w:rsid w:val="6BCC3C01"/>
    <w:rsid w:val="6BD30E92"/>
    <w:rsid w:val="6C815405"/>
    <w:rsid w:val="6CD9407B"/>
    <w:rsid w:val="6CD97F6C"/>
    <w:rsid w:val="6CDBBBC3"/>
    <w:rsid w:val="6D3226D1"/>
    <w:rsid w:val="6D3F45B2"/>
    <w:rsid w:val="6D404207"/>
    <w:rsid w:val="6D7D0A76"/>
    <w:rsid w:val="6D988DB3"/>
    <w:rsid w:val="6E2454DD"/>
    <w:rsid w:val="6E610263"/>
    <w:rsid w:val="6E6C45E6"/>
    <w:rsid w:val="6EE05775"/>
    <w:rsid w:val="6F5AC8ED"/>
    <w:rsid w:val="6F6A402B"/>
    <w:rsid w:val="6F7E7C74"/>
    <w:rsid w:val="6F862AE2"/>
    <w:rsid w:val="6FA98712"/>
    <w:rsid w:val="6FADE3CB"/>
    <w:rsid w:val="6FBD514D"/>
    <w:rsid w:val="7024DA46"/>
    <w:rsid w:val="703C7CEA"/>
    <w:rsid w:val="707D4F64"/>
    <w:rsid w:val="70933128"/>
    <w:rsid w:val="70FDA024"/>
    <w:rsid w:val="7173EB39"/>
    <w:rsid w:val="719B13DE"/>
    <w:rsid w:val="7218D8E8"/>
    <w:rsid w:val="7237E854"/>
    <w:rsid w:val="74419278"/>
    <w:rsid w:val="747650A3"/>
    <w:rsid w:val="74768261"/>
    <w:rsid w:val="7488B9C1"/>
    <w:rsid w:val="74A79966"/>
    <w:rsid w:val="74D74AFB"/>
    <w:rsid w:val="74F0009E"/>
    <w:rsid w:val="750E02C2"/>
    <w:rsid w:val="751EC74C"/>
    <w:rsid w:val="7526DBAC"/>
    <w:rsid w:val="7529C7AB"/>
    <w:rsid w:val="767A2C2C"/>
    <w:rsid w:val="776E3C10"/>
    <w:rsid w:val="77878A65"/>
    <w:rsid w:val="778B7969"/>
    <w:rsid w:val="7859DA5E"/>
    <w:rsid w:val="78D50FFC"/>
    <w:rsid w:val="78F533FE"/>
    <w:rsid w:val="7943EB9A"/>
    <w:rsid w:val="79861248"/>
    <w:rsid w:val="7991EB61"/>
    <w:rsid w:val="79B2C888"/>
    <w:rsid w:val="7A0EDA2A"/>
    <w:rsid w:val="7A1A93C0"/>
    <w:rsid w:val="7A4A622B"/>
    <w:rsid w:val="7AB290DC"/>
    <w:rsid w:val="7AC62740"/>
    <w:rsid w:val="7AE38309"/>
    <w:rsid w:val="7AE47E05"/>
    <w:rsid w:val="7AFB0AEE"/>
    <w:rsid w:val="7B9CAD6F"/>
    <w:rsid w:val="7BEC418E"/>
    <w:rsid w:val="7BFC03F0"/>
    <w:rsid w:val="7C2BB96F"/>
    <w:rsid w:val="7C46C27F"/>
    <w:rsid w:val="7C69A274"/>
    <w:rsid w:val="7C9E172B"/>
    <w:rsid w:val="7CD35514"/>
    <w:rsid w:val="7CDC529A"/>
    <w:rsid w:val="7CEF1C4E"/>
    <w:rsid w:val="7D0768B1"/>
    <w:rsid w:val="7D1AF6EF"/>
    <w:rsid w:val="7D1CF54E"/>
    <w:rsid w:val="7D2090E4"/>
    <w:rsid w:val="7D4B0F8F"/>
    <w:rsid w:val="7D5A4FCB"/>
    <w:rsid w:val="7D646C0D"/>
    <w:rsid w:val="7D7F61B4"/>
    <w:rsid w:val="7D83052D"/>
    <w:rsid w:val="7D846523"/>
    <w:rsid w:val="7DD04102"/>
    <w:rsid w:val="7E5F36FF"/>
    <w:rsid w:val="7EDCB167"/>
    <w:rsid w:val="7EE10B65"/>
    <w:rsid w:val="7F17E36A"/>
    <w:rsid w:val="7F77A05F"/>
    <w:rsid w:val="7F884A89"/>
    <w:rsid w:val="7FAED086"/>
    <w:rsid w:val="7FB341D9"/>
    <w:rsid w:val="7FD236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40C4"/>
  <w15:docId w15:val="{7F0DF520-696C-487C-9DDC-FE2C7704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9C"/>
    <w:rPr>
      <w:rFonts w:ascii="Tahoma" w:hAnsi="Tahoma" w:cs="Tahoma"/>
      <w:sz w:val="16"/>
      <w:szCs w:val="16"/>
    </w:rPr>
  </w:style>
  <w:style w:type="table" w:styleId="TableGrid">
    <w:name w:val="Table Grid"/>
    <w:basedOn w:val="TableNormal"/>
    <w:uiPriority w:val="59"/>
    <w:rsid w:val="00DE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Colorful List - Accent 11,Bullet 1"/>
    <w:basedOn w:val="Normal"/>
    <w:link w:val="ListParagraphChar"/>
    <w:uiPriority w:val="34"/>
    <w:qFormat/>
    <w:rsid w:val="00DE649C"/>
    <w:pPr>
      <w:spacing w:after="0" w:line="240" w:lineRule="auto"/>
      <w:ind w:left="720"/>
      <w:contextualSpacing/>
    </w:pPr>
    <w:rPr>
      <w:rFonts w:ascii="Arial" w:eastAsia="Times New Roman" w:hAnsi="Arial" w:cs="Times New Roman"/>
      <w:szCs w:val="24"/>
      <w:lang w:eastAsia="en-GB"/>
    </w:rPr>
  </w:style>
  <w:style w:type="paragraph" w:styleId="FootnoteText">
    <w:name w:val="footnote text"/>
    <w:basedOn w:val="Normal"/>
    <w:link w:val="FootnoteTextChar"/>
    <w:uiPriority w:val="99"/>
    <w:semiHidden/>
    <w:unhideWhenUsed/>
    <w:rsid w:val="00DE6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C"/>
    <w:rPr>
      <w:sz w:val="20"/>
      <w:szCs w:val="20"/>
    </w:rPr>
  </w:style>
  <w:style w:type="character" w:styleId="FootnoteReference">
    <w:name w:val="footnote reference"/>
    <w:basedOn w:val="DefaultParagraphFont"/>
    <w:uiPriority w:val="99"/>
    <w:semiHidden/>
    <w:unhideWhenUsed/>
    <w:rsid w:val="00DE649C"/>
    <w:rPr>
      <w:vertAlign w:val="superscript"/>
    </w:rPr>
  </w:style>
  <w:style w:type="paragraph" w:styleId="Header">
    <w:name w:val="header"/>
    <w:basedOn w:val="Normal"/>
    <w:link w:val="HeaderChar"/>
    <w:uiPriority w:val="99"/>
    <w:unhideWhenUsed/>
    <w:rsid w:val="00DE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49C"/>
  </w:style>
  <w:style w:type="paragraph" w:styleId="Footer">
    <w:name w:val="footer"/>
    <w:basedOn w:val="Normal"/>
    <w:link w:val="FooterChar"/>
    <w:uiPriority w:val="99"/>
    <w:unhideWhenUsed/>
    <w:rsid w:val="00DE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49C"/>
  </w:style>
  <w:style w:type="paragraph" w:customStyle="1" w:styleId="stp">
    <w:name w:val="stp"/>
    <w:rsid w:val="006022B9"/>
  </w:style>
  <w:style w:type="character" w:customStyle="1" w:styleId="Heading1Char">
    <w:name w:val="Heading 1 Char"/>
    <w:basedOn w:val="DefaultParagraphFont"/>
    <w:link w:val="Heading1"/>
    <w:uiPriority w:val="9"/>
    <w:rsid w:val="00BB59B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B59BD"/>
    <w:pPr>
      <w:spacing w:after="0" w:line="240" w:lineRule="auto"/>
    </w:pPr>
  </w:style>
  <w:style w:type="table" w:customStyle="1" w:styleId="TableGrid1">
    <w:name w:val="Table Grid1"/>
    <w:basedOn w:val="TableNormal"/>
    <w:next w:val="TableGrid"/>
    <w:uiPriority w:val="59"/>
    <w:rsid w:val="005A34F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360C4CB1"/>
    <w:pPr>
      <w:spacing w:beforeAutospacing="1" w:afterAutospacing="1" w:line="240" w:lineRule="auto"/>
    </w:pPr>
    <w:rPr>
      <w:rFonts w:eastAsiaTheme="minorEastAsia"/>
      <w:sz w:val="24"/>
      <w:szCs w:val="24"/>
      <w:lang w:eastAsia="en-GB"/>
    </w:rPr>
  </w:style>
  <w:style w:type="character" w:customStyle="1" w:styleId="contentpasted0">
    <w:name w:val="contentpasted0"/>
    <w:basedOn w:val="DefaultParagraphFont"/>
    <w:uiPriority w:val="1"/>
    <w:rsid w:val="360C4CB1"/>
    <w:rPr>
      <w:rFonts w:asciiTheme="minorHAnsi" w:eastAsiaTheme="minorEastAsia" w:hAnsiTheme="minorHAnsi" w:cstheme="minorBidi"/>
      <w:sz w:val="22"/>
      <w:szCs w:val="22"/>
    </w:rPr>
  </w:style>
  <w:style w:type="paragraph" w:customStyle="1" w:styleId="Default">
    <w:name w:val="Default"/>
    <w:basedOn w:val="Normal"/>
    <w:rsid w:val="360C4CB1"/>
    <w:pPr>
      <w:spacing w:after="0" w:line="240" w:lineRule="auto"/>
    </w:pPr>
    <w:rPr>
      <w:rFonts w:eastAsiaTheme="minorEastAsia"/>
      <w:color w:val="000000" w:themeColor="text1"/>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rsid w:val="00D62B4B"/>
    <w:rPr>
      <w:rFonts w:ascii="Arial" w:eastAsia="Times New Roman" w:hAnsi="Arial" w:cs="Times New Roman"/>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Numberlist">
    <w:name w:val="Number list"/>
    <w:basedOn w:val="ListParagraph"/>
    <w:link w:val="NumberlistChar"/>
    <w:qFormat/>
    <w:rsid w:val="003A47B2"/>
    <w:pPr>
      <w:numPr>
        <w:numId w:val="23"/>
      </w:numPr>
      <w:spacing w:after="200" w:line="276" w:lineRule="auto"/>
    </w:pPr>
    <w:rPr>
      <w:rFonts w:cs="Arial"/>
      <w:sz w:val="24"/>
    </w:rPr>
  </w:style>
  <w:style w:type="character" w:customStyle="1" w:styleId="NumberlistChar">
    <w:name w:val="Number list Char"/>
    <w:basedOn w:val="ListParagraphChar"/>
    <w:link w:val="Numberlist"/>
    <w:rsid w:val="003A47B2"/>
    <w:rPr>
      <w:rFonts w:ascii="Arial" w:eastAsia="Times New Roman" w:hAnsi="Arial" w:cs="Arial"/>
      <w:sz w:val="24"/>
      <w:szCs w:val="24"/>
      <w:lang w:eastAsia="en-GB"/>
    </w:rPr>
  </w:style>
  <w:style w:type="paragraph" w:styleId="PlainText">
    <w:name w:val="Plain Text"/>
    <w:basedOn w:val="Normal"/>
    <w:link w:val="PlainTextChar"/>
    <w:uiPriority w:val="99"/>
    <w:unhideWhenUsed/>
    <w:rsid w:val="001F752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F752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11">
      <w:bodyDiv w:val="1"/>
      <w:marLeft w:val="0"/>
      <w:marRight w:val="0"/>
      <w:marTop w:val="0"/>
      <w:marBottom w:val="0"/>
      <w:divBdr>
        <w:top w:val="none" w:sz="0" w:space="0" w:color="auto"/>
        <w:left w:val="none" w:sz="0" w:space="0" w:color="auto"/>
        <w:bottom w:val="none" w:sz="0" w:space="0" w:color="auto"/>
        <w:right w:val="none" w:sz="0" w:space="0" w:color="auto"/>
      </w:divBdr>
    </w:div>
    <w:div w:id="1131047998">
      <w:bodyDiv w:val="1"/>
      <w:marLeft w:val="0"/>
      <w:marRight w:val="0"/>
      <w:marTop w:val="0"/>
      <w:marBottom w:val="0"/>
      <w:divBdr>
        <w:top w:val="none" w:sz="0" w:space="0" w:color="auto"/>
        <w:left w:val="none" w:sz="0" w:space="0" w:color="auto"/>
        <w:bottom w:val="none" w:sz="0" w:space="0" w:color="auto"/>
        <w:right w:val="none" w:sz="0" w:space="0" w:color="auto"/>
      </w:divBdr>
    </w:div>
    <w:div w:id="1240099783">
      <w:bodyDiv w:val="1"/>
      <w:marLeft w:val="0"/>
      <w:marRight w:val="0"/>
      <w:marTop w:val="0"/>
      <w:marBottom w:val="0"/>
      <w:divBdr>
        <w:top w:val="none" w:sz="0" w:space="0" w:color="auto"/>
        <w:left w:val="none" w:sz="0" w:space="0" w:color="auto"/>
        <w:bottom w:val="none" w:sz="0" w:space="0" w:color="auto"/>
        <w:right w:val="none" w:sz="0" w:space="0" w:color="auto"/>
      </w:divBdr>
    </w:div>
    <w:div w:id="1599018996">
      <w:bodyDiv w:val="1"/>
      <w:marLeft w:val="0"/>
      <w:marRight w:val="0"/>
      <w:marTop w:val="0"/>
      <w:marBottom w:val="0"/>
      <w:divBdr>
        <w:top w:val="none" w:sz="0" w:space="0" w:color="auto"/>
        <w:left w:val="none" w:sz="0" w:space="0" w:color="auto"/>
        <w:bottom w:val="none" w:sz="0" w:space="0" w:color="auto"/>
        <w:right w:val="none" w:sz="0" w:space="0" w:color="auto"/>
      </w:divBdr>
    </w:div>
    <w:div w:id="20080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13D223-DE75-4BE6-A950-519C2104F42A}">
  <ds:schemaRefs>
    <ds:schemaRef ds:uri="http://schemas.microsoft.com/sharepoint/v3/contenttype/forms"/>
  </ds:schemaRefs>
</ds:datastoreItem>
</file>

<file path=customXml/itemProps2.xml><?xml version="1.0" encoding="utf-8"?>
<ds:datastoreItem xmlns:ds="http://schemas.openxmlformats.org/officeDocument/2006/customXml" ds:itemID="{60F4829C-0B99-4BBB-B8AC-AD1868D0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878DB-B13C-4463-BB1D-A88FAB458302}">
  <ds:schemaRefs>
    <ds:schemaRef ds:uri="http://schemas.openxmlformats.org/officeDocument/2006/bibliography"/>
  </ds:schemaRefs>
</ds:datastoreItem>
</file>

<file path=customXml/itemProps4.xml><?xml version="1.0" encoding="utf-8"?>
<ds:datastoreItem xmlns:ds="http://schemas.openxmlformats.org/officeDocument/2006/customXml" ds:itemID="{7F0D0B09-08B9-411E-9290-A9A29872A4ED}">
  <ds:schemaRefs>
    <ds:schemaRef ds:uri="http://schemas.microsoft.com/office/2006/metadata/properties"/>
    <ds:schemaRef ds:uri="http://schemas.microsoft.com/office/infopath/2007/PartnerControls"/>
    <ds:schemaRef ds:uri="d760762f-6d0f-47a6-8fb9-606f44da572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3750</Words>
  <Characters>21379</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(CSRCCG)</dc:creator>
  <cp:keywords/>
  <cp:lastModifiedBy>TINSON, Peter (NHS LANCASHIRE AND SOUTH CUMBRIA ICB - 02M)</cp:lastModifiedBy>
  <cp:revision>2</cp:revision>
  <cp:lastPrinted>2017-03-15T14:21:00Z</cp:lastPrinted>
  <dcterms:created xsi:type="dcterms:W3CDTF">2026-03-05T18:04:00Z</dcterms:created>
  <dcterms:modified xsi:type="dcterms:W3CDTF">2026-03-05T18:04:00Z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y fmtid="{D5CDD505-2E9C-101B-9397-08002B2CF9AE}" pid="9" name="_dlc_DocIdItemGuid">
    <vt:lpwstr>33d8cf24-84d5-476b-b96f-dceee33e0db7</vt:lpwstr>
  </property>
  <property fmtid="{D5CDD505-2E9C-101B-9397-08002B2CF9AE}" pid="10" name="Order">
    <vt:r8>19900</vt:r8>
  </property>
  <property fmtid="{D5CDD505-2E9C-101B-9397-08002B2CF9AE}" pid="11" name="TriggerFlowInfo">
    <vt:lpwstr/>
  </property>
  <property fmtid="{D5CDD505-2E9C-101B-9397-08002B2CF9AE}" pid="12" name="ComplianceAssetId">
    <vt:lpwstr/>
  </property>
  <property fmtid="{D5CDD505-2E9C-101B-9397-08002B2CF9AE}" pid="13" name="docLang">
    <vt:lpwstr>en</vt:lpwstr>
  </property>
</Properties>
</file>