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C215" w14:textId="77777777" w:rsidR="00D8683A" w:rsidRPr="00C32A53" w:rsidRDefault="00D8683A" w:rsidP="00D8683A">
      <w:pPr>
        <w:pStyle w:val="Heading1"/>
        <w:spacing w:before="120" w:line="240" w:lineRule="auto"/>
        <w:jc w:val="center"/>
        <w:rPr>
          <w:sz w:val="28"/>
        </w:rPr>
      </w:pPr>
      <w:r w:rsidRPr="00C32A53">
        <w:rPr>
          <w:sz w:val="28"/>
        </w:rPr>
        <w:t>L &amp; SC Integrated Care Board</w:t>
      </w:r>
    </w:p>
    <w:p w14:paraId="01EF6D2F" w14:textId="77777777" w:rsidR="00D8683A" w:rsidRPr="00D8683A" w:rsidRDefault="00D8683A" w:rsidP="00D8683A">
      <w:pPr>
        <w:pStyle w:val="Heading1"/>
        <w:spacing w:before="120" w:line="240" w:lineRule="auto"/>
        <w:jc w:val="center"/>
        <w:rPr>
          <w:sz w:val="28"/>
        </w:rPr>
      </w:pPr>
      <w:r w:rsidRPr="00C32A53">
        <w:rPr>
          <w:sz w:val="28"/>
        </w:rPr>
        <w:t>Primary Care Contracts Sub-committee</w:t>
      </w:r>
    </w:p>
    <w:p w14:paraId="29518CD7" w14:textId="77777777" w:rsidR="00CA5ED8" w:rsidRPr="00DA478E" w:rsidRDefault="00CA5ED8" w:rsidP="001756FC">
      <w:pPr>
        <w:spacing w:after="120" w:line="240" w:lineRule="auto"/>
        <w:rPr>
          <w:sz w:val="22"/>
        </w:rPr>
      </w:pPr>
    </w:p>
    <w:tbl>
      <w:tblPr>
        <w:tblStyle w:val="TableGrid"/>
        <w:tblW w:w="0" w:type="auto"/>
        <w:tblLook w:val="04A0" w:firstRow="1" w:lastRow="0" w:firstColumn="1" w:lastColumn="0" w:noHBand="0" w:noVBand="1"/>
      </w:tblPr>
      <w:tblGrid>
        <w:gridCol w:w="2210"/>
        <w:gridCol w:w="6806"/>
      </w:tblGrid>
      <w:tr w:rsidR="009C0B4C" w:rsidRPr="00972E8A" w14:paraId="7E2E2A7F" w14:textId="77777777" w:rsidTr="009C0B4C">
        <w:trPr>
          <w:trHeight w:val="340"/>
        </w:trPr>
        <w:tc>
          <w:tcPr>
            <w:tcW w:w="2235" w:type="dxa"/>
            <w:tcBorders>
              <w:bottom w:val="single" w:sz="4" w:space="0" w:color="auto"/>
            </w:tcBorders>
            <w:shd w:val="clear" w:color="auto" w:fill="C6D9F1" w:themeFill="text2" w:themeFillTint="33"/>
          </w:tcPr>
          <w:p w14:paraId="3894E28E" w14:textId="77777777" w:rsidR="009C0B4C" w:rsidRPr="00972E8A" w:rsidRDefault="009C0B4C" w:rsidP="001756FC">
            <w:pPr>
              <w:pStyle w:val="Numberlist"/>
              <w:numPr>
                <w:ilvl w:val="0"/>
                <w:numId w:val="0"/>
              </w:numPr>
              <w:spacing w:after="120"/>
              <w:rPr>
                <w:b/>
                <w:szCs w:val="24"/>
              </w:rPr>
            </w:pPr>
            <w:r w:rsidRPr="00972E8A">
              <w:rPr>
                <w:b/>
                <w:szCs w:val="24"/>
              </w:rPr>
              <w:t>Date of meeting</w:t>
            </w:r>
          </w:p>
        </w:tc>
        <w:tc>
          <w:tcPr>
            <w:tcW w:w="7007" w:type="dxa"/>
            <w:tcBorders>
              <w:bottom w:val="single" w:sz="4" w:space="0" w:color="auto"/>
            </w:tcBorders>
          </w:tcPr>
          <w:p w14:paraId="42C4423E" w14:textId="227CBD60" w:rsidR="009C0B4C" w:rsidRPr="00972E8A" w:rsidRDefault="00992904" w:rsidP="001756FC">
            <w:pPr>
              <w:pStyle w:val="Numberlist"/>
              <w:numPr>
                <w:ilvl w:val="0"/>
                <w:numId w:val="0"/>
              </w:numPr>
              <w:spacing w:after="120"/>
              <w:rPr>
                <w:bCs/>
                <w:szCs w:val="24"/>
              </w:rPr>
            </w:pPr>
            <w:r>
              <w:rPr>
                <w:bCs/>
                <w:szCs w:val="24"/>
              </w:rPr>
              <w:t>12</w:t>
            </w:r>
            <w:r w:rsidRPr="00992904">
              <w:rPr>
                <w:bCs/>
                <w:szCs w:val="24"/>
                <w:vertAlign w:val="superscript"/>
              </w:rPr>
              <w:t>th</w:t>
            </w:r>
            <w:r>
              <w:rPr>
                <w:bCs/>
                <w:szCs w:val="24"/>
              </w:rPr>
              <w:t xml:space="preserve"> March </w:t>
            </w:r>
            <w:r w:rsidR="001B5DAA">
              <w:rPr>
                <w:bCs/>
                <w:szCs w:val="24"/>
              </w:rPr>
              <w:t>2026</w:t>
            </w:r>
          </w:p>
        </w:tc>
      </w:tr>
      <w:tr w:rsidR="009C0B4C" w:rsidRPr="00972E8A" w14:paraId="4DBE3C44" w14:textId="77777777" w:rsidTr="009C0B4C">
        <w:trPr>
          <w:trHeight w:val="340"/>
        </w:trPr>
        <w:tc>
          <w:tcPr>
            <w:tcW w:w="2235" w:type="dxa"/>
            <w:tcBorders>
              <w:bottom w:val="single" w:sz="4" w:space="0" w:color="auto"/>
            </w:tcBorders>
            <w:shd w:val="clear" w:color="auto" w:fill="C6D9F1" w:themeFill="text2" w:themeFillTint="33"/>
          </w:tcPr>
          <w:p w14:paraId="4C215281" w14:textId="77777777" w:rsidR="009C0B4C" w:rsidRPr="00972E8A" w:rsidRDefault="009C0B4C" w:rsidP="00955869">
            <w:pPr>
              <w:pStyle w:val="Numberlist"/>
              <w:numPr>
                <w:ilvl w:val="0"/>
                <w:numId w:val="0"/>
              </w:numPr>
              <w:rPr>
                <w:b/>
                <w:szCs w:val="24"/>
              </w:rPr>
            </w:pPr>
            <w:r w:rsidRPr="00972E8A">
              <w:rPr>
                <w:b/>
                <w:szCs w:val="24"/>
              </w:rPr>
              <w:t>Title of paper</w:t>
            </w:r>
          </w:p>
        </w:tc>
        <w:tc>
          <w:tcPr>
            <w:tcW w:w="7007" w:type="dxa"/>
            <w:tcBorders>
              <w:bottom w:val="single" w:sz="4" w:space="0" w:color="auto"/>
            </w:tcBorders>
          </w:tcPr>
          <w:p w14:paraId="35670F2F" w14:textId="2E843189" w:rsidR="009C0B4C" w:rsidRPr="00972E8A" w:rsidRDefault="006067C6" w:rsidP="00955869">
            <w:pPr>
              <w:pStyle w:val="Numberlist"/>
              <w:numPr>
                <w:ilvl w:val="0"/>
                <w:numId w:val="0"/>
              </w:numPr>
              <w:rPr>
                <w:bCs/>
                <w:szCs w:val="24"/>
              </w:rPr>
            </w:pPr>
            <w:r>
              <w:rPr>
                <w:bCs/>
                <w:szCs w:val="24"/>
              </w:rPr>
              <w:t>Online Consultation Requirements during</w:t>
            </w:r>
            <w:r w:rsidRPr="006B4B7D">
              <w:rPr>
                <w:rFonts w:eastAsiaTheme="minorEastAsia"/>
                <w:b/>
                <w:bCs/>
                <w:color w:val="000000" w:themeColor="text1"/>
                <w:kern w:val="24"/>
                <w:sz w:val="22"/>
                <w:lang w:val="en-US" w:eastAsia="en-GB"/>
              </w:rPr>
              <w:t> </w:t>
            </w:r>
            <w:r>
              <w:rPr>
                <w:bCs/>
                <w:szCs w:val="24"/>
              </w:rPr>
              <w:t>Protected Learning Time Sessions</w:t>
            </w:r>
          </w:p>
        </w:tc>
      </w:tr>
      <w:tr w:rsidR="009C0B4C" w:rsidRPr="00972E8A" w14:paraId="3C72285A" w14:textId="77777777" w:rsidTr="009C0B4C">
        <w:trPr>
          <w:trHeight w:val="340"/>
        </w:trPr>
        <w:tc>
          <w:tcPr>
            <w:tcW w:w="2235" w:type="dxa"/>
            <w:tcBorders>
              <w:bottom w:val="single" w:sz="4" w:space="0" w:color="auto"/>
            </w:tcBorders>
            <w:shd w:val="clear" w:color="auto" w:fill="C6D9F1" w:themeFill="text2" w:themeFillTint="33"/>
          </w:tcPr>
          <w:p w14:paraId="161ACD67" w14:textId="77777777" w:rsidR="009C0B4C" w:rsidRPr="00972E8A" w:rsidRDefault="009C0B4C" w:rsidP="00955869">
            <w:pPr>
              <w:pStyle w:val="Numberlist"/>
              <w:numPr>
                <w:ilvl w:val="0"/>
                <w:numId w:val="0"/>
              </w:numPr>
              <w:rPr>
                <w:b/>
                <w:szCs w:val="24"/>
              </w:rPr>
            </w:pPr>
            <w:r w:rsidRPr="00972E8A">
              <w:rPr>
                <w:b/>
                <w:szCs w:val="24"/>
              </w:rPr>
              <w:t>Presented by</w:t>
            </w:r>
          </w:p>
        </w:tc>
        <w:tc>
          <w:tcPr>
            <w:tcW w:w="7007" w:type="dxa"/>
            <w:tcBorders>
              <w:bottom w:val="single" w:sz="4" w:space="0" w:color="auto"/>
            </w:tcBorders>
          </w:tcPr>
          <w:p w14:paraId="1D46B3F3" w14:textId="690E67CC" w:rsidR="009C0B4C" w:rsidRPr="006067C6" w:rsidRDefault="00EA2950" w:rsidP="00955869">
            <w:pPr>
              <w:pStyle w:val="Numberlist"/>
              <w:numPr>
                <w:ilvl w:val="0"/>
                <w:numId w:val="0"/>
              </w:numPr>
              <w:rPr>
                <w:bCs/>
                <w:color w:val="FF0000"/>
                <w:szCs w:val="24"/>
              </w:rPr>
            </w:pPr>
            <w:r w:rsidRPr="00EA2950">
              <w:rPr>
                <w:bCs/>
                <w:szCs w:val="24"/>
              </w:rPr>
              <w:t>Donna Roberts, Associate Director Primary Care</w:t>
            </w:r>
          </w:p>
        </w:tc>
      </w:tr>
      <w:tr w:rsidR="009C0B4C" w:rsidRPr="00972E8A" w14:paraId="2680C51B" w14:textId="77777777" w:rsidTr="009C0B4C">
        <w:trPr>
          <w:trHeight w:val="340"/>
        </w:trPr>
        <w:tc>
          <w:tcPr>
            <w:tcW w:w="2235" w:type="dxa"/>
            <w:tcBorders>
              <w:bottom w:val="single" w:sz="4" w:space="0" w:color="auto"/>
            </w:tcBorders>
            <w:shd w:val="clear" w:color="auto" w:fill="C6D9F1" w:themeFill="text2" w:themeFillTint="33"/>
          </w:tcPr>
          <w:p w14:paraId="0282CB95" w14:textId="77777777" w:rsidR="009C0B4C" w:rsidRPr="00972E8A" w:rsidRDefault="009C0B4C" w:rsidP="00955869">
            <w:pPr>
              <w:pStyle w:val="Numberlist"/>
              <w:numPr>
                <w:ilvl w:val="0"/>
                <w:numId w:val="0"/>
              </w:numPr>
              <w:rPr>
                <w:b/>
                <w:szCs w:val="24"/>
              </w:rPr>
            </w:pPr>
            <w:r w:rsidRPr="00972E8A">
              <w:rPr>
                <w:b/>
                <w:szCs w:val="24"/>
              </w:rPr>
              <w:t>Author</w:t>
            </w:r>
          </w:p>
        </w:tc>
        <w:tc>
          <w:tcPr>
            <w:tcW w:w="7007" w:type="dxa"/>
            <w:tcBorders>
              <w:bottom w:val="single" w:sz="4" w:space="0" w:color="auto"/>
            </w:tcBorders>
          </w:tcPr>
          <w:p w14:paraId="6EC8C029" w14:textId="6AEB36B0" w:rsidR="009C0B4C" w:rsidRPr="00972E8A" w:rsidRDefault="002F30EE" w:rsidP="00955869">
            <w:pPr>
              <w:pStyle w:val="Numberlist"/>
              <w:numPr>
                <w:ilvl w:val="0"/>
                <w:numId w:val="0"/>
              </w:numPr>
              <w:rPr>
                <w:bCs/>
                <w:szCs w:val="24"/>
              </w:rPr>
            </w:pPr>
            <w:r>
              <w:rPr>
                <w:bCs/>
                <w:szCs w:val="24"/>
              </w:rPr>
              <w:t>Joanne Cooper, Primary Care Manager</w:t>
            </w:r>
          </w:p>
        </w:tc>
      </w:tr>
      <w:tr w:rsidR="009C0B4C" w:rsidRPr="00972E8A" w14:paraId="75B5DCD4" w14:textId="77777777" w:rsidTr="009C0B4C">
        <w:trPr>
          <w:trHeight w:val="340"/>
        </w:trPr>
        <w:tc>
          <w:tcPr>
            <w:tcW w:w="2235" w:type="dxa"/>
            <w:tcBorders>
              <w:bottom w:val="single" w:sz="4" w:space="0" w:color="auto"/>
            </w:tcBorders>
            <w:shd w:val="clear" w:color="auto" w:fill="C6D9F1" w:themeFill="text2" w:themeFillTint="33"/>
          </w:tcPr>
          <w:p w14:paraId="3516700E" w14:textId="77777777" w:rsidR="009C0B4C" w:rsidRPr="00972E8A" w:rsidRDefault="009C0B4C" w:rsidP="00955869">
            <w:pPr>
              <w:pStyle w:val="Numberlist"/>
              <w:numPr>
                <w:ilvl w:val="0"/>
                <w:numId w:val="0"/>
              </w:numPr>
              <w:rPr>
                <w:b/>
                <w:szCs w:val="24"/>
              </w:rPr>
            </w:pPr>
            <w:r w:rsidRPr="00972E8A">
              <w:rPr>
                <w:b/>
                <w:szCs w:val="24"/>
              </w:rPr>
              <w:t>Agenda item</w:t>
            </w:r>
          </w:p>
        </w:tc>
        <w:tc>
          <w:tcPr>
            <w:tcW w:w="7007" w:type="dxa"/>
            <w:tcBorders>
              <w:bottom w:val="single" w:sz="4" w:space="0" w:color="auto"/>
            </w:tcBorders>
          </w:tcPr>
          <w:p w14:paraId="38D59B5C" w14:textId="51EC4118" w:rsidR="009C0B4C" w:rsidRPr="00972E8A" w:rsidRDefault="009D28CD" w:rsidP="00955869">
            <w:pPr>
              <w:pStyle w:val="Numberlist"/>
              <w:numPr>
                <w:ilvl w:val="0"/>
                <w:numId w:val="0"/>
              </w:numPr>
              <w:rPr>
                <w:bCs/>
                <w:szCs w:val="24"/>
              </w:rPr>
            </w:pPr>
            <w:r>
              <w:rPr>
                <w:bCs/>
                <w:szCs w:val="24"/>
              </w:rPr>
              <w:t>6</w:t>
            </w:r>
          </w:p>
        </w:tc>
      </w:tr>
      <w:tr w:rsidR="009C0B4C" w:rsidRPr="00972E8A" w14:paraId="69F6B4EA" w14:textId="77777777" w:rsidTr="009C0B4C">
        <w:trPr>
          <w:trHeight w:val="340"/>
        </w:trPr>
        <w:tc>
          <w:tcPr>
            <w:tcW w:w="2235" w:type="dxa"/>
            <w:tcBorders>
              <w:bottom w:val="single" w:sz="4" w:space="0" w:color="auto"/>
            </w:tcBorders>
            <w:shd w:val="clear" w:color="auto" w:fill="C6D9F1" w:themeFill="text2" w:themeFillTint="33"/>
          </w:tcPr>
          <w:p w14:paraId="5CE5AAFF" w14:textId="77777777" w:rsidR="009C0B4C" w:rsidRPr="00972E8A" w:rsidRDefault="009C0B4C" w:rsidP="00955869">
            <w:pPr>
              <w:pStyle w:val="Numberlist"/>
              <w:numPr>
                <w:ilvl w:val="0"/>
                <w:numId w:val="0"/>
              </w:numPr>
              <w:rPr>
                <w:b/>
                <w:szCs w:val="24"/>
              </w:rPr>
            </w:pPr>
            <w:r w:rsidRPr="00972E8A">
              <w:rPr>
                <w:b/>
                <w:szCs w:val="24"/>
              </w:rPr>
              <w:t xml:space="preserve">Confidential </w:t>
            </w:r>
          </w:p>
        </w:tc>
        <w:tc>
          <w:tcPr>
            <w:tcW w:w="7007" w:type="dxa"/>
            <w:tcBorders>
              <w:bottom w:val="single" w:sz="4" w:space="0" w:color="auto"/>
            </w:tcBorders>
          </w:tcPr>
          <w:p w14:paraId="71DDEDBF" w14:textId="1FAD4F4E" w:rsidR="009C0B4C" w:rsidRPr="00972E8A" w:rsidRDefault="00EA2950" w:rsidP="00955869">
            <w:pPr>
              <w:pStyle w:val="Numberlist"/>
              <w:numPr>
                <w:ilvl w:val="0"/>
                <w:numId w:val="0"/>
              </w:numPr>
              <w:rPr>
                <w:bCs/>
                <w:szCs w:val="24"/>
              </w:rPr>
            </w:pPr>
            <w:r>
              <w:rPr>
                <w:bCs/>
                <w:szCs w:val="24"/>
              </w:rPr>
              <w:t>No</w:t>
            </w:r>
          </w:p>
        </w:tc>
      </w:tr>
    </w:tbl>
    <w:p w14:paraId="38877104" w14:textId="77777777" w:rsidR="00A8443B" w:rsidRPr="00972E8A" w:rsidRDefault="00A8443B" w:rsidP="00955869">
      <w:pPr>
        <w:pStyle w:val="Numberlist"/>
        <w:numPr>
          <w:ilvl w:val="0"/>
          <w:numId w:val="0"/>
        </w:numPr>
        <w:rPr>
          <w:szCs w:val="24"/>
        </w:rPr>
      </w:pPr>
    </w:p>
    <w:tbl>
      <w:tblPr>
        <w:tblStyle w:val="TableGrid"/>
        <w:tblW w:w="0" w:type="auto"/>
        <w:tblLook w:val="04A0" w:firstRow="1" w:lastRow="0" w:firstColumn="1" w:lastColumn="0" w:noHBand="0" w:noVBand="1"/>
      </w:tblPr>
      <w:tblGrid>
        <w:gridCol w:w="2999"/>
        <w:gridCol w:w="713"/>
        <w:gridCol w:w="702"/>
        <w:gridCol w:w="704"/>
        <w:gridCol w:w="902"/>
        <w:gridCol w:w="2996"/>
      </w:tblGrid>
      <w:tr w:rsidR="001C595C" w:rsidRPr="00972E8A" w14:paraId="1B9B4866" w14:textId="77777777" w:rsidTr="00904F72">
        <w:tc>
          <w:tcPr>
            <w:tcW w:w="9016" w:type="dxa"/>
            <w:gridSpan w:val="6"/>
            <w:shd w:val="clear" w:color="auto" w:fill="C6D9F1" w:themeFill="text2" w:themeFillTint="33"/>
          </w:tcPr>
          <w:p w14:paraId="3F077188" w14:textId="77777777" w:rsidR="001C595C" w:rsidRPr="00972E8A" w:rsidRDefault="001C595C" w:rsidP="00955869">
            <w:pPr>
              <w:pStyle w:val="Numberlist"/>
              <w:numPr>
                <w:ilvl w:val="0"/>
                <w:numId w:val="0"/>
              </w:numPr>
              <w:rPr>
                <w:b/>
                <w:szCs w:val="24"/>
              </w:rPr>
            </w:pPr>
            <w:r w:rsidRPr="00972E8A">
              <w:rPr>
                <w:b/>
                <w:szCs w:val="24"/>
              </w:rPr>
              <w:t>Purpose of the paper</w:t>
            </w:r>
          </w:p>
        </w:tc>
      </w:tr>
      <w:tr w:rsidR="001C595C" w:rsidRPr="00972E8A" w14:paraId="25A49D1F" w14:textId="77777777" w:rsidTr="00904F72">
        <w:tc>
          <w:tcPr>
            <w:tcW w:w="9016" w:type="dxa"/>
            <w:gridSpan w:val="6"/>
          </w:tcPr>
          <w:p w14:paraId="0719A20C" w14:textId="254697CE" w:rsidR="00266DD3" w:rsidRPr="00972E8A" w:rsidRDefault="00E222FC" w:rsidP="00B51206">
            <w:pPr>
              <w:pStyle w:val="Numberlist"/>
              <w:numPr>
                <w:ilvl w:val="0"/>
                <w:numId w:val="0"/>
              </w:numPr>
              <w:jc w:val="both"/>
              <w:rPr>
                <w:szCs w:val="24"/>
              </w:rPr>
            </w:pPr>
            <w:r>
              <w:rPr>
                <w:szCs w:val="24"/>
              </w:rPr>
              <w:t xml:space="preserve">Primary Medical Services Group have </w:t>
            </w:r>
            <w:r w:rsidR="00360B05">
              <w:rPr>
                <w:szCs w:val="24"/>
              </w:rPr>
              <w:t xml:space="preserve">considered and </w:t>
            </w:r>
            <w:r w:rsidR="00736933">
              <w:rPr>
                <w:szCs w:val="24"/>
              </w:rPr>
              <w:t>recommended</w:t>
            </w:r>
            <w:r w:rsidR="00360B05">
              <w:rPr>
                <w:szCs w:val="24"/>
              </w:rPr>
              <w:t xml:space="preserve"> that general practices should keep their online consultation facility open during their protected learning time sessions.  This paper is for the Primary Care Contracts Sub Committee to </w:t>
            </w:r>
            <w:r w:rsidR="00736933">
              <w:rPr>
                <w:szCs w:val="24"/>
              </w:rPr>
              <w:t>agree that recommendation.</w:t>
            </w:r>
          </w:p>
          <w:p w14:paraId="2F352A4D" w14:textId="1C87216A" w:rsidR="00266DD3" w:rsidRPr="00972E8A" w:rsidRDefault="00266DD3" w:rsidP="00266DD3">
            <w:pPr>
              <w:pStyle w:val="Numberlist"/>
              <w:numPr>
                <w:ilvl w:val="0"/>
                <w:numId w:val="0"/>
              </w:numPr>
              <w:rPr>
                <w:szCs w:val="24"/>
              </w:rPr>
            </w:pPr>
          </w:p>
        </w:tc>
      </w:tr>
      <w:tr w:rsidR="001C595C" w:rsidRPr="00972E8A" w14:paraId="40CD51DF" w14:textId="77777777" w:rsidTr="00904F72">
        <w:tc>
          <w:tcPr>
            <w:tcW w:w="9016" w:type="dxa"/>
            <w:gridSpan w:val="6"/>
            <w:shd w:val="clear" w:color="auto" w:fill="C6D9F1" w:themeFill="text2" w:themeFillTint="33"/>
          </w:tcPr>
          <w:p w14:paraId="372C7D3D" w14:textId="77777777" w:rsidR="001C595C" w:rsidRPr="00972E8A" w:rsidRDefault="001C595C" w:rsidP="00955869">
            <w:pPr>
              <w:pStyle w:val="Numberlist"/>
              <w:numPr>
                <w:ilvl w:val="0"/>
                <w:numId w:val="0"/>
              </w:numPr>
              <w:rPr>
                <w:b/>
                <w:szCs w:val="24"/>
              </w:rPr>
            </w:pPr>
            <w:r w:rsidRPr="00972E8A">
              <w:rPr>
                <w:b/>
                <w:szCs w:val="24"/>
              </w:rPr>
              <w:t>Executive summary</w:t>
            </w:r>
          </w:p>
        </w:tc>
      </w:tr>
      <w:tr w:rsidR="001C595C" w:rsidRPr="00972E8A" w14:paraId="3B94C6B5" w14:textId="77777777" w:rsidTr="00904F72">
        <w:tc>
          <w:tcPr>
            <w:tcW w:w="9016" w:type="dxa"/>
            <w:gridSpan w:val="6"/>
          </w:tcPr>
          <w:p w14:paraId="003C7A32" w14:textId="77777777" w:rsidR="00266DD3" w:rsidRDefault="00284398" w:rsidP="00B51206">
            <w:pPr>
              <w:pStyle w:val="Numberlist"/>
              <w:numPr>
                <w:ilvl w:val="0"/>
                <w:numId w:val="0"/>
              </w:numPr>
              <w:jc w:val="both"/>
              <w:rPr>
                <w:rFonts w:eastAsiaTheme="minorEastAsia"/>
                <w:kern w:val="24"/>
                <w:szCs w:val="24"/>
                <w:lang w:val="en-US" w:eastAsia="en-GB"/>
              </w:rPr>
            </w:pPr>
            <w:r>
              <w:rPr>
                <w:rFonts w:eastAsiaTheme="minorEastAsia"/>
                <w:kern w:val="24"/>
                <w:szCs w:val="24"/>
                <w:lang w:val="en-US" w:eastAsia="en-GB"/>
              </w:rPr>
              <w:t>P</w:t>
            </w:r>
            <w:r w:rsidRPr="002168C4">
              <w:rPr>
                <w:rFonts w:eastAsiaTheme="minorEastAsia"/>
                <w:kern w:val="24"/>
                <w:szCs w:val="24"/>
                <w:lang w:val="en-US" w:eastAsia="en-GB"/>
              </w:rPr>
              <w:t>ractices are required to keep their online consultation tool open for the duration of core hours (08:00am to 6:30pm, Monday to Friday) for non-urgent appointment requests, medication queries and admin requests.  This became a contractual requirement with effect from 1</w:t>
            </w:r>
            <w:r w:rsidRPr="002168C4">
              <w:rPr>
                <w:rFonts w:eastAsiaTheme="minorEastAsia"/>
                <w:kern w:val="24"/>
                <w:szCs w:val="24"/>
                <w:vertAlign w:val="superscript"/>
                <w:lang w:val="en-US" w:eastAsia="en-GB"/>
              </w:rPr>
              <w:t>st</w:t>
            </w:r>
            <w:r w:rsidRPr="002168C4">
              <w:rPr>
                <w:rFonts w:eastAsiaTheme="minorEastAsia"/>
                <w:kern w:val="24"/>
                <w:szCs w:val="24"/>
                <w:lang w:val="en-US" w:eastAsia="en-GB"/>
              </w:rPr>
              <w:t xml:space="preserve"> October 2025</w:t>
            </w:r>
            <w:r>
              <w:rPr>
                <w:rFonts w:eastAsiaTheme="minorEastAsia"/>
                <w:kern w:val="24"/>
                <w:szCs w:val="24"/>
                <w:lang w:val="en-US" w:eastAsia="en-GB"/>
              </w:rPr>
              <w:t>.</w:t>
            </w:r>
          </w:p>
          <w:p w14:paraId="114A0C2C" w14:textId="77777777" w:rsidR="00284398" w:rsidRDefault="00284398" w:rsidP="00B51206">
            <w:pPr>
              <w:pStyle w:val="Numberlist"/>
              <w:numPr>
                <w:ilvl w:val="0"/>
                <w:numId w:val="0"/>
              </w:numPr>
              <w:jc w:val="both"/>
              <w:rPr>
                <w:szCs w:val="24"/>
              </w:rPr>
            </w:pPr>
          </w:p>
          <w:p w14:paraId="74BEDC2E" w14:textId="77777777" w:rsidR="00C61B63" w:rsidRDefault="00C61B63" w:rsidP="00B51206">
            <w:pPr>
              <w:pStyle w:val="Numberlist"/>
              <w:numPr>
                <w:ilvl w:val="0"/>
                <w:numId w:val="0"/>
              </w:numPr>
              <w:jc w:val="both"/>
              <w:rPr>
                <w:rFonts w:eastAsiaTheme="minorEastAsia"/>
                <w:kern w:val="24"/>
                <w:szCs w:val="24"/>
                <w:lang w:val="en-US" w:eastAsia="en-GB"/>
              </w:rPr>
            </w:pPr>
            <w:r w:rsidRPr="002168C4">
              <w:rPr>
                <w:rFonts w:eastAsiaTheme="minorEastAsia"/>
                <w:kern w:val="24"/>
                <w:szCs w:val="24"/>
                <w:lang w:val="en-US" w:eastAsia="en-GB"/>
              </w:rPr>
              <w:t>Each sub-ICB area has nine Protected Learning Sessions per year.  Three of these are ICB delivered training / information sessions and the other six are arranged by the practice themselves.  For all these sessions the ICB contracts with out-of-hours providers or federations to provide telephone and medical cover from 1:00pm to 6:30pm when practices are closed</w:t>
            </w:r>
            <w:r>
              <w:rPr>
                <w:rFonts w:eastAsiaTheme="minorEastAsia"/>
                <w:kern w:val="24"/>
                <w:szCs w:val="24"/>
                <w:lang w:val="en-US" w:eastAsia="en-GB"/>
              </w:rPr>
              <w:t>.</w:t>
            </w:r>
          </w:p>
          <w:p w14:paraId="18D0D20E" w14:textId="77777777" w:rsidR="00C61B63" w:rsidRDefault="00C61B63" w:rsidP="00B51206">
            <w:pPr>
              <w:pStyle w:val="Numberlist"/>
              <w:numPr>
                <w:ilvl w:val="0"/>
                <w:numId w:val="0"/>
              </w:numPr>
              <w:jc w:val="both"/>
              <w:rPr>
                <w:szCs w:val="24"/>
                <w:lang w:val="en-US"/>
              </w:rPr>
            </w:pPr>
          </w:p>
          <w:p w14:paraId="27B2180B" w14:textId="645B8F48" w:rsidR="00C61B63" w:rsidRDefault="00C61B63" w:rsidP="00B51206">
            <w:pPr>
              <w:pStyle w:val="Numberlist"/>
              <w:numPr>
                <w:ilvl w:val="0"/>
                <w:numId w:val="0"/>
              </w:numPr>
              <w:jc w:val="both"/>
              <w:rPr>
                <w:szCs w:val="24"/>
                <w:lang w:val="en-US"/>
              </w:rPr>
            </w:pPr>
            <w:r>
              <w:rPr>
                <w:szCs w:val="24"/>
                <w:lang w:val="en-US"/>
              </w:rPr>
              <w:t xml:space="preserve">Practices have requested that they be allowed to switch off their online consultation facility during the Protected Learning Time Sessions in line with their doors being closed and </w:t>
            </w:r>
            <w:r w:rsidR="003E151F">
              <w:rPr>
                <w:szCs w:val="24"/>
                <w:lang w:val="en-US"/>
              </w:rPr>
              <w:t xml:space="preserve">the telephones being transferred.  </w:t>
            </w:r>
            <w:r w:rsidR="00B51206">
              <w:rPr>
                <w:szCs w:val="24"/>
                <w:lang w:val="en-US"/>
              </w:rPr>
              <w:t>However,</w:t>
            </w:r>
            <w:r w:rsidR="003E151F">
              <w:rPr>
                <w:szCs w:val="24"/>
                <w:lang w:val="en-US"/>
              </w:rPr>
              <w:t xml:space="preserve"> </w:t>
            </w:r>
            <w:r w:rsidR="0027541C">
              <w:rPr>
                <w:szCs w:val="24"/>
                <w:lang w:val="en-US"/>
              </w:rPr>
              <w:t xml:space="preserve">NHS England have stated that GP Practices must not </w:t>
            </w:r>
            <w:r w:rsidR="00B51206">
              <w:rPr>
                <w:szCs w:val="24"/>
                <w:lang w:val="en-US"/>
              </w:rPr>
              <w:t>switch</w:t>
            </w:r>
            <w:r w:rsidR="0027541C">
              <w:rPr>
                <w:szCs w:val="24"/>
                <w:lang w:val="en-US"/>
              </w:rPr>
              <w:t xml:space="preserve"> off their online consultations during core hours</w:t>
            </w:r>
            <w:r w:rsidR="008F5514">
              <w:rPr>
                <w:szCs w:val="24"/>
                <w:lang w:val="en-US"/>
              </w:rPr>
              <w:t xml:space="preserve">, even during protected learning time sessions except </w:t>
            </w:r>
            <w:proofErr w:type="gramStart"/>
            <w:r w:rsidR="00B51206">
              <w:rPr>
                <w:szCs w:val="24"/>
                <w:lang w:val="en-US"/>
              </w:rPr>
              <w:t>where</w:t>
            </w:r>
            <w:proofErr w:type="gramEnd"/>
            <w:r w:rsidR="008F5514">
              <w:rPr>
                <w:szCs w:val="24"/>
                <w:lang w:val="en-US"/>
              </w:rPr>
              <w:t xml:space="preserve"> agreed with their commissioner.  </w:t>
            </w:r>
          </w:p>
          <w:p w14:paraId="1FCAA125" w14:textId="203A903B" w:rsidR="008F5514" w:rsidRPr="00972E8A" w:rsidRDefault="008F5514" w:rsidP="00B51206">
            <w:pPr>
              <w:pStyle w:val="Numberlist"/>
              <w:numPr>
                <w:ilvl w:val="0"/>
                <w:numId w:val="0"/>
              </w:numPr>
              <w:jc w:val="both"/>
              <w:rPr>
                <w:szCs w:val="24"/>
              </w:rPr>
            </w:pPr>
          </w:p>
        </w:tc>
      </w:tr>
      <w:tr w:rsidR="001C595C" w:rsidRPr="00972E8A" w14:paraId="3F4927A4" w14:textId="77777777" w:rsidTr="00904F72">
        <w:tc>
          <w:tcPr>
            <w:tcW w:w="9016" w:type="dxa"/>
            <w:gridSpan w:val="6"/>
            <w:shd w:val="clear" w:color="auto" w:fill="C6D9F1" w:themeFill="text2" w:themeFillTint="33"/>
          </w:tcPr>
          <w:p w14:paraId="5597E56B" w14:textId="77777777" w:rsidR="001C595C" w:rsidRPr="00972E8A" w:rsidRDefault="001C595C" w:rsidP="00955869">
            <w:pPr>
              <w:pStyle w:val="Numberlist"/>
              <w:numPr>
                <w:ilvl w:val="0"/>
                <w:numId w:val="0"/>
              </w:numPr>
              <w:rPr>
                <w:b/>
                <w:szCs w:val="24"/>
              </w:rPr>
            </w:pPr>
            <w:r w:rsidRPr="00972E8A">
              <w:rPr>
                <w:b/>
                <w:szCs w:val="24"/>
              </w:rPr>
              <w:t>Recommendations</w:t>
            </w:r>
          </w:p>
        </w:tc>
      </w:tr>
      <w:tr w:rsidR="001C595C" w:rsidRPr="00972E8A" w14:paraId="62B8CB80" w14:textId="77777777" w:rsidTr="00B51206">
        <w:trPr>
          <w:trHeight w:val="1266"/>
        </w:trPr>
        <w:tc>
          <w:tcPr>
            <w:tcW w:w="9016" w:type="dxa"/>
            <w:gridSpan w:val="6"/>
          </w:tcPr>
          <w:p w14:paraId="76CE484E" w14:textId="5028A2F7" w:rsidR="00266DD3" w:rsidRPr="00972E8A" w:rsidRDefault="00074308" w:rsidP="001C595C">
            <w:pPr>
              <w:rPr>
                <w:szCs w:val="24"/>
              </w:rPr>
            </w:pPr>
            <w:r>
              <w:rPr>
                <w:szCs w:val="24"/>
              </w:rPr>
              <w:t xml:space="preserve">The Primary Care Contracts Sub Committee is asked to note the contents of the paper and </w:t>
            </w:r>
            <w:r w:rsidR="00736933">
              <w:rPr>
                <w:szCs w:val="24"/>
              </w:rPr>
              <w:t>agree</w:t>
            </w:r>
            <w:r>
              <w:rPr>
                <w:szCs w:val="24"/>
              </w:rPr>
              <w:t xml:space="preserve"> the recommendation from the Primary Medical Services Group for the online consultation facility to remain open during General Practice Protected Learning Time sessions.</w:t>
            </w:r>
          </w:p>
        </w:tc>
      </w:tr>
      <w:tr w:rsidR="001C595C" w:rsidRPr="00972E8A" w14:paraId="1DF15A20" w14:textId="77777777" w:rsidTr="00266DD3">
        <w:tc>
          <w:tcPr>
            <w:tcW w:w="9016" w:type="dxa"/>
            <w:gridSpan w:val="6"/>
            <w:tcBorders>
              <w:bottom w:val="single" w:sz="4" w:space="0" w:color="auto"/>
            </w:tcBorders>
            <w:shd w:val="clear" w:color="auto" w:fill="C6D9F1" w:themeFill="text2" w:themeFillTint="33"/>
          </w:tcPr>
          <w:p w14:paraId="6663CE61" w14:textId="77777777" w:rsidR="001C595C" w:rsidRPr="00972E8A" w:rsidRDefault="001C595C" w:rsidP="001C595C">
            <w:pPr>
              <w:rPr>
                <w:b/>
                <w:szCs w:val="24"/>
              </w:rPr>
            </w:pPr>
            <w:r w:rsidRPr="00972E8A">
              <w:rPr>
                <w:b/>
                <w:szCs w:val="24"/>
              </w:rPr>
              <w:t xml:space="preserve">Governance and reporting </w:t>
            </w:r>
            <w:r w:rsidRPr="00972E8A">
              <w:rPr>
                <w:szCs w:val="24"/>
              </w:rPr>
              <w:t>(list other forums that have discussed this paper)</w:t>
            </w:r>
          </w:p>
        </w:tc>
      </w:tr>
      <w:tr w:rsidR="001C595C" w:rsidRPr="00972E8A" w14:paraId="17CDF5C1" w14:textId="77777777" w:rsidTr="00266DD3">
        <w:tc>
          <w:tcPr>
            <w:tcW w:w="2999" w:type="dxa"/>
            <w:shd w:val="clear" w:color="auto" w:fill="C6D9F1" w:themeFill="text2" w:themeFillTint="33"/>
          </w:tcPr>
          <w:p w14:paraId="4F1B2CE7" w14:textId="77777777" w:rsidR="001C595C" w:rsidRPr="00972E8A" w:rsidRDefault="001C595C" w:rsidP="001C595C">
            <w:pPr>
              <w:rPr>
                <w:b/>
                <w:szCs w:val="24"/>
              </w:rPr>
            </w:pPr>
            <w:r w:rsidRPr="00972E8A">
              <w:rPr>
                <w:b/>
                <w:szCs w:val="24"/>
              </w:rPr>
              <w:t>Meeting</w:t>
            </w:r>
          </w:p>
        </w:tc>
        <w:tc>
          <w:tcPr>
            <w:tcW w:w="3021" w:type="dxa"/>
            <w:gridSpan w:val="4"/>
            <w:shd w:val="clear" w:color="auto" w:fill="C6D9F1" w:themeFill="text2" w:themeFillTint="33"/>
          </w:tcPr>
          <w:p w14:paraId="60968B5C" w14:textId="77777777" w:rsidR="001C595C" w:rsidRPr="00972E8A" w:rsidRDefault="001C595C" w:rsidP="001C595C">
            <w:pPr>
              <w:rPr>
                <w:b/>
                <w:szCs w:val="24"/>
              </w:rPr>
            </w:pPr>
            <w:r w:rsidRPr="00972E8A">
              <w:rPr>
                <w:b/>
                <w:szCs w:val="24"/>
              </w:rPr>
              <w:t>Date</w:t>
            </w:r>
          </w:p>
        </w:tc>
        <w:tc>
          <w:tcPr>
            <w:tcW w:w="2996" w:type="dxa"/>
            <w:shd w:val="clear" w:color="auto" w:fill="C6D9F1" w:themeFill="text2" w:themeFillTint="33"/>
          </w:tcPr>
          <w:p w14:paraId="0A6D226A" w14:textId="77777777" w:rsidR="001C595C" w:rsidRPr="00972E8A" w:rsidRDefault="001C595C" w:rsidP="001C595C">
            <w:pPr>
              <w:rPr>
                <w:b/>
                <w:szCs w:val="24"/>
              </w:rPr>
            </w:pPr>
            <w:r w:rsidRPr="00972E8A">
              <w:rPr>
                <w:b/>
                <w:szCs w:val="24"/>
              </w:rPr>
              <w:t>Outcomes</w:t>
            </w:r>
          </w:p>
        </w:tc>
      </w:tr>
      <w:tr w:rsidR="00F02CF9" w:rsidRPr="00972E8A" w14:paraId="06E466D9" w14:textId="77777777" w:rsidTr="00904F72">
        <w:tc>
          <w:tcPr>
            <w:tcW w:w="2999" w:type="dxa"/>
            <w:shd w:val="clear" w:color="auto" w:fill="FFFFFF" w:themeFill="background1"/>
          </w:tcPr>
          <w:p w14:paraId="2528E46D" w14:textId="77777777" w:rsidR="00F02CF9" w:rsidRPr="00972E8A" w:rsidRDefault="00F02CF9" w:rsidP="00F02CF9">
            <w:pPr>
              <w:rPr>
                <w:bCs/>
                <w:szCs w:val="24"/>
              </w:rPr>
            </w:pPr>
            <w:r>
              <w:rPr>
                <w:bCs/>
                <w:szCs w:val="24"/>
              </w:rPr>
              <w:lastRenderedPageBreak/>
              <w:t>Primary Medical Services Group</w:t>
            </w:r>
          </w:p>
          <w:p w14:paraId="5359BE43" w14:textId="7D215763" w:rsidR="00F02CF9" w:rsidRPr="00972E8A" w:rsidRDefault="00F02CF9" w:rsidP="00F02CF9">
            <w:pPr>
              <w:rPr>
                <w:b/>
                <w:szCs w:val="24"/>
              </w:rPr>
            </w:pPr>
          </w:p>
        </w:tc>
        <w:tc>
          <w:tcPr>
            <w:tcW w:w="3021" w:type="dxa"/>
            <w:gridSpan w:val="4"/>
            <w:shd w:val="clear" w:color="auto" w:fill="FFFFFF" w:themeFill="background1"/>
          </w:tcPr>
          <w:p w14:paraId="40BC6CE8" w14:textId="77777777" w:rsidR="00F02CF9" w:rsidRDefault="00F02CF9" w:rsidP="00F02CF9">
            <w:pPr>
              <w:rPr>
                <w:bCs/>
                <w:szCs w:val="24"/>
              </w:rPr>
            </w:pPr>
            <w:r>
              <w:rPr>
                <w:bCs/>
                <w:szCs w:val="24"/>
              </w:rPr>
              <w:t>7</w:t>
            </w:r>
            <w:r w:rsidRPr="007A4ECD">
              <w:rPr>
                <w:bCs/>
                <w:szCs w:val="24"/>
                <w:vertAlign w:val="superscript"/>
              </w:rPr>
              <w:t>th</w:t>
            </w:r>
            <w:r>
              <w:rPr>
                <w:bCs/>
                <w:szCs w:val="24"/>
              </w:rPr>
              <w:t xml:space="preserve"> January 2026</w:t>
            </w:r>
          </w:p>
          <w:p w14:paraId="34E4DF51" w14:textId="17AAD51A" w:rsidR="00F02CF9" w:rsidRPr="00972E8A" w:rsidRDefault="00F02CF9" w:rsidP="00F02CF9">
            <w:pPr>
              <w:rPr>
                <w:bCs/>
                <w:szCs w:val="24"/>
              </w:rPr>
            </w:pPr>
            <w:r>
              <w:rPr>
                <w:bCs/>
                <w:szCs w:val="24"/>
              </w:rPr>
              <w:t>4</w:t>
            </w:r>
            <w:r w:rsidRPr="007A4ECD">
              <w:rPr>
                <w:bCs/>
                <w:szCs w:val="24"/>
                <w:vertAlign w:val="superscript"/>
              </w:rPr>
              <w:t>th</w:t>
            </w:r>
            <w:r>
              <w:rPr>
                <w:bCs/>
                <w:szCs w:val="24"/>
              </w:rPr>
              <w:t xml:space="preserve"> February 2026</w:t>
            </w:r>
          </w:p>
        </w:tc>
        <w:tc>
          <w:tcPr>
            <w:tcW w:w="2996" w:type="dxa"/>
            <w:shd w:val="clear" w:color="auto" w:fill="FFFFFF" w:themeFill="background1"/>
          </w:tcPr>
          <w:p w14:paraId="09B5FB8B" w14:textId="77777777" w:rsidR="00F02CF9" w:rsidRDefault="00F02CF9" w:rsidP="00F02CF9">
            <w:pPr>
              <w:rPr>
                <w:bCs/>
                <w:szCs w:val="24"/>
              </w:rPr>
            </w:pPr>
            <w:r>
              <w:rPr>
                <w:bCs/>
                <w:szCs w:val="24"/>
              </w:rPr>
              <w:t>Further information requested at the January Meeting.</w:t>
            </w:r>
          </w:p>
          <w:p w14:paraId="4B57EB22" w14:textId="23987C77" w:rsidR="00F02CF9" w:rsidRPr="00972E8A" w:rsidRDefault="00F02CF9" w:rsidP="00F02CF9">
            <w:pPr>
              <w:rPr>
                <w:bCs/>
                <w:szCs w:val="24"/>
              </w:rPr>
            </w:pPr>
            <w:r>
              <w:rPr>
                <w:bCs/>
                <w:szCs w:val="24"/>
              </w:rPr>
              <w:t xml:space="preserve">This was supplied for the February </w:t>
            </w:r>
            <w:proofErr w:type="gramStart"/>
            <w:r>
              <w:rPr>
                <w:bCs/>
                <w:szCs w:val="24"/>
              </w:rPr>
              <w:t>meeting,</w:t>
            </w:r>
            <w:proofErr w:type="gramEnd"/>
            <w:r>
              <w:rPr>
                <w:bCs/>
                <w:szCs w:val="24"/>
              </w:rPr>
              <w:t xml:space="preserve"> the recommendation was made by the Group </w:t>
            </w:r>
            <w:r w:rsidR="00560EEE">
              <w:rPr>
                <w:bCs/>
                <w:szCs w:val="24"/>
              </w:rPr>
              <w:t>for the Online Consultation facility to remain open during Protected Learning Time Sessions.</w:t>
            </w:r>
          </w:p>
        </w:tc>
      </w:tr>
      <w:tr w:rsidR="001C595C" w:rsidRPr="00972E8A" w14:paraId="551603BF" w14:textId="77777777" w:rsidTr="00904F72">
        <w:tc>
          <w:tcPr>
            <w:tcW w:w="9016" w:type="dxa"/>
            <w:gridSpan w:val="6"/>
            <w:shd w:val="clear" w:color="auto" w:fill="C6D9F1" w:themeFill="text2" w:themeFillTint="33"/>
          </w:tcPr>
          <w:p w14:paraId="034A511A" w14:textId="77777777" w:rsidR="001C595C" w:rsidRPr="00972E8A" w:rsidRDefault="001C595C" w:rsidP="001C595C">
            <w:pPr>
              <w:rPr>
                <w:b/>
                <w:szCs w:val="24"/>
              </w:rPr>
            </w:pPr>
            <w:r w:rsidRPr="00972E8A">
              <w:rPr>
                <w:b/>
                <w:szCs w:val="24"/>
              </w:rPr>
              <w:t>Conflicts of interest identified</w:t>
            </w:r>
          </w:p>
        </w:tc>
      </w:tr>
      <w:tr w:rsidR="001C595C" w:rsidRPr="00972E8A" w14:paraId="6F988758" w14:textId="77777777" w:rsidTr="00904F72">
        <w:tc>
          <w:tcPr>
            <w:tcW w:w="9016" w:type="dxa"/>
            <w:gridSpan w:val="6"/>
            <w:shd w:val="clear" w:color="auto" w:fill="FFFFFF" w:themeFill="background1"/>
          </w:tcPr>
          <w:p w14:paraId="0982EF42" w14:textId="252B0E0D" w:rsidR="001C595C" w:rsidRPr="00972E8A" w:rsidRDefault="00B822DB" w:rsidP="001C595C">
            <w:pPr>
              <w:rPr>
                <w:bCs/>
                <w:szCs w:val="24"/>
              </w:rPr>
            </w:pPr>
            <w:r>
              <w:rPr>
                <w:bCs/>
                <w:szCs w:val="24"/>
              </w:rPr>
              <w:t xml:space="preserve">General Practitioners </w:t>
            </w:r>
          </w:p>
          <w:p w14:paraId="489AA429" w14:textId="5A765AB6" w:rsidR="00266DD3" w:rsidRPr="00972E8A" w:rsidRDefault="00266DD3" w:rsidP="001C595C">
            <w:pPr>
              <w:rPr>
                <w:b/>
                <w:szCs w:val="24"/>
              </w:rPr>
            </w:pPr>
          </w:p>
        </w:tc>
      </w:tr>
      <w:tr w:rsidR="001C595C" w:rsidRPr="00972E8A" w14:paraId="4569AF41" w14:textId="77777777" w:rsidTr="00904F72">
        <w:tc>
          <w:tcPr>
            <w:tcW w:w="9016" w:type="dxa"/>
            <w:gridSpan w:val="6"/>
            <w:shd w:val="clear" w:color="auto" w:fill="C6D9F1" w:themeFill="text2" w:themeFillTint="33"/>
          </w:tcPr>
          <w:p w14:paraId="498D1BA0" w14:textId="77777777" w:rsidR="001C595C" w:rsidRPr="00972E8A" w:rsidRDefault="001C595C" w:rsidP="001C595C">
            <w:pPr>
              <w:rPr>
                <w:b/>
                <w:szCs w:val="24"/>
              </w:rPr>
            </w:pPr>
            <w:r w:rsidRPr="00972E8A">
              <w:rPr>
                <w:b/>
                <w:szCs w:val="24"/>
              </w:rPr>
              <w:t xml:space="preserve">Implications </w:t>
            </w:r>
          </w:p>
        </w:tc>
      </w:tr>
      <w:tr w:rsidR="001F3F3D" w:rsidRPr="00972E8A" w14:paraId="5D9BB821" w14:textId="77777777" w:rsidTr="00904F72">
        <w:tc>
          <w:tcPr>
            <w:tcW w:w="2999" w:type="dxa"/>
            <w:shd w:val="clear" w:color="auto" w:fill="FFFFFF" w:themeFill="background1"/>
          </w:tcPr>
          <w:p w14:paraId="02751A32" w14:textId="5466A1BB" w:rsidR="001F3F3D" w:rsidRPr="008B0601" w:rsidRDefault="008B0601" w:rsidP="001C595C">
            <w:pPr>
              <w:rPr>
                <w:b/>
                <w:iCs/>
                <w:szCs w:val="24"/>
              </w:rPr>
            </w:pPr>
            <w:r>
              <w:rPr>
                <w:iCs/>
                <w:szCs w:val="24"/>
              </w:rPr>
              <w:t>(</w:t>
            </w:r>
            <w:r w:rsidR="001F3F3D" w:rsidRPr="008B0601">
              <w:rPr>
                <w:iCs/>
                <w:szCs w:val="24"/>
              </w:rPr>
              <w:t>If yes, please provide a brief risk description and reference number</w:t>
            </w:r>
            <w:r>
              <w:rPr>
                <w:iCs/>
                <w:szCs w:val="24"/>
              </w:rPr>
              <w:t>)</w:t>
            </w:r>
          </w:p>
        </w:tc>
        <w:tc>
          <w:tcPr>
            <w:tcW w:w="713" w:type="dxa"/>
            <w:shd w:val="clear" w:color="auto" w:fill="FFFFFF" w:themeFill="background1"/>
          </w:tcPr>
          <w:p w14:paraId="617AB1E0" w14:textId="68278B6A" w:rsidR="001F3F3D" w:rsidRPr="00972E8A" w:rsidRDefault="001F3F3D" w:rsidP="001C595C">
            <w:pPr>
              <w:rPr>
                <w:b/>
                <w:szCs w:val="24"/>
              </w:rPr>
            </w:pPr>
            <w:r w:rsidRPr="00972E8A">
              <w:rPr>
                <w:b/>
                <w:szCs w:val="24"/>
              </w:rPr>
              <w:t>Y</w:t>
            </w:r>
            <w:r w:rsidR="00266DD3" w:rsidRPr="00972E8A">
              <w:rPr>
                <w:b/>
                <w:szCs w:val="24"/>
              </w:rPr>
              <w:t>es</w:t>
            </w:r>
          </w:p>
        </w:tc>
        <w:tc>
          <w:tcPr>
            <w:tcW w:w="702" w:type="dxa"/>
            <w:shd w:val="clear" w:color="auto" w:fill="FFFFFF" w:themeFill="background1"/>
          </w:tcPr>
          <w:p w14:paraId="3B06C3AE" w14:textId="69D517A9" w:rsidR="001F3F3D" w:rsidRPr="00972E8A" w:rsidRDefault="001F3F3D" w:rsidP="001C595C">
            <w:pPr>
              <w:rPr>
                <w:b/>
                <w:szCs w:val="24"/>
              </w:rPr>
            </w:pPr>
            <w:r w:rsidRPr="00972E8A">
              <w:rPr>
                <w:b/>
                <w:szCs w:val="24"/>
              </w:rPr>
              <w:t>N</w:t>
            </w:r>
            <w:r w:rsidR="00266DD3" w:rsidRPr="00972E8A">
              <w:rPr>
                <w:b/>
                <w:szCs w:val="24"/>
              </w:rPr>
              <w:t>o</w:t>
            </w:r>
          </w:p>
        </w:tc>
        <w:tc>
          <w:tcPr>
            <w:tcW w:w="704" w:type="dxa"/>
            <w:shd w:val="clear" w:color="auto" w:fill="FFFFFF" w:themeFill="background1"/>
          </w:tcPr>
          <w:p w14:paraId="0D8DCADF" w14:textId="77777777" w:rsidR="001F3F3D" w:rsidRPr="00972E8A" w:rsidRDefault="001F3F3D" w:rsidP="001C595C">
            <w:pPr>
              <w:rPr>
                <w:b/>
                <w:szCs w:val="24"/>
              </w:rPr>
            </w:pPr>
            <w:r w:rsidRPr="00972E8A">
              <w:rPr>
                <w:b/>
                <w:szCs w:val="24"/>
              </w:rPr>
              <w:t>N/A</w:t>
            </w:r>
          </w:p>
        </w:tc>
        <w:tc>
          <w:tcPr>
            <w:tcW w:w="3898" w:type="dxa"/>
            <w:gridSpan w:val="2"/>
            <w:shd w:val="clear" w:color="auto" w:fill="FFFFFF" w:themeFill="background1"/>
          </w:tcPr>
          <w:p w14:paraId="13AC8CA1" w14:textId="77777777" w:rsidR="001F3F3D" w:rsidRPr="00972E8A" w:rsidRDefault="001F3F3D" w:rsidP="001C595C">
            <w:pPr>
              <w:rPr>
                <w:b/>
                <w:szCs w:val="24"/>
              </w:rPr>
            </w:pPr>
            <w:r w:rsidRPr="00972E8A">
              <w:rPr>
                <w:b/>
                <w:szCs w:val="24"/>
              </w:rPr>
              <w:t>Comments</w:t>
            </w:r>
          </w:p>
        </w:tc>
      </w:tr>
      <w:tr w:rsidR="001F3F3D" w:rsidRPr="00972E8A" w14:paraId="7628B833" w14:textId="77777777" w:rsidTr="00904F72">
        <w:tc>
          <w:tcPr>
            <w:tcW w:w="2999" w:type="dxa"/>
            <w:shd w:val="clear" w:color="auto" w:fill="FFFFFF" w:themeFill="background1"/>
          </w:tcPr>
          <w:p w14:paraId="39F3BA4E" w14:textId="77777777" w:rsidR="001F3F3D" w:rsidRPr="00972E8A" w:rsidRDefault="001F3F3D" w:rsidP="001F3F3D">
            <w:pPr>
              <w:shd w:val="clear" w:color="auto" w:fill="FFFFFF" w:themeFill="background1"/>
              <w:rPr>
                <w:szCs w:val="24"/>
              </w:rPr>
            </w:pPr>
            <w:r w:rsidRPr="00972E8A">
              <w:rPr>
                <w:szCs w:val="24"/>
              </w:rPr>
              <w:t>Quality impact assessment completed</w:t>
            </w:r>
          </w:p>
        </w:tc>
        <w:tc>
          <w:tcPr>
            <w:tcW w:w="713" w:type="dxa"/>
            <w:shd w:val="clear" w:color="auto" w:fill="FFFFFF" w:themeFill="background1"/>
          </w:tcPr>
          <w:p w14:paraId="563F26E4" w14:textId="71A70A35" w:rsidR="001F3F3D" w:rsidRPr="00972E8A" w:rsidRDefault="00FA215D" w:rsidP="001F3F3D">
            <w:pPr>
              <w:shd w:val="clear" w:color="auto" w:fill="FFFFFF" w:themeFill="background1"/>
              <w:rPr>
                <w:szCs w:val="24"/>
              </w:rPr>
            </w:pPr>
            <w:r>
              <w:rPr>
                <w:szCs w:val="24"/>
              </w:rPr>
              <w:t>X</w:t>
            </w:r>
          </w:p>
        </w:tc>
        <w:tc>
          <w:tcPr>
            <w:tcW w:w="702" w:type="dxa"/>
            <w:shd w:val="clear" w:color="auto" w:fill="FFFFFF" w:themeFill="background1"/>
          </w:tcPr>
          <w:p w14:paraId="4FC3C986"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5170B93" w14:textId="77777777" w:rsidR="001F3F3D" w:rsidRPr="00972E8A" w:rsidRDefault="001F3F3D" w:rsidP="001F3F3D">
            <w:pPr>
              <w:shd w:val="clear" w:color="auto" w:fill="FFFFFF" w:themeFill="background1"/>
              <w:rPr>
                <w:szCs w:val="24"/>
              </w:rPr>
            </w:pPr>
          </w:p>
        </w:tc>
        <w:tc>
          <w:tcPr>
            <w:tcW w:w="3898" w:type="dxa"/>
            <w:gridSpan w:val="2"/>
            <w:shd w:val="clear" w:color="auto" w:fill="FFFFFF" w:themeFill="background1"/>
          </w:tcPr>
          <w:p w14:paraId="582D4985" w14:textId="77777777" w:rsidR="001F3F3D" w:rsidRDefault="00760B06" w:rsidP="001F3F3D">
            <w:pPr>
              <w:shd w:val="clear" w:color="auto" w:fill="FFFFFF" w:themeFill="background1"/>
              <w:rPr>
                <w:szCs w:val="24"/>
              </w:rPr>
            </w:pPr>
            <w:r>
              <w:rPr>
                <w:szCs w:val="24"/>
              </w:rPr>
              <w:t>QIA sent through to the PMO</w:t>
            </w:r>
            <w:r w:rsidR="00EB4CE8">
              <w:rPr>
                <w:szCs w:val="24"/>
              </w:rPr>
              <w:t xml:space="preserve"> for approval</w:t>
            </w:r>
          </w:p>
          <w:bookmarkStart w:id="0" w:name="_MON_1833454798"/>
          <w:bookmarkEnd w:id="0"/>
          <w:p w14:paraId="0023BD7B" w14:textId="3EBCC642" w:rsidR="00EB4CE8" w:rsidRPr="00972E8A" w:rsidRDefault="00EB4CE8" w:rsidP="001F3F3D">
            <w:pPr>
              <w:shd w:val="clear" w:color="auto" w:fill="FFFFFF" w:themeFill="background1"/>
              <w:rPr>
                <w:szCs w:val="24"/>
              </w:rPr>
            </w:pPr>
            <w:r>
              <w:rPr>
                <w:szCs w:val="24"/>
              </w:rPr>
              <w:object w:dxaOrig="1508" w:dyaOrig="983" w14:anchorId="6B0EA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11" o:title=""/>
                </v:shape>
                <o:OLEObject Type="Embed" ProgID="Word.Document.12" ShapeID="_x0000_i1025" DrawAspect="Icon" ObjectID="_1834221529" r:id="rId12">
                  <o:FieldCodes>\s</o:FieldCodes>
                </o:OLEObject>
              </w:object>
            </w:r>
          </w:p>
        </w:tc>
      </w:tr>
      <w:tr w:rsidR="001F3F3D" w:rsidRPr="00972E8A" w14:paraId="6EEDA663" w14:textId="77777777" w:rsidTr="00904F72">
        <w:tc>
          <w:tcPr>
            <w:tcW w:w="2999" w:type="dxa"/>
            <w:shd w:val="clear" w:color="auto" w:fill="FFFFFF" w:themeFill="background1"/>
          </w:tcPr>
          <w:p w14:paraId="132F764A" w14:textId="77777777" w:rsidR="001F3F3D" w:rsidRPr="00972E8A" w:rsidRDefault="001F3F3D" w:rsidP="001F3F3D">
            <w:pPr>
              <w:shd w:val="clear" w:color="auto" w:fill="FFFFFF" w:themeFill="background1"/>
              <w:rPr>
                <w:szCs w:val="24"/>
              </w:rPr>
            </w:pPr>
            <w:r w:rsidRPr="00972E8A">
              <w:rPr>
                <w:szCs w:val="24"/>
              </w:rPr>
              <w:t>Equality impact assessment completed</w:t>
            </w:r>
          </w:p>
        </w:tc>
        <w:tc>
          <w:tcPr>
            <w:tcW w:w="713" w:type="dxa"/>
            <w:shd w:val="clear" w:color="auto" w:fill="FFFFFF" w:themeFill="background1"/>
          </w:tcPr>
          <w:p w14:paraId="1ED9BD31"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223BBF25"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6920A6B6" w14:textId="1654EEFB" w:rsidR="001F3F3D" w:rsidRPr="00972E8A" w:rsidRDefault="00FA215D" w:rsidP="001F3F3D">
            <w:pPr>
              <w:shd w:val="clear" w:color="auto" w:fill="FFFFFF" w:themeFill="background1"/>
              <w:rPr>
                <w:szCs w:val="24"/>
              </w:rPr>
            </w:pPr>
            <w:r>
              <w:rPr>
                <w:szCs w:val="24"/>
              </w:rPr>
              <w:t>X</w:t>
            </w:r>
          </w:p>
        </w:tc>
        <w:tc>
          <w:tcPr>
            <w:tcW w:w="3898" w:type="dxa"/>
            <w:gridSpan w:val="2"/>
            <w:shd w:val="clear" w:color="auto" w:fill="FFFFFF" w:themeFill="background1"/>
          </w:tcPr>
          <w:p w14:paraId="24A87DC5" w14:textId="77777777" w:rsidR="001F3F3D" w:rsidRPr="00972E8A" w:rsidRDefault="001F3F3D" w:rsidP="001F3F3D">
            <w:pPr>
              <w:shd w:val="clear" w:color="auto" w:fill="FFFFFF" w:themeFill="background1"/>
              <w:rPr>
                <w:szCs w:val="24"/>
              </w:rPr>
            </w:pPr>
          </w:p>
        </w:tc>
      </w:tr>
      <w:tr w:rsidR="001F3F3D" w:rsidRPr="00972E8A" w14:paraId="47AB07EE" w14:textId="77777777" w:rsidTr="00904F72">
        <w:tc>
          <w:tcPr>
            <w:tcW w:w="2999" w:type="dxa"/>
            <w:shd w:val="clear" w:color="auto" w:fill="FFFFFF" w:themeFill="background1"/>
          </w:tcPr>
          <w:p w14:paraId="2E150A2B" w14:textId="1EA34423" w:rsidR="001F3F3D" w:rsidRPr="00972E8A" w:rsidRDefault="00523A5E" w:rsidP="001F3F3D">
            <w:pPr>
              <w:shd w:val="clear" w:color="auto" w:fill="FFFFFF" w:themeFill="background1"/>
              <w:rPr>
                <w:szCs w:val="24"/>
              </w:rPr>
            </w:pPr>
            <w:r>
              <w:rPr>
                <w:szCs w:val="24"/>
              </w:rPr>
              <w:t>Data p</w:t>
            </w:r>
            <w:r w:rsidR="001F3F3D" w:rsidRPr="00972E8A">
              <w:rPr>
                <w:szCs w:val="24"/>
              </w:rPr>
              <w:t>rivacy impact assessment completed</w:t>
            </w:r>
          </w:p>
        </w:tc>
        <w:tc>
          <w:tcPr>
            <w:tcW w:w="713" w:type="dxa"/>
            <w:shd w:val="clear" w:color="auto" w:fill="FFFFFF" w:themeFill="background1"/>
          </w:tcPr>
          <w:p w14:paraId="7833E42A"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79C52992"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1BD8D23C" w14:textId="5360CF20" w:rsidR="001F3F3D" w:rsidRPr="00972E8A" w:rsidRDefault="00FA215D" w:rsidP="001F3F3D">
            <w:pPr>
              <w:shd w:val="clear" w:color="auto" w:fill="FFFFFF" w:themeFill="background1"/>
              <w:rPr>
                <w:szCs w:val="24"/>
              </w:rPr>
            </w:pPr>
            <w:r>
              <w:rPr>
                <w:szCs w:val="24"/>
              </w:rPr>
              <w:t>X</w:t>
            </w:r>
          </w:p>
        </w:tc>
        <w:tc>
          <w:tcPr>
            <w:tcW w:w="3898" w:type="dxa"/>
            <w:gridSpan w:val="2"/>
            <w:shd w:val="clear" w:color="auto" w:fill="FFFFFF" w:themeFill="background1"/>
          </w:tcPr>
          <w:p w14:paraId="6805F593" w14:textId="77777777" w:rsidR="001F3F3D" w:rsidRPr="00972E8A" w:rsidRDefault="001F3F3D" w:rsidP="001F3F3D">
            <w:pPr>
              <w:shd w:val="clear" w:color="auto" w:fill="FFFFFF" w:themeFill="background1"/>
              <w:rPr>
                <w:szCs w:val="24"/>
              </w:rPr>
            </w:pPr>
          </w:p>
        </w:tc>
      </w:tr>
      <w:tr w:rsidR="001F3F3D" w:rsidRPr="00972E8A" w14:paraId="399777E2" w14:textId="77777777" w:rsidTr="00904F72">
        <w:tc>
          <w:tcPr>
            <w:tcW w:w="2999" w:type="dxa"/>
            <w:shd w:val="clear" w:color="auto" w:fill="FFFFFF" w:themeFill="background1"/>
          </w:tcPr>
          <w:p w14:paraId="075C1526" w14:textId="77777777" w:rsidR="001F3F3D" w:rsidRPr="00972E8A" w:rsidRDefault="001F3F3D" w:rsidP="001F3F3D">
            <w:pPr>
              <w:shd w:val="clear" w:color="auto" w:fill="FFFFFF" w:themeFill="background1"/>
              <w:rPr>
                <w:szCs w:val="24"/>
              </w:rPr>
            </w:pPr>
            <w:r w:rsidRPr="00972E8A">
              <w:rPr>
                <w:szCs w:val="24"/>
              </w:rPr>
              <w:t>Financial impact assessment completed</w:t>
            </w:r>
          </w:p>
        </w:tc>
        <w:tc>
          <w:tcPr>
            <w:tcW w:w="713" w:type="dxa"/>
            <w:shd w:val="clear" w:color="auto" w:fill="FFFFFF" w:themeFill="background1"/>
          </w:tcPr>
          <w:p w14:paraId="72A4048E"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194FACCE"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0A51FFF" w14:textId="43F6E474" w:rsidR="001F3F3D" w:rsidRPr="00972E8A" w:rsidRDefault="00FA215D" w:rsidP="001F3F3D">
            <w:pPr>
              <w:shd w:val="clear" w:color="auto" w:fill="FFFFFF" w:themeFill="background1"/>
              <w:rPr>
                <w:szCs w:val="24"/>
              </w:rPr>
            </w:pPr>
            <w:r>
              <w:rPr>
                <w:szCs w:val="24"/>
              </w:rPr>
              <w:t>X</w:t>
            </w:r>
          </w:p>
        </w:tc>
        <w:tc>
          <w:tcPr>
            <w:tcW w:w="3898" w:type="dxa"/>
            <w:gridSpan w:val="2"/>
            <w:shd w:val="clear" w:color="auto" w:fill="FFFFFF" w:themeFill="background1"/>
          </w:tcPr>
          <w:p w14:paraId="79C94636" w14:textId="77777777" w:rsidR="001F3F3D" w:rsidRPr="00972E8A" w:rsidRDefault="001F3F3D" w:rsidP="001F3F3D">
            <w:pPr>
              <w:shd w:val="clear" w:color="auto" w:fill="FFFFFF" w:themeFill="background1"/>
              <w:rPr>
                <w:szCs w:val="24"/>
              </w:rPr>
            </w:pPr>
          </w:p>
        </w:tc>
      </w:tr>
      <w:tr w:rsidR="001F3F3D" w:rsidRPr="00972E8A" w14:paraId="60375C5D" w14:textId="77777777" w:rsidTr="00904F72">
        <w:tc>
          <w:tcPr>
            <w:tcW w:w="2999" w:type="dxa"/>
            <w:shd w:val="clear" w:color="auto" w:fill="FFFFFF" w:themeFill="background1"/>
          </w:tcPr>
          <w:p w14:paraId="02DEF318" w14:textId="77777777" w:rsidR="001F3F3D" w:rsidRPr="00972E8A" w:rsidRDefault="001F3F3D" w:rsidP="001F3F3D">
            <w:pPr>
              <w:shd w:val="clear" w:color="auto" w:fill="FFFFFF" w:themeFill="background1"/>
              <w:rPr>
                <w:szCs w:val="24"/>
              </w:rPr>
            </w:pPr>
            <w:r w:rsidRPr="00972E8A">
              <w:rPr>
                <w:szCs w:val="24"/>
              </w:rPr>
              <w:t>Associated risks</w:t>
            </w:r>
          </w:p>
        </w:tc>
        <w:tc>
          <w:tcPr>
            <w:tcW w:w="713" w:type="dxa"/>
            <w:shd w:val="clear" w:color="auto" w:fill="FFFFFF" w:themeFill="background1"/>
          </w:tcPr>
          <w:p w14:paraId="3E2098F7"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03990CE2"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18FF9B8" w14:textId="77777777" w:rsidR="001F3F3D" w:rsidRPr="00972E8A" w:rsidRDefault="001F3F3D" w:rsidP="001F3F3D">
            <w:pPr>
              <w:shd w:val="clear" w:color="auto" w:fill="FFFFFF" w:themeFill="background1"/>
              <w:rPr>
                <w:szCs w:val="24"/>
              </w:rPr>
            </w:pPr>
          </w:p>
        </w:tc>
        <w:tc>
          <w:tcPr>
            <w:tcW w:w="3898" w:type="dxa"/>
            <w:gridSpan w:val="2"/>
            <w:shd w:val="clear" w:color="auto" w:fill="FFFFFF" w:themeFill="background1"/>
          </w:tcPr>
          <w:p w14:paraId="2B6BC37D" w14:textId="77777777" w:rsidR="001F3F3D" w:rsidRPr="00972E8A" w:rsidRDefault="001F3F3D" w:rsidP="001F3F3D">
            <w:pPr>
              <w:shd w:val="clear" w:color="auto" w:fill="FFFFFF" w:themeFill="background1"/>
              <w:rPr>
                <w:szCs w:val="24"/>
              </w:rPr>
            </w:pPr>
          </w:p>
        </w:tc>
      </w:tr>
      <w:tr w:rsidR="001F3F3D" w:rsidRPr="00972E8A" w14:paraId="69418540" w14:textId="77777777" w:rsidTr="00904F72">
        <w:tc>
          <w:tcPr>
            <w:tcW w:w="2999" w:type="dxa"/>
            <w:shd w:val="clear" w:color="auto" w:fill="FFFFFF" w:themeFill="background1"/>
          </w:tcPr>
          <w:p w14:paraId="46DF4057" w14:textId="7EF23F73" w:rsidR="001F3F3D" w:rsidRPr="00972E8A" w:rsidRDefault="001F3F3D" w:rsidP="001F3F3D">
            <w:pPr>
              <w:shd w:val="clear" w:color="auto" w:fill="FFFFFF" w:themeFill="background1"/>
              <w:rPr>
                <w:szCs w:val="24"/>
              </w:rPr>
            </w:pPr>
            <w:r w:rsidRPr="00972E8A">
              <w:rPr>
                <w:szCs w:val="24"/>
              </w:rPr>
              <w:t>Are associated risks detailed on the IC</w:t>
            </w:r>
            <w:r w:rsidR="00523A5E">
              <w:rPr>
                <w:szCs w:val="24"/>
              </w:rPr>
              <w:t>B</w:t>
            </w:r>
            <w:r w:rsidRPr="00972E8A">
              <w:rPr>
                <w:szCs w:val="24"/>
              </w:rPr>
              <w:t xml:space="preserve"> Risk Register?</w:t>
            </w:r>
          </w:p>
        </w:tc>
        <w:tc>
          <w:tcPr>
            <w:tcW w:w="713" w:type="dxa"/>
            <w:shd w:val="clear" w:color="auto" w:fill="FFFFFF" w:themeFill="background1"/>
          </w:tcPr>
          <w:p w14:paraId="7DB41A4D"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0161EDDE"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4EF14B9" w14:textId="77777777" w:rsidR="001F3F3D" w:rsidRPr="00972E8A" w:rsidRDefault="001F3F3D" w:rsidP="001F3F3D">
            <w:pPr>
              <w:shd w:val="clear" w:color="auto" w:fill="FFFFFF" w:themeFill="background1"/>
              <w:rPr>
                <w:szCs w:val="24"/>
              </w:rPr>
            </w:pPr>
          </w:p>
        </w:tc>
        <w:tc>
          <w:tcPr>
            <w:tcW w:w="3898" w:type="dxa"/>
            <w:gridSpan w:val="2"/>
            <w:shd w:val="clear" w:color="auto" w:fill="FFFFFF" w:themeFill="background1"/>
          </w:tcPr>
          <w:p w14:paraId="02FAC418" w14:textId="77777777" w:rsidR="001F3F3D" w:rsidRPr="00972E8A" w:rsidRDefault="001F3F3D" w:rsidP="001F3F3D">
            <w:pPr>
              <w:shd w:val="clear" w:color="auto" w:fill="FFFFFF" w:themeFill="background1"/>
              <w:rPr>
                <w:szCs w:val="24"/>
              </w:rPr>
            </w:pPr>
          </w:p>
        </w:tc>
      </w:tr>
    </w:tbl>
    <w:p w14:paraId="11A1D71D" w14:textId="0F8FB4A6" w:rsidR="001C595C" w:rsidRPr="00972E8A" w:rsidRDefault="001C595C" w:rsidP="001F3F3D">
      <w:pPr>
        <w:pStyle w:val="Numberlist"/>
        <w:numPr>
          <w:ilvl w:val="0"/>
          <w:numId w:val="0"/>
        </w:numPr>
        <w:shd w:val="clear" w:color="auto" w:fill="FFFFFF" w:themeFill="background1"/>
        <w:rPr>
          <w:szCs w:val="24"/>
        </w:rPr>
      </w:pPr>
    </w:p>
    <w:tbl>
      <w:tblPr>
        <w:tblStyle w:val="TableGrid"/>
        <w:tblW w:w="0" w:type="auto"/>
        <w:tblLook w:val="04A0" w:firstRow="1" w:lastRow="0" w:firstColumn="1" w:lastColumn="0" w:noHBand="0" w:noVBand="1"/>
      </w:tblPr>
      <w:tblGrid>
        <w:gridCol w:w="2972"/>
        <w:gridCol w:w="6044"/>
      </w:tblGrid>
      <w:tr w:rsidR="00904F72" w:rsidRPr="00972E8A" w14:paraId="61D00D71" w14:textId="77777777" w:rsidTr="00904F72">
        <w:tc>
          <w:tcPr>
            <w:tcW w:w="2972" w:type="dxa"/>
            <w:shd w:val="clear" w:color="auto" w:fill="B8CCE4" w:themeFill="accent1" w:themeFillTint="66"/>
          </w:tcPr>
          <w:p w14:paraId="1D2C3BB1" w14:textId="6FBE339A" w:rsidR="00904F72" w:rsidRPr="00972E8A" w:rsidRDefault="00904F72" w:rsidP="001F3F3D">
            <w:pPr>
              <w:pStyle w:val="Numberlist"/>
              <w:numPr>
                <w:ilvl w:val="0"/>
                <w:numId w:val="0"/>
              </w:numPr>
              <w:rPr>
                <w:b/>
                <w:bCs/>
                <w:szCs w:val="24"/>
              </w:rPr>
            </w:pPr>
            <w:r w:rsidRPr="00972E8A">
              <w:rPr>
                <w:b/>
                <w:bCs/>
                <w:szCs w:val="24"/>
              </w:rPr>
              <w:t>Report authorised by:</w:t>
            </w:r>
          </w:p>
        </w:tc>
        <w:tc>
          <w:tcPr>
            <w:tcW w:w="6044" w:type="dxa"/>
          </w:tcPr>
          <w:p w14:paraId="44FABA76" w14:textId="4F0453D8" w:rsidR="00EA2950" w:rsidRPr="00972E8A" w:rsidRDefault="009D28CD" w:rsidP="006B4B7D">
            <w:pPr>
              <w:pStyle w:val="Numberlist"/>
              <w:numPr>
                <w:ilvl w:val="0"/>
                <w:numId w:val="0"/>
              </w:numPr>
              <w:tabs>
                <w:tab w:val="left" w:pos="1753"/>
              </w:tabs>
              <w:rPr>
                <w:szCs w:val="24"/>
              </w:rPr>
            </w:pPr>
            <w:r>
              <w:rPr>
                <w:bCs/>
                <w:szCs w:val="24"/>
              </w:rPr>
              <w:t>Craig Harris</w:t>
            </w:r>
            <w:r w:rsidR="00D42878">
              <w:rPr>
                <w:bCs/>
                <w:szCs w:val="24"/>
              </w:rPr>
              <w:t xml:space="preserve">, Chief </w:t>
            </w:r>
            <w:r w:rsidR="00711452">
              <w:rPr>
                <w:bCs/>
                <w:szCs w:val="24"/>
              </w:rPr>
              <w:t>Operating Officer and Chief Commissioner</w:t>
            </w:r>
            <w:r w:rsidR="00D42878">
              <w:rPr>
                <w:bCs/>
                <w:szCs w:val="24"/>
              </w:rPr>
              <w:t xml:space="preserve"> </w:t>
            </w:r>
          </w:p>
        </w:tc>
      </w:tr>
    </w:tbl>
    <w:p w14:paraId="173A742F" w14:textId="40037DDF" w:rsidR="00904F72" w:rsidRPr="00972E8A" w:rsidRDefault="00904F72" w:rsidP="00266DD3">
      <w:pPr>
        <w:spacing w:after="0" w:line="240" w:lineRule="auto"/>
        <w:rPr>
          <w:rFonts w:eastAsiaTheme="minorEastAsia"/>
          <w:b/>
          <w:bCs/>
          <w:color w:val="000000" w:themeColor="text1"/>
          <w:kern w:val="24"/>
          <w:szCs w:val="24"/>
          <w:lang w:val="en-US" w:eastAsia="en-GB"/>
        </w:rPr>
      </w:pPr>
    </w:p>
    <w:p w14:paraId="0370A28A" w14:textId="690B8B49" w:rsidR="00DA478E" w:rsidRPr="00972E8A" w:rsidRDefault="00DA478E">
      <w:pPr>
        <w:rPr>
          <w:rFonts w:eastAsiaTheme="minorEastAsia"/>
          <w:b/>
          <w:bCs/>
          <w:color w:val="000000" w:themeColor="text1"/>
          <w:kern w:val="24"/>
          <w:szCs w:val="24"/>
          <w:lang w:val="en-US" w:eastAsia="en-GB"/>
        </w:rPr>
      </w:pPr>
      <w:r w:rsidRPr="00972E8A">
        <w:rPr>
          <w:rFonts w:eastAsiaTheme="minorEastAsia"/>
          <w:b/>
          <w:bCs/>
          <w:color w:val="000000" w:themeColor="text1"/>
          <w:kern w:val="24"/>
          <w:szCs w:val="24"/>
          <w:lang w:val="en-US" w:eastAsia="en-GB"/>
        </w:rPr>
        <w:br w:type="page"/>
      </w:r>
    </w:p>
    <w:p w14:paraId="63C9F2FF" w14:textId="77777777" w:rsidR="002353E0" w:rsidRPr="007D56AD" w:rsidRDefault="002353E0" w:rsidP="002353E0">
      <w:pPr>
        <w:pStyle w:val="Heading1"/>
        <w:spacing w:before="120" w:line="240" w:lineRule="auto"/>
        <w:jc w:val="center"/>
        <w:rPr>
          <w:szCs w:val="36"/>
        </w:rPr>
      </w:pPr>
      <w:r w:rsidRPr="007D56AD">
        <w:rPr>
          <w:szCs w:val="36"/>
        </w:rPr>
        <w:lastRenderedPageBreak/>
        <w:t>Primary Care Contracts Sub-committee</w:t>
      </w:r>
    </w:p>
    <w:p w14:paraId="557BFF92" w14:textId="77777777" w:rsidR="002353E0" w:rsidRPr="002B6BA0" w:rsidRDefault="002353E0" w:rsidP="002353E0">
      <w:pPr>
        <w:pStyle w:val="Heading1"/>
        <w:spacing w:before="120" w:line="240" w:lineRule="auto"/>
        <w:jc w:val="center"/>
        <w:rPr>
          <w:szCs w:val="36"/>
        </w:rPr>
      </w:pPr>
      <w:r w:rsidRPr="002B6BA0">
        <w:rPr>
          <w:szCs w:val="36"/>
        </w:rPr>
        <w:t xml:space="preserve">- </w:t>
      </w:r>
      <w:r>
        <w:rPr>
          <w:szCs w:val="36"/>
        </w:rPr>
        <w:t>12</w:t>
      </w:r>
      <w:r w:rsidRPr="007D56AD">
        <w:rPr>
          <w:szCs w:val="36"/>
          <w:vertAlign w:val="superscript"/>
        </w:rPr>
        <w:t>th</w:t>
      </w:r>
      <w:r>
        <w:rPr>
          <w:szCs w:val="36"/>
        </w:rPr>
        <w:t xml:space="preserve"> March 2026</w:t>
      </w:r>
    </w:p>
    <w:p w14:paraId="31C3A0EF" w14:textId="34C40F26" w:rsidR="00533AB0" w:rsidRDefault="00533AB0" w:rsidP="00533AB0">
      <w:pPr>
        <w:spacing w:after="0"/>
        <w:ind w:left="-993" w:right="-897"/>
        <w:jc w:val="center"/>
        <w:rPr>
          <w:b/>
          <w:szCs w:val="24"/>
        </w:rPr>
      </w:pPr>
      <w:r>
        <w:rPr>
          <w:b/>
          <w:noProof/>
          <w:szCs w:val="24"/>
        </w:rPr>
        <mc:AlternateContent>
          <mc:Choice Requires="wps">
            <w:drawing>
              <wp:anchor distT="0" distB="0" distL="114300" distR="114300" simplePos="0" relativeHeight="251658240" behindDoc="0" locked="0" layoutInCell="1" allowOverlap="1" wp14:anchorId="3901CEDC" wp14:editId="1569A631">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w:pict>
              <v:line w14:anchorId="3B08F2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2pt" to="4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" strokecolor="#558ed5" strokeweight="2.25pt"/>
            </w:pict>
          </mc:Fallback>
        </mc:AlternateContent>
      </w:r>
    </w:p>
    <w:p w14:paraId="2454F46D" w14:textId="77777777" w:rsidR="00533AB0" w:rsidRDefault="00533AB0" w:rsidP="006B4B7D">
      <w:pPr>
        <w:pStyle w:val="NormalWeb"/>
        <w:spacing w:after="0"/>
        <w:jc w:val="center"/>
        <w:rPr>
          <w:rFonts w:ascii="Arial" w:eastAsiaTheme="minorEastAsia" w:hAnsi="Arial" w:cs="Arial"/>
          <w:b/>
          <w:bCs/>
          <w:color w:val="000000" w:themeColor="text1"/>
          <w:kern w:val="24"/>
          <w:sz w:val="22"/>
          <w:lang w:val="en-US" w:eastAsia="en-GB"/>
        </w:rPr>
      </w:pPr>
    </w:p>
    <w:p w14:paraId="02578FCF" w14:textId="306FC8A9" w:rsidR="006B4B7D" w:rsidRPr="002353E0" w:rsidRDefault="002353E0" w:rsidP="006B4B7D">
      <w:pPr>
        <w:spacing w:after="0" w:line="240" w:lineRule="auto"/>
        <w:jc w:val="both"/>
        <w:rPr>
          <w:rFonts w:eastAsia="Times New Roman"/>
          <w:b/>
          <w:szCs w:val="24"/>
          <w:lang w:eastAsia="en-GB"/>
        </w:rPr>
      </w:pPr>
      <w:r w:rsidRPr="002353E0">
        <w:rPr>
          <w:b/>
          <w:sz w:val="28"/>
          <w:szCs w:val="28"/>
        </w:rPr>
        <w:t>Online Consultation Requirements during</w:t>
      </w:r>
      <w:r w:rsidRPr="002353E0">
        <w:rPr>
          <w:rFonts w:eastAsiaTheme="minorEastAsia"/>
          <w:b/>
          <w:color w:val="000000" w:themeColor="text1"/>
          <w:kern w:val="24"/>
          <w:szCs w:val="24"/>
          <w:lang w:val="en-US" w:eastAsia="en-GB"/>
        </w:rPr>
        <w:t> </w:t>
      </w:r>
      <w:r w:rsidRPr="002353E0">
        <w:rPr>
          <w:b/>
          <w:sz w:val="28"/>
          <w:szCs w:val="28"/>
        </w:rPr>
        <w:t>Protected Learning Time Sessions</w:t>
      </w:r>
      <w:r w:rsidR="006B4B7D" w:rsidRPr="002353E0">
        <w:rPr>
          <w:rFonts w:eastAsiaTheme="minorEastAsia"/>
          <w:b/>
          <w:color w:val="000000" w:themeColor="text1"/>
          <w:kern w:val="24"/>
          <w:szCs w:val="24"/>
          <w:lang w:val="en-US" w:eastAsia="en-GB"/>
        </w:rPr>
        <w:t> </w:t>
      </w:r>
    </w:p>
    <w:p w14:paraId="743496B1" w14:textId="77777777" w:rsidR="006B4B7D" w:rsidRPr="00972E8A" w:rsidRDefault="006B4B7D" w:rsidP="006B4B7D">
      <w:pPr>
        <w:spacing w:after="0" w:line="240" w:lineRule="auto"/>
        <w:jc w:val="both"/>
        <w:rPr>
          <w:rFonts w:eastAsia="Times New Roman"/>
          <w:szCs w:val="24"/>
          <w:lang w:eastAsia="en-GB"/>
        </w:rPr>
      </w:pPr>
      <w:r w:rsidRPr="006B4B7D">
        <w:rPr>
          <w:rFonts w:eastAsiaTheme="minorEastAsia"/>
          <w:b/>
          <w:bCs/>
          <w:color w:val="000000" w:themeColor="text1"/>
          <w:kern w:val="24"/>
          <w:sz w:val="22"/>
          <w:lang w:val="en-US" w:eastAsia="en-GB"/>
        </w:rPr>
        <w:t> </w:t>
      </w:r>
    </w:p>
    <w:p w14:paraId="208601BC" w14:textId="732F93E0" w:rsidR="006B4B7D" w:rsidRPr="00972E8A" w:rsidRDefault="006B4B7D" w:rsidP="008B0601">
      <w:pPr>
        <w:tabs>
          <w:tab w:val="left" w:pos="565"/>
        </w:tabs>
        <w:spacing w:after="0" w:line="240" w:lineRule="auto"/>
        <w:rPr>
          <w:rFonts w:eastAsia="Times New Roman"/>
          <w:szCs w:val="24"/>
          <w:lang w:eastAsia="en-GB"/>
        </w:rPr>
      </w:pPr>
      <w:r w:rsidRPr="00972E8A">
        <w:rPr>
          <w:rFonts w:eastAsiaTheme="minorEastAsia"/>
          <w:b/>
          <w:bCs/>
          <w:color w:val="000000" w:themeColor="text1"/>
          <w:kern w:val="24"/>
          <w:szCs w:val="24"/>
          <w:lang w:val="en-US" w:eastAsia="en-GB"/>
        </w:rPr>
        <w:t>1.</w:t>
      </w:r>
      <w:r w:rsidRPr="00972E8A">
        <w:rPr>
          <w:rFonts w:eastAsiaTheme="minorEastAsia"/>
          <w:b/>
          <w:bCs/>
          <w:color w:val="000000" w:themeColor="text1"/>
          <w:kern w:val="24"/>
          <w:szCs w:val="24"/>
          <w:lang w:val="en-US" w:eastAsia="en-GB"/>
        </w:rPr>
        <w:tab/>
        <w:t>Introduction</w:t>
      </w:r>
    </w:p>
    <w:p w14:paraId="4FFD5666" w14:textId="77777777" w:rsidR="006B4B7D" w:rsidRPr="00972E8A" w:rsidRDefault="006B4B7D" w:rsidP="008B0601">
      <w:pPr>
        <w:spacing w:after="0" w:line="240" w:lineRule="auto"/>
        <w:rPr>
          <w:rFonts w:eastAsia="Times New Roman"/>
          <w:szCs w:val="24"/>
          <w:lang w:eastAsia="en-GB"/>
        </w:rPr>
      </w:pPr>
      <w:r w:rsidRPr="00972E8A">
        <w:rPr>
          <w:rFonts w:eastAsiaTheme="minorEastAsia"/>
          <w:b/>
          <w:bCs/>
          <w:color w:val="000000" w:themeColor="text1"/>
          <w:kern w:val="24"/>
          <w:szCs w:val="24"/>
          <w:lang w:val="en-US" w:eastAsia="en-GB"/>
        </w:rPr>
        <w:t> </w:t>
      </w:r>
    </w:p>
    <w:p w14:paraId="1BD42CCE" w14:textId="77777777" w:rsidR="0034036C" w:rsidRPr="002168C4" w:rsidRDefault="0034036C" w:rsidP="0034036C">
      <w:pPr>
        <w:numPr>
          <w:ilvl w:val="1"/>
          <w:numId w:val="15"/>
        </w:numPr>
        <w:tabs>
          <w:tab w:val="left" w:pos="565"/>
        </w:tabs>
        <w:spacing w:after="0" w:line="240" w:lineRule="auto"/>
        <w:ind w:left="0" w:firstLine="0"/>
        <w:jc w:val="both"/>
        <w:rPr>
          <w:rFonts w:eastAsiaTheme="minorEastAsia"/>
          <w:kern w:val="24"/>
          <w:szCs w:val="24"/>
          <w:lang w:val="en-US" w:eastAsia="en-GB"/>
        </w:rPr>
      </w:pPr>
      <w:r w:rsidRPr="002168C4">
        <w:rPr>
          <w:rFonts w:eastAsiaTheme="minorEastAsia"/>
          <w:kern w:val="24"/>
          <w:szCs w:val="24"/>
          <w:lang w:val="en-US" w:eastAsia="en-GB"/>
        </w:rPr>
        <w:t>In April 2025 NHS England stated that one of their key interventions in the government’s ambition to end the 8:00am scramble at the GP Practices was for patients to have an equitable experience no matter whether they contacted their practice by phone, online or by walking in.</w:t>
      </w:r>
    </w:p>
    <w:p w14:paraId="35C789E4" w14:textId="77777777" w:rsidR="0034036C" w:rsidRPr="002168C4" w:rsidRDefault="0034036C" w:rsidP="0034036C">
      <w:pPr>
        <w:tabs>
          <w:tab w:val="left" w:pos="565"/>
        </w:tabs>
        <w:spacing w:after="0" w:line="240" w:lineRule="auto"/>
        <w:jc w:val="both"/>
        <w:rPr>
          <w:rFonts w:eastAsiaTheme="minorEastAsia"/>
          <w:kern w:val="24"/>
          <w:szCs w:val="24"/>
          <w:lang w:val="en-US" w:eastAsia="en-GB"/>
        </w:rPr>
      </w:pPr>
    </w:p>
    <w:p w14:paraId="4301CC5D" w14:textId="77777777" w:rsidR="0034036C" w:rsidRPr="002168C4" w:rsidRDefault="0034036C" w:rsidP="0034036C">
      <w:pPr>
        <w:numPr>
          <w:ilvl w:val="1"/>
          <w:numId w:val="15"/>
        </w:numPr>
        <w:tabs>
          <w:tab w:val="left" w:pos="565"/>
        </w:tabs>
        <w:spacing w:after="0" w:line="240" w:lineRule="auto"/>
        <w:ind w:left="0" w:firstLine="0"/>
        <w:jc w:val="both"/>
        <w:rPr>
          <w:rFonts w:eastAsiaTheme="minorEastAsia"/>
          <w:kern w:val="24"/>
          <w:szCs w:val="24"/>
          <w:lang w:val="en-US" w:eastAsia="en-GB"/>
        </w:rPr>
      </w:pPr>
      <w:r w:rsidRPr="002168C4">
        <w:rPr>
          <w:rFonts w:eastAsiaTheme="minorEastAsia"/>
          <w:kern w:val="24"/>
          <w:szCs w:val="24"/>
          <w:lang w:val="en-US" w:eastAsia="en-GB"/>
        </w:rPr>
        <w:t>As part of this ambition practices are required to keep their online consultation tool open for the duration of core hours (08:00am to 6:30pm, Monday to Friday) for non-urgent appointment requests, medication queries and admin requests.  This became a contractual requirement with effect from 1</w:t>
      </w:r>
      <w:r w:rsidRPr="002168C4">
        <w:rPr>
          <w:rFonts w:eastAsiaTheme="minorEastAsia"/>
          <w:kern w:val="24"/>
          <w:szCs w:val="24"/>
          <w:vertAlign w:val="superscript"/>
          <w:lang w:val="en-US" w:eastAsia="en-GB"/>
        </w:rPr>
        <w:t>st</w:t>
      </w:r>
      <w:r w:rsidRPr="002168C4">
        <w:rPr>
          <w:rFonts w:eastAsiaTheme="minorEastAsia"/>
          <w:kern w:val="24"/>
          <w:szCs w:val="24"/>
          <w:lang w:val="en-US" w:eastAsia="en-GB"/>
        </w:rPr>
        <w:t xml:space="preserve"> October 2025.</w:t>
      </w:r>
    </w:p>
    <w:p w14:paraId="3709F223" w14:textId="77777777" w:rsidR="0034036C" w:rsidRPr="002168C4" w:rsidRDefault="0034036C" w:rsidP="0034036C">
      <w:pPr>
        <w:tabs>
          <w:tab w:val="left" w:pos="565"/>
        </w:tabs>
        <w:spacing w:after="0" w:line="240" w:lineRule="auto"/>
        <w:jc w:val="both"/>
        <w:rPr>
          <w:rFonts w:eastAsiaTheme="minorEastAsia"/>
          <w:kern w:val="24"/>
          <w:szCs w:val="24"/>
          <w:lang w:val="en-US" w:eastAsia="en-GB"/>
        </w:rPr>
      </w:pPr>
    </w:p>
    <w:p w14:paraId="139B0734" w14:textId="77777777" w:rsidR="0034036C" w:rsidRPr="002168C4" w:rsidRDefault="0034036C" w:rsidP="0034036C">
      <w:pPr>
        <w:numPr>
          <w:ilvl w:val="1"/>
          <w:numId w:val="15"/>
        </w:numPr>
        <w:tabs>
          <w:tab w:val="left" w:pos="565"/>
        </w:tabs>
        <w:spacing w:after="0" w:line="240" w:lineRule="auto"/>
        <w:ind w:left="0" w:firstLine="0"/>
        <w:jc w:val="both"/>
        <w:rPr>
          <w:rFonts w:eastAsiaTheme="minorEastAsia"/>
          <w:kern w:val="24"/>
          <w:szCs w:val="24"/>
          <w:lang w:val="en-US" w:eastAsia="en-GB"/>
        </w:rPr>
      </w:pPr>
      <w:r w:rsidRPr="002168C4">
        <w:rPr>
          <w:rFonts w:eastAsiaTheme="minorEastAsia"/>
          <w:kern w:val="24"/>
          <w:szCs w:val="24"/>
          <w:lang w:val="en-US" w:eastAsia="en-GB"/>
        </w:rPr>
        <w:t>Keeping the online consultation tool on during core hours formed part of the Capacity and Access Payments for 2024/2025.  The requirement was for “</w:t>
      </w:r>
      <w:r w:rsidRPr="002168C4">
        <w:rPr>
          <w:i/>
          <w:iCs/>
        </w:rPr>
        <w:t>Online consultation (OC) is available for patients to make administrative and clinical requests at least during core hours</w:t>
      </w:r>
      <w:r w:rsidRPr="002168C4">
        <w:t>.</w:t>
      </w:r>
      <w:r w:rsidRPr="002168C4">
        <w:rPr>
          <w:rFonts w:eastAsia="Times New Roman"/>
          <w:szCs w:val="24"/>
          <w:lang w:eastAsia="en-GB"/>
        </w:rPr>
        <w:t xml:space="preserve">”  All PCNs / Practices declared they were compliant with this and received funding accordingly.  </w:t>
      </w:r>
      <w:r w:rsidRPr="002168C4">
        <w:rPr>
          <w:rFonts w:eastAsiaTheme="minorEastAsia"/>
          <w:kern w:val="24"/>
          <w:szCs w:val="24"/>
          <w:lang w:val="en-US" w:eastAsia="en-GB"/>
        </w:rPr>
        <w:t>For 2025/2026 it is the same requirement.</w:t>
      </w:r>
    </w:p>
    <w:p w14:paraId="3D700B3D" w14:textId="77777777" w:rsidR="0034036C" w:rsidRPr="002168C4" w:rsidRDefault="0034036C" w:rsidP="0034036C">
      <w:pPr>
        <w:tabs>
          <w:tab w:val="left" w:pos="565"/>
        </w:tabs>
        <w:spacing w:after="0" w:line="240" w:lineRule="auto"/>
        <w:jc w:val="both"/>
        <w:rPr>
          <w:rFonts w:eastAsiaTheme="minorEastAsia"/>
          <w:kern w:val="24"/>
          <w:szCs w:val="24"/>
          <w:lang w:val="en-US" w:eastAsia="en-GB"/>
        </w:rPr>
      </w:pPr>
    </w:p>
    <w:p w14:paraId="0E6C0997" w14:textId="77777777" w:rsidR="0034036C" w:rsidRPr="002168C4" w:rsidRDefault="0034036C" w:rsidP="0034036C">
      <w:pPr>
        <w:numPr>
          <w:ilvl w:val="1"/>
          <w:numId w:val="15"/>
        </w:numPr>
        <w:tabs>
          <w:tab w:val="left" w:pos="565"/>
        </w:tabs>
        <w:spacing w:after="0" w:line="240" w:lineRule="auto"/>
        <w:ind w:left="0" w:firstLine="0"/>
        <w:jc w:val="both"/>
        <w:rPr>
          <w:rFonts w:eastAsiaTheme="minorEastAsia"/>
          <w:kern w:val="24"/>
          <w:szCs w:val="24"/>
          <w:lang w:val="en-US" w:eastAsia="en-GB"/>
        </w:rPr>
      </w:pPr>
      <w:r w:rsidRPr="002168C4">
        <w:rPr>
          <w:rFonts w:eastAsiaTheme="minorEastAsia"/>
          <w:kern w:val="24"/>
          <w:szCs w:val="24"/>
          <w:lang w:val="en-US" w:eastAsia="en-GB"/>
        </w:rPr>
        <w:t>Each sub-ICB area has nine Protected Learning Sessions per year.  Three of these are ICB delivered training / information sessions and the other six are arranged by the practice themselves.  For all these sessions the ICB contracts with out-of-hours providers or federations to provide telephone and medical cover from 1:00pm to 6:30pm when practices are closed.</w:t>
      </w:r>
    </w:p>
    <w:p w14:paraId="0A5CF206" w14:textId="77777777" w:rsidR="006B4B7D" w:rsidRPr="00972E8A" w:rsidRDefault="006B4B7D" w:rsidP="008B0601">
      <w:pPr>
        <w:spacing w:after="0" w:line="240" w:lineRule="auto"/>
        <w:ind w:left="720"/>
        <w:contextualSpacing/>
        <w:rPr>
          <w:rFonts w:eastAsia="Times New Roman"/>
          <w:szCs w:val="24"/>
          <w:lang w:eastAsia="en-GB"/>
        </w:rPr>
      </w:pPr>
    </w:p>
    <w:p w14:paraId="420C25BD" w14:textId="109B7120" w:rsidR="006B4B7D" w:rsidRPr="00415446" w:rsidRDefault="00C45997" w:rsidP="00415446">
      <w:pPr>
        <w:pStyle w:val="ListParagraph"/>
        <w:numPr>
          <w:ilvl w:val="0"/>
          <w:numId w:val="13"/>
        </w:numPr>
        <w:tabs>
          <w:tab w:val="left" w:pos="565"/>
        </w:tabs>
        <w:spacing w:after="0" w:line="240" w:lineRule="auto"/>
        <w:rPr>
          <w:rFonts w:eastAsiaTheme="minorEastAsia"/>
          <w:b/>
          <w:bCs/>
          <w:color w:val="000000" w:themeColor="text1"/>
          <w:kern w:val="24"/>
          <w:szCs w:val="24"/>
          <w:lang w:val="en-US" w:eastAsia="en-GB"/>
        </w:rPr>
      </w:pPr>
      <w:r w:rsidRPr="00415446">
        <w:rPr>
          <w:rFonts w:eastAsiaTheme="minorEastAsia"/>
          <w:b/>
          <w:bCs/>
          <w:color w:val="000000" w:themeColor="text1"/>
          <w:kern w:val="24"/>
          <w:szCs w:val="24"/>
          <w:lang w:val="en-US" w:eastAsia="en-GB"/>
        </w:rPr>
        <w:t xml:space="preserve">Definition </w:t>
      </w:r>
      <w:r w:rsidR="00886F67" w:rsidRPr="00415446">
        <w:rPr>
          <w:rFonts w:eastAsiaTheme="minorEastAsia"/>
          <w:b/>
          <w:bCs/>
          <w:color w:val="000000" w:themeColor="text1"/>
          <w:kern w:val="24"/>
          <w:szCs w:val="24"/>
          <w:lang w:val="en-US" w:eastAsia="en-GB"/>
        </w:rPr>
        <w:t>of Online Consultations Requests</w:t>
      </w:r>
    </w:p>
    <w:p w14:paraId="4CAD1264" w14:textId="77777777" w:rsidR="000F6F34" w:rsidRPr="00BF35E4" w:rsidRDefault="000F6F34" w:rsidP="000F6F34">
      <w:pPr>
        <w:tabs>
          <w:tab w:val="left" w:pos="565"/>
        </w:tabs>
        <w:spacing w:after="0" w:line="240" w:lineRule="auto"/>
        <w:ind w:left="720"/>
        <w:contextualSpacing/>
        <w:rPr>
          <w:rFonts w:eastAsia="Times New Roman"/>
          <w:szCs w:val="24"/>
          <w:lang w:eastAsia="en-GB"/>
        </w:rPr>
      </w:pPr>
    </w:p>
    <w:p w14:paraId="0216BBFB" w14:textId="26A76F3B" w:rsidR="00BF35E4" w:rsidRPr="000F6F34" w:rsidRDefault="00BF35E4" w:rsidP="000F6F34">
      <w:pPr>
        <w:numPr>
          <w:ilvl w:val="1"/>
          <w:numId w:val="13"/>
        </w:numPr>
        <w:tabs>
          <w:tab w:val="left" w:pos="565"/>
        </w:tabs>
        <w:spacing w:after="0" w:line="240" w:lineRule="auto"/>
        <w:ind w:left="567" w:hanging="567"/>
        <w:contextualSpacing/>
        <w:rPr>
          <w:rFonts w:eastAsia="Times New Roman"/>
          <w:szCs w:val="24"/>
          <w:lang w:eastAsia="en-GB"/>
        </w:rPr>
      </w:pPr>
      <w:r w:rsidRPr="00EC6879">
        <w:rPr>
          <w:rFonts w:eastAsiaTheme="minorEastAsia"/>
          <w:color w:val="000000" w:themeColor="text1"/>
          <w:kern w:val="24"/>
          <w:szCs w:val="24"/>
          <w:lang w:val="en-US" w:eastAsia="en-GB"/>
        </w:rPr>
        <w:t xml:space="preserve">The </w:t>
      </w:r>
      <w:r w:rsidRPr="002168C4">
        <w:rPr>
          <w:rFonts w:eastAsiaTheme="minorEastAsia"/>
          <w:kern w:val="24"/>
          <w:szCs w:val="24"/>
          <w:lang w:val="en-US" w:eastAsia="en-GB"/>
        </w:rPr>
        <w:t xml:space="preserve">definition of a Medical Request for online consultations is where they involve professional medical interactions to address health concerns.  Such as seeking guidance for new or existing health conditions, discussion test results, starting new </w:t>
      </w:r>
      <w:r w:rsidRPr="00004754">
        <w:rPr>
          <w:rFonts w:eastAsiaTheme="minorEastAsia"/>
          <w:kern w:val="24"/>
          <w:szCs w:val="24"/>
          <w:lang w:val="en-US" w:eastAsia="en-GB"/>
        </w:rPr>
        <w:t>medications or managing chronic conditions</w:t>
      </w:r>
      <w:r w:rsidR="000F6F34">
        <w:rPr>
          <w:rFonts w:eastAsiaTheme="minorEastAsia"/>
          <w:kern w:val="24"/>
          <w:szCs w:val="24"/>
          <w:lang w:val="en-US" w:eastAsia="en-GB"/>
        </w:rPr>
        <w:t>.</w:t>
      </w:r>
    </w:p>
    <w:p w14:paraId="6D9CF1A8" w14:textId="77777777" w:rsidR="000F6F34" w:rsidRPr="00BF35E4" w:rsidRDefault="000F6F34" w:rsidP="000F6F34">
      <w:pPr>
        <w:tabs>
          <w:tab w:val="left" w:pos="565"/>
        </w:tabs>
        <w:spacing w:after="0" w:line="240" w:lineRule="auto"/>
        <w:ind w:left="567" w:hanging="567"/>
        <w:contextualSpacing/>
        <w:rPr>
          <w:rFonts w:eastAsia="Times New Roman"/>
          <w:szCs w:val="24"/>
          <w:lang w:eastAsia="en-GB"/>
        </w:rPr>
      </w:pPr>
    </w:p>
    <w:p w14:paraId="5D430C27" w14:textId="0878EF04" w:rsidR="00BF35E4" w:rsidRPr="000F6F34" w:rsidRDefault="000F6F34" w:rsidP="000F6F34">
      <w:pPr>
        <w:numPr>
          <w:ilvl w:val="1"/>
          <w:numId w:val="13"/>
        </w:numPr>
        <w:tabs>
          <w:tab w:val="left" w:pos="565"/>
        </w:tabs>
        <w:spacing w:after="0" w:line="240" w:lineRule="auto"/>
        <w:ind w:left="567" w:hanging="567"/>
        <w:contextualSpacing/>
        <w:rPr>
          <w:rFonts w:eastAsia="Times New Roman"/>
          <w:szCs w:val="24"/>
          <w:lang w:eastAsia="en-GB"/>
        </w:rPr>
      </w:pPr>
      <w:r w:rsidRPr="00EC6879">
        <w:rPr>
          <w:rFonts w:eastAsiaTheme="minorEastAsia"/>
          <w:color w:val="000000" w:themeColor="text1"/>
          <w:kern w:val="24"/>
          <w:szCs w:val="24"/>
          <w:lang w:val="en-US" w:eastAsia="en-GB"/>
        </w:rPr>
        <w:t>The</w:t>
      </w:r>
      <w:r>
        <w:rPr>
          <w:rFonts w:eastAsiaTheme="minorEastAsia"/>
          <w:b/>
          <w:bCs/>
          <w:color w:val="000000" w:themeColor="text1"/>
          <w:kern w:val="24"/>
          <w:szCs w:val="24"/>
          <w:lang w:val="en-US" w:eastAsia="en-GB"/>
        </w:rPr>
        <w:t xml:space="preserve"> </w:t>
      </w:r>
      <w:r w:rsidRPr="00004754">
        <w:rPr>
          <w:rFonts w:eastAsiaTheme="minorEastAsia"/>
          <w:kern w:val="24"/>
          <w:szCs w:val="24"/>
          <w:lang w:val="en-US" w:eastAsia="en-GB"/>
        </w:rPr>
        <w:t>definition for an administrative request is tasks which do not require a clinical diagnosis or medical advice and cover requests for sick (fit) notes, medical reports, following up on the status of a referral, submitting requests for repeat prescriptions</w:t>
      </w:r>
      <w:r>
        <w:rPr>
          <w:rFonts w:eastAsiaTheme="minorEastAsia"/>
          <w:kern w:val="24"/>
          <w:szCs w:val="24"/>
          <w:lang w:val="en-US" w:eastAsia="en-GB"/>
        </w:rPr>
        <w:t>.</w:t>
      </w:r>
    </w:p>
    <w:p w14:paraId="296EA0B5" w14:textId="77777777" w:rsidR="00E23734" w:rsidRDefault="00E23734" w:rsidP="00E23734">
      <w:pPr>
        <w:tabs>
          <w:tab w:val="left" w:pos="565"/>
        </w:tabs>
        <w:spacing w:after="0" w:line="240" w:lineRule="auto"/>
        <w:ind w:left="567"/>
        <w:contextualSpacing/>
        <w:rPr>
          <w:rFonts w:eastAsia="Times New Roman"/>
          <w:szCs w:val="24"/>
          <w:lang w:eastAsia="en-GB"/>
        </w:rPr>
      </w:pPr>
    </w:p>
    <w:p w14:paraId="298595B2" w14:textId="58E3CC6E" w:rsidR="000F6F34" w:rsidRPr="00415446" w:rsidRDefault="000F6F34" w:rsidP="000F6F34">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NHS England</w:t>
      </w:r>
      <w:r w:rsidR="00415446">
        <w:rPr>
          <w:rFonts w:eastAsia="Times New Roman"/>
          <w:szCs w:val="24"/>
          <w:lang w:eastAsia="en-GB"/>
        </w:rPr>
        <w:t xml:space="preserve"> </w:t>
      </w:r>
      <w:r w:rsidRPr="00004754">
        <w:rPr>
          <w:rFonts w:eastAsiaTheme="minorEastAsia"/>
          <w:kern w:val="24"/>
          <w:szCs w:val="24"/>
          <w:lang w:val="en-US" w:eastAsia="en-GB"/>
        </w:rPr>
        <w:t>ha</w:t>
      </w:r>
      <w:r w:rsidR="006B6011">
        <w:rPr>
          <w:rFonts w:eastAsiaTheme="minorEastAsia"/>
          <w:kern w:val="24"/>
          <w:szCs w:val="24"/>
          <w:lang w:val="en-US" w:eastAsia="en-GB"/>
        </w:rPr>
        <w:t>ve</w:t>
      </w:r>
      <w:r w:rsidRPr="00004754">
        <w:rPr>
          <w:rFonts w:eastAsiaTheme="minorEastAsia"/>
          <w:kern w:val="24"/>
          <w:szCs w:val="24"/>
          <w:lang w:val="en-US" w:eastAsia="en-GB"/>
        </w:rPr>
        <w:t xml:space="preserve"> stated that whether submissions are classified as a clinical or administrative request depends on the online consultation tool that a practice uses and the options that patients select when using the tool.  When an online consultation submission is reviewed by the practice the practice may determine that</w:t>
      </w:r>
      <w:r w:rsidR="00E23734">
        <w:rPr>
          <w:rFonts w:eastAsiaTheme="minorEastAsia"/>
          <w:kern w:val="24"/>
          <w:szCs w:val="24"/>
          <w:lang w:val="en-US" w:eastAsia="en-GB"/>
        </w:rPr>
        <w:t xml:space="preserve"> </w:t>
      </w:r>
      <w:r w:rsidR="00E23734" w:rsidRPr="002168C4">
        <w:rPr>
          <w:rFonts w:eastAsiaTheme="minorEastAsia"/>
          <w:kern w:val="24"/>
          <w:szCs w:val="24"/>
          <w:lang w:val="en-US" w:eastAsia="en-GB"/>
        </w:rPr>
        <w:t xml:space="preserve">a submission is in fact clinical rather than administrative or vice versa, </w:t>
      </w:r>
      <w:r w:rsidR="00E23734" w:rsidRPr="002168C4">
        <w:rPr>
          <w:rFonts w:eastAsiaTheme="minorEastAsia"/>
          <w:kern w:val="24"/>
          <w:szCs w:val="24"/>
          <w:lang w:val="en-US" w:eastAsia="en-GB"/>
        </w:rPr>
        <w:lastRenderedPageBreak/>
        <w:t>depending on the nature of the submission.  Classifications will not be defined nationally</w:t>
      </w:r>
      <w:r w:rsidR="00415446">
        <w:rPr>
          <w:rFonts w:eastAsiaTheme="minorEastAsia"/>
          <w:kern w:val="24"/>
          <w:szCs w:val="24"/>
          <w:lang w:val="en-US" w:eastAsia="en-GB"/>
        </w:rPr>
        <w:t>.</w:t>
      </w:r>
    </w:p>
    <w:p w14:paraId="53D5FDD2" w14:textId="77777777" w:rsidR="00415446" w:rsidRPr="005E1BAD" w:rsidRDefault="00415446" w:rsidP="00415446">
      <w:pPr>
        <w:tabs>
          <w:tab w:val="left" w:pos="565"/>
        </w:tabs>
        <w:spacing w:after="0" w:line="240" w:lineRule="auto"/>
        <w:contextualSpacing/>
        <w:rPr>
          <w:rFonts w:eastAsia="Times New Roman"/>
          <w:szCs w:val="24"/>
          <w:lang w:eastAsia="en-GB"/>
        </w:rPr>
      </w:pPr>
    </w:p>
    <w:p w14:paraId="644B2F9D" w14:textId="3F2D18D1" w:rsidR="005E1BAD" w:rsidRPr="002054C6" w:rsidRDefault="005E1BAD" w:rsidP="002054C6">
      <w:pPr>
        <w:numPr>
          <w:ilvl w:val="0"/>
          <w:numId w:val="13"/>
        </w:numPr>
        <w:tabs>
          <w:tab w:val="left" w:pos="565"/>
        </w:tabs>
        <w:spacing w:after="0" w:line="240" w:lineRule="auto"/>
        <w:contextualSpacing/>
        <w:rPr>
          <w:rFonts w:eastAsia="Times New Roman"/>
          <w:b/>
          <w:bCs/>
          <w:szCs w:val="24"/>
          <w:lang w:eastAsia="en-GB"/>
        </w:rPr>
      </w:pPr>
      <w:r w:rsidRPr="002054C6">
        <w:rPr>
          <w:rFonts w:eastAsia="Times New Roman"/>
          <w:b/>
          <w:bCs/>
          <w:szCs w:val="24"/>
          <w:lang w:eastAsia="en-GB"/>
        </w:rPr>
        <w:t>Contract Regulations</w:t>
      </w:r>
    </w:p>
    <w:p w14:paraId="04328B5E" w14:textId="77777777" w:rsidR="005E1BAD" w:rsidRDefault="005E1BAD" w:rsidP="005E1BAD">
      <w:pPr>
        <w:pStyle w:val="ListParagraph"/>
        <w:rPr>
          <w:rFonts w:eastAsia="Times New Roman"/>
          <w:szCs w:val="24"/>
          <w:lang w:eastAsia="en-GB"/>
        </w:rPr>
      </w:pPr>
    </w:p>
    <w:p w14:paraId="515D9B1A" w14:textId="77777777" w:rsidR="002054C6" w:rsidRPr="002168C4" w:rsidRDefault="005E1BAD" w:rsidP="002054C6">
      <w:pPr>
        <w:numPr>
          <w:ilvl w:val="1"/>
          <w:numId w:val="13"/>
        </w:numPr>
        <w:tabs>
          <w:tab w:val="left" w:pos="565"/>
        </w:tabs>
        <w:spacing w:after="0" w:line="240" w:lineRule="auto"/>
        <w:ind w:left="0" w:firstLine="0"/>
        <w:jc w:val="both"/>
        <w:rPr>
          <w:rFonts w:eastAsiaTheme="minorEastAsia"/>
          <w:kern w:val="24"/>
          <w:szCs w:val="24"/>
          <w:lang w:val="en-US" w:eastAsia="en-GB"/>
        </w:rPr>
      </w:pPr>
      <w:r>
        <w:rPr>
          <w:rFonts w:eastAsia="Times New Roman"/>
          <w:szCs w:val="24"/>
          <w:lang w:eastAsia="en-GB"/>
        </w:rPr>
        <w:t xml:space="preserve">The </w:t>
      </w:r>
      <w:r w:rsidR="002054C6" w:rsidRPr="002168C4">
        <w:rPr>
          <w:rFonts w:eastAsiaTheme="minorEastAsia"/>
          <w:kern w:val="24"/>
          <w:szCs w:val="24"/>
          <w:lang w:val="en-US" w:eastAsia="en-GB"/>
        </w:rPr>
        <w:t>General Medical Services Contract at clause 7.5 states</w:t>
      </w:r>
    </w:p>
    <w:p w14:paraId="0F1419FA" w14:textId="77777777" w:rsidR="002054C6" w:rsidRPr="002168C4" w:rsidRDefault="002054C6" w:rsidP="002054C6">
      <w:pPr>
        <w:tabs>
          <w:tab w:val="left" w:pos="565"/>
        </w:tabs>
        <w:spacing w:after="0" w:line="240" w:lineRule="auto"/>
        <w:jc w:val="both"/>
        <w:rPr>
          <w:rFonts w:eastAsiaTheme="minorEastAsia"/>
          <w:kern w:val="24"/>
          <w:szCs w:val="24"/>
          <w:lang w:val="en-US" w:eastAsia="en-GB"/>
        </w:rPr>
      </w:pPr>
    </w:p>
    <w:p w14:paraId="11354405"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Contact with the practice</w:t>
      </w:r>
    </w:p>
    <w:p w14:paraId="437F3022"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7.5.1 The contractor must take steps to ensure that all of the following means of contacting the Contractor are available for patients throughout core hours</w:t>
      </w:r>
    </w:p>
    <w:p w14:paraId="01666AA9"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 xml:space="preserve">(a) by attending the Contractors practice </w:t>
      </w:r>
      <w:proofErr w:type="gramStart"/>
      <w:r w:rsidRPr="005A25DD">
        <w:rPr>
          <w:rFonts w:eastAsiaTheme="minorEastAsia"/>
          <w:kern w:val="24"/>
          <w:szCs w:val="24"/>
          <w:lang w:val="en-US" w:eastAsia="en-GB"/>
        </w:rPr>
        <w:t>premises;</w:t>
      </w:r>
      <w:proofErr w:type="gramEnd"/>
    </w:p>
    <w:p w14:paraId="511694DC"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 xml:space="preserve">(b) by telephone; and </w:t>
      </w:r>
    </w:p>
    <w:p w14:paraId="6A598FFE"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(c) through the practices online consultation tool within the meaning given in sub-clause 16.5ZD.2</w:t>
      </w:r>
    </w:p>
    <w:p w14:paraId="20BB7E65" w14:textId="77777777" w:rsidR="002054C6" w:rsidRDefault="002054C6" w:rsidP="002054C6">
      <w:pPr>
        <w:tabs>
          <w:tab w:val="left" w:pos="565"/>
        </w:tabs>
        <w:spacing w:after="0" w:line="240" w:lineRule="auto"/>
        <w:jc w:val="both"/>
        <w:rPr>
          <w:rFonts w:eastAsiaTheme="minorEastAsia"/>
          <w:kern w:val="24"/>
          <w:szCs w:val="24"/>
          <w:lang w:val="en-US" w:eastAsia="en-GB"/>
        </w:rPr>
      </w:pPr>
    </w:p>
    <w:p w14:paraId="1D3E80DD"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Further in clause 7.5 the response time is stipulated:</w:t>
      </w:r>
    </w:p>
    <w:p w14:paraId="01E266F8"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7.5.3 The appropriate response must be provided:</w:t>
      </w:r>
    </w:p>
    <w:p w14:paraId="6594F2E9" w14:textId="77777777"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 xml:space="preserve">(a) if the contact is made outside core hours, during the following core </w:t>
      </w:r>
      <w:proofErr w:type="gramStart"/>
      <w:r w:rsidRPr="005A25DD">
        <w:rPr>
          <w:rFonts w:eastAsiaTheme="minorEastAsia"/>
          <w:kern w:val="24"/>
          <w:szCs w:val="24"/>
          <w:lang w:val="en-US" w:eastAsia="en-GB"/>
        </w:rPr>
        <w:t>hours;</w:t>
      </w:r>
      <w:proofErr w:type="gramEnd"/>
      <w:r w:rsidRPr="005A25DD">
        <w:rPr>
          <w:rFonts w:eastAsiaTheme="minorEastAsia"/>
          <w:kern w:val="24"/>
          <w:szCs w:val="24"/>
          <w:lang w:val="en-US" w:eastAsia="en-GB"/>
        </w:rPr>
        <w:t xml:space="preserve"> </w:t>
      </w:r>
    </w:p>
    <w:p w14:paraId="395216B9" w14:textId="1E37C50B" w:rsidR="002054C6" w:rsidRPr="005A25DD" w:rsidRDefault="002054C6" w:rsidP="002054C6">
      <w:pPr>
        <w:tabs>
          <w:tab w:val="left" w:pos="565"/>
        </w:tabs>
        <w:spacing w:after="0" w:line="240" w:lineRule="auto"/>
        <w:jc w:val="both"/>
        <w:rPr>
          <w:rFonts w:eastAsiaTheme="minorEastAsia"/>
          <w:kern w:val="24"/>
          <w:szCs w:val="24"/>
          <w:lang w:val="en-US" w:eastAsia="en-GB"/>
        </w:rPr>
      </w:pPr>
      <w:r w:rsidRPr="005A25DD">
        <w:rPr>
          <w:rFonts w:eastAsiaTheme="minorEastAsia"/>
          <w:kern w:val="24"/>
          <w:szCs w:val="24"/>
          <w:lang w:val="en-US" w:eastAsia="en-GB"/>
        </w:rPr>
        <w:t>(b) in any other case, during the date on which the core hours fall</w:t>
      </w:r>
    </w:p>
    <w:p w14:paraId="08F5E0F0" w14:textId="77777777" w:rsidR="002054C6" w:rsidRPr="002168C4" w:rsidRDefault="002054C6" w:rsidP="002054C6">
      <w:pPr>
        <w:tabs>
          <w:tab w:val="left" w:pos="565"/>
        </w:tabs>
        <w:spacing w:after="0" w:line="240" w:lineRule="auto"/>
        <w:jc w:val="both"/>
        <w:rPr>
          <w:rFonts w:eastAsiaTheme="minorEastAsia"/>
          <w:kern w:val="24"/>
          <w:szCs w:val="24"/>
          <w:lang w:val="en-US" w:eastAsia="en-GB"/>
        </w:rPr>
      </w:pPr>
    </w:p>
    <w:p w14:paraId="05D4D74F" w14:textId="2284F97C" w:rsidR="002054C6" w:rsidRDefault="00D50B65" w:rsidP="00E2109A">
      <w:pPr>
        <w:numPr>
          <w:ilvl w:val="0"/>
          <w:numId w:val="13"/>
        </w:numPr>
        <w:tabs>
          <w:tab w:val="left" w:pos="565"/>
        </w:tabs>
        <w:spacing w:after="0" w:line="240" w:lineRule="auto"/>
        <w:jc w:val="both"/>
        <w:rPr>
          <w:rFonts w:eastAsiaTheme="minorEastAsia"/>
          <w:b/>
          <w:bCs/>
          <w:kern w:val="24"/>
          <w:szCs w:val="24"/>
          <w:lang w:val="en-US" w:eastAsia="en-GB"/>
        </w:rPr>
      </w:pPr>
      <w:r w:rsidRPr="00E2109A">
        <w:rPr>
          <w:rFonts w:eastAsiaTheme="minorEastAsia"/>
          <w:b/>
          <w:bCs/>
          <w:kern w:val="24"/>
          <w:szCs w:val="24"/>
          <w:lang w:val="en-US" w:eastAsia="en-GB"/>
        </w:rPr>
        <w:t xml:space="preserve">NHS </w:t>
      </w:r>
      <w:r w:rsidR="00E2109A" w:rsidRPr="00E2109A">
        <w:rPr>
          <w:rFonts w:eastAsiaTheme="minorEastAsia"/>
          <w:b/>
          <w:bCs/>
          <w:kern w:val="24"/>
          <w:szCs w:val="24"/>
          <w:lang w:val="en-US" w:eastAsia="en-GB"/>
        </w:rPr>
        <w:t>England Guidance</w:t>
      </w:r>
    </w:p>
    <w:p w14:paraId="0E5F4937" w14:textId="77777777" w:rsidR="00E2109A" w:rsidRPr="00E2109A" w:rsidRDefault="00E2109A" w:rsidP="00E2109A">
      <w:pPr>
        <w:tabs>
          <w:tab w:val="left" w:pos="565"/>
        </w:tabs>
        <w:spacing w:after="0" w:line="240" w:lineRule="auto"/>
        <w:ind w:left="720"/>
        <w:jc w:val="both"/>
        <w:rPr>
          <w:rFonts w:eastAsiaTheme="minorEastAsia"/>
          <w:b/>
          <w:bCs/>
          <w:kern w:val="24"/>
          <w:szCs w:val="24"/>
          <w:lang w:val="en-US" w:eastAsia="en-GB"/>
        </w:rPr>
      </w:pPr>
    </w:p>
    <w:p w14:paraId="221D3454" w14:textId="3206807A" w:rsidR="00F3180D" w:rsidRPr="005A25DD" w:rsidRDefault="00E2109A" w:rsidP="005A25DD">
      <w:pPr>
        <w:numPr>
          <w:ilvl w:val="1"/>
          <w:numId w:val="13"/>
        </w:numPr>
        <w:tabs>
          <w:tab w:val="left" w:pos="565"/>
        </w:tabs>
        <w:spacing w:after="0" w:line="240" w:lineRule="auto"/>
        <w:ind w:left="567" w:hanging="567"/>
        <w:rPr>
          <w:rFonts w:eastAsiaTheme="minorEastAsia"/>
          <w:kern w:val="24"/>
          <w:szCs w:val="24"/>
          <w:lang w:val="en-US" w:eastAsia="en-GB"/>
        </w:rPr>
      </w:pPr>
      <w:r>
        <w:rPr>
          <w:rFonts w:eastAsiaTheme="minorEastAsia"/>
          <w:kern w:val="24"/>
          <w:szCs w:val="24"/>
          <w:lang w:val="en-US" w:eastAsia="en-GB"/>
        </w:rPr>
        <w:t xml:space="preserve">NHS England </w:t>
      </w:r>
      <w:r w:rsidR="005B44BA" w:rsidRPr="002168C4">
        <w:rPr>
          <w:rFonts w:eastAsiaTheme="minorEastAsia"/>
          <w:kern w:val="24"/>
          <w:szCs w:val="24"/>
          <w:lang w:val="en-US" w:eastAsia="en-GB"/>
        </w:rPr>
        <w:t xml:space="preserve">have published frequently asked questions and guidance.  One of </w:t>
      </w:r>
      <w:r w:rsidR="005B44BA" w:rsidRPr="005A25DD">
        <w:rPr>
          <w:rFonts w:eastAsiaTheme="minorEastAsia"/>
          <w:kern w:val="24"/>
          <w:szCs w:val="24"/>
          <w:lang w:val="en-US" w:eastAsia="en-GB"/>
        </w:rPr>
        <w:t xml:space="preserve">these questions </w:t>
      </w:r>
      <w:r w:rsidR="006B6011" w:rsidRPr="005A25DD">
        <w:rPr>
          <w:rFonts w:eastAsiaTheme="minorEastAsia"/>
          <w:kern w:val="24"/>
          <w:szCs w:val="24"/>
          <w:lang w:val="en-US" w:eastAsia="en-GB"/>
        </w:rPr>
        <w:t xml:space="preserve">concerns </w:t>
      </w:r>
      <w:r w:rsidR="005B44BA" w:rsidRPr="005A25DD">
        <w:rPr>
          <w:rFonts w:eastAsiaTheme="minorEastAsia"/>
          <w:kern w:val="24"/>
          <w:szCs w:val="24"/>
          <w:lang w:val="en-US" w:eastAsia="en-GB"/>
        </w:rPr>
        <w:t>whether practices can switch off online consultations during core hours.  The response is “</w:t>
      </w:r>
      <w:r w:rsidR="005B44BA" w:rsidRPr="005A25DD">
        <w:rPr>
          <w:i/>
          <w:iCs/>
        </w:rPr>
        <w:t>GP practices must not switch online consultation off during any core hours period, except in exceptional circumstances. This would need to be communicated to and agreed with the commissioner, in the same way the practice would need to for phone line or walk in</w:t>
      </w:r>
      <w:r w:rsidR="00F3180D" w:rsidRPr="005A25DD">
        <w:rPr>
          <w:i/>
          <w:iCs/>
        </w:rPr>
        <w:t>”</w:t>
      </w:r>
      <w:r w:rsidR="00F3180D" w:rsidRPr="005A25DD">
        <w:rPr>
          <w:rFonts w:eastAsiaTheme="minorEastAsia"/>
          <w:kern w:val="24"/>
          <w:szCs w:val="24"/>
          <w:lang w:val="en-US" w:eastAsia="en-GB"/>
        </w:rPr>
        <w:t>.</w:t>
      </w:r>
    </w:p>
    <w:p w14:paraId="4D75FAD3" w14:textId="77777777" w:rsidR="00F3180D" w:rsidRPr="005A25DD" w:rsidRDefault="00F3180D" w:rsidP="00F3180D">
      <w:pPr>
        <w:tabs>
          <w:tab w:val="left" w:pos="565"/>
        </w:tabs>
        <w:spacing w:after="0" w:line="240" w:lineRule="auto"/>
        <w:jc w:val="both"/>
        <w:rPr>
          <w:rFonts w:eastAsiaTheme="minorEastAsia"/>
          <w:kern w:val="24"/>
          <w:szCs w:val="24"/>
          <w:lang w:val="en-US" w:eastAsia="en-GB"/>
        </w:rPr>
      </w:pPr>
    </w:p>
    <w:p w14:paraId="0F5599A4" w14:textId="5CEE9BC8" w:rsidR="005B44BA" w:rsidRPr="005A25DD" w:rsidRDefault="00291EF2" w:rsidP="005A25DD">
      <w:pPr>
        <w:numPr>
          <w:ilvl w:val="1"/>
          <w:numId w:val="13"/>
        </w:numPr>
        <w:tabs>
          <w:tab w:val="left" w:pos="565"/>
        </w:tabs>
        <w:spacing w:after="0" w:line="240" w:lineRule="auto"/>
        <w:ind w:left="567" w:hanging="567"/>
        <w:rPr>
          <w:rFonts w:eastAsiaTheme="minorEastAsia"/>
          <w:kern w:val="24"/>
          <w:szCs w:val="24"/>
          <w:lang w:val="en-US" w:eastAsia="en-GB"/>
        </w:rPr>
      </w:pPr>
      <w:r w:rsidRPr="005A25DD">
        <w:rPr>
          <w:rFonts w:eastAsiaTheme="minorEastAsia"/>
          <w:kern w:val="24"/>
          <w:szCs w:val="24"/>
          <w:lang w:val="en-US" w:eastAsia="en-GB"/>
        </w:rPr>
        <w:t xml:space="preserve">During </w:t>
      </w:r>
      <w:r w:rsidR="00F3180D" w:rsidRPr="005A25DD">
        <w:rPr>
          <w:rFonts w:eastAsiaTheme="minorEastAsia"/>
          <w:kern w:val="24"/>
          <w:szCs w:val="24"/>
          <w:lang w:val="en-US" w:eastAsia="en-GB"/>
        </w:rPr>
        <w:t>November NHS England have reiterated this and confirmed that “</w:t>
      </w:r>
      <w:r w:rsidR="00F3180D" w:rsidRPr="005A25DD">
        <w:rPr>
          <w:i/>
          <w:iCs/>
        </w:rPr>
        <w:t>While the value of dedicated Practice Learning Time is recognised it remains that practices should not alter their services or the times they are provided, including responding to online consultation submissions to account for Practice Learning Time, except where this agreed with their commissioner.  Where commissioners have introduced dedicated Practice Learning Time they may have arranged cover to support practice attendance e.g. telephone cover for patient’s urgent primary care needs. It is also recognised these cover arrangements may not practically extend to online consultation tools. In these instances, commissioners should continue to work with their practices to maintain online consultation cover during Practice Learning Time”.</w:t>
      </w:r>
    </w:p>
    <w:p w14:paraId="57DF7156" w14:textId="77777777" w:rsidR="001337ED" w:rsidRDefault="001337ED" w:rsidP="001337ED">
      <w:pPr>
        <w:tabs>
          <w:tab w:val="left" w:pos="565"/>
        </w:tabs>
        <w:spacing w:after="0" w:line="240" w:lineRule="auto"/>
        <w:jc w:val="both"/>
        <w:rPr>
          <w:rFonts w:eastAsiaTheme="minorEastAsia"/>
          <w:kern w:val="24"/>
          <w:szCs w:val="24"/>
          <w:lang w:val="en-US" w:eastAsia="en-GB"/>
        </w:rPr>
      </w:pPr>
    </w:p>
    <w:p w14:paraId="5278ED40" w14:textId="79FBCAC2" w:rsidR="005E1BAD" w:rsidRPr="005154B5" w:rsidRDefault="006A71FE"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heme="minorEastAsia"/>
          <w:kern w:val="24"/>
          <w:szCs w:val="24"/>
          <w:lang w:val="en-US" w:eastAsia="en-GB"/>
        </w:rPr>
        <w:t xml:space="preserve">In </w:t>
      </w:r>
      <w:r w:rsidRPr="005A25DD">
        <w:rPr>
          <w:rFonts w:eastAsiaTheme="minorEastAsia"/>
          <w:kern w:val="24"/>
          <w:szCs w:val="24"/>
          <w:lang w:val="en-US" w:eastAsia="en-GB"/>
        </w:rPr>
        <w:t xml:space="preserve">this </w:t>
      </w:r>
      <w:r w:rsidR="001337ED" w:rsidRPr="005A25DD">
        <w:rPr>
          <w:rFonts w:eastAsia="Times New Roman"/>
          <w:szCs w:val="24"/>
          <w:lang w:eastAsia="en-GB"/>
        </w:rPr>
        <w:t>later statement NHS England have also stated that “</w:t>
      </w:r>
      <w:r w:rsidR="001337ED" w:rsidRPr="005A25DD">
        <w:rPr>
          <w:i/>
          <w:iCs/>
        </w:rPr>
        <w:t>Where exceptionally commissioners agree to online consultation tool switch off this should be communicated clearly to patients in advance, including the reasons for the switch off and the cover arrangements in place for access</w:t>
      </w:r>
      <w:r w:rsidR="001337ED" w:rsidRPr="005A25DD">
        <w:t>.”  Currently it is not possible for the ICB to put cover arrangements in place for online consultations as IT systems are not capable of transferring this element</w:t>
      </w:r>
      <w:r w:rsidR="005154B5" w:rsidRPr="005A25DD">
        <w:t>.</w:t>
      </w:r>
    </w:p>
    <w:p w14:paraId="0811B101" w14:textId="77777777" w:rsidR="005154B5" w:rsidRDefault="005154B5" w:rsidP="005154B5">
      <w:pPr>
        <w:pStyle w:val="ListParagraph"/>
        <w:rPr>
          <w:rFonts w:eastAsia="Times New Roman"/>
          <w:szCs w:val="24"/>
          <w:lang w:eastAsia="en-GB"/>
        </w:rPr>
      </w:pPr>
    </w:p>
    <w:p w14:paraId="168504B1" w14:textId="09656F73" w:rsidR="005154B5" w:rsidRPr="002B1425" w:rsidRDefault="005154B5" w:rsidP="002B1425">
      <w:pPr>
        <w:numPr>
          <w:ilvl w:val="0"/>
          <w:numId w:val="13"/>
        </w:numPr>
        <w:tabs>
          <w:tab w:val="left" w:pos="565"/>
        </w:tabs>
        <w:spacing w:after="0" w:line="240" w:lineRule="auto"/>
        <w:contextualSpacing/>
        <w:rPr>
          <w:rFonts w:eastAsia="Times New Roman"/>
          <w:b/>
          <w:bCs/>
          <w:szCs w:val="24"/>
          <w:lang w:eastAsia="en-GB"/>
        </w:rPr>
      </w:pPr>
      <w:r w:rsidRPr="002B1425">
        <w:rPr>
          <w:rFonts w:eastAsia="Times New Roman"/>
          <w:b/>
          <w:bCs/>
          <w:szCs w:val="24"/>
          <w:lang w:eastAsia="en-GB"/>
        </w:rPr>
        <w:lastRenderedPageBreak/>
        <w:t>Practice Concer</w:t>
      </w:r>
      <w:r w:rsidR="002B1425" w:rsidRPr="002B1425">
        <w:rPr>
          <w:rFonts w:eastAsia="Times New Roman"/>
          <w:b/>
          <w:bCs/>
          <w:szCs w:val="24"/>
          <w:lang w:eastAsia="en-GB"/>
        </w:rPr>
        <w:t>n</w:t>
      </w:r>
      <w:r w:rsidRPr="002B1425">
        <w:rPr>
          <w:rFonts w:eastAsia="Times New Roman"/>
          <w:b/>
          <w:bCs/>
          <w:szCs w:val="24"/>
          <w:lang w:eastAsia="en-GB"/>
        </w:rPr>
        <w:t>s</w:t>
      </w:r>
    </w:p>
    <w:p w14:paraId="1A06BF8F" w14:textId="77777777" w:rsidR="002B1425" w:rsidRDefault="002B1425" w:rsidP="002B1425">
      <w:pPr>
        <w:tabs>
          <w:tab w:val="left" w:pos="565"/>
        </w:tabs>
        <w:spacing w:after="0" w:line="240" w:lineRule="auto"/>
        <w:ind w:left="567"/>
        <w:contextualSpacing/>
        <w:rPr>
          <w:rFonts w:eastAsia="Times New Roman"/>
          <w:szCs w:val="24"/>
          <w:lang w:eastAsia="en-GB"/>
        </w:rPr>
      </w:pPr>
    </w:p>
    <w:p w14:paraId="3859E0D3" w14:textId="4307F023" w:rsidR="005154B5" w:rsidRPr="000F2DC1" w:rsidRDefault="005154B5"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Practices </w:t>
      </w:r>
      <w:r w:rsidR="000F2DC1" w:rsidRPr="002168C4">
        <w:rPr>
          <w:rFonts w:eastAsiaTheme="minorEastAsia"/>
          <w:kern w:val="24"/>
          <w:szCs w:val="24"/>
          <w:lang w:val="en-US" w:eastAsia="en-GB"/>
        </w:rPr>
        <w:t xml:space="preserve">have expressed concerns around online consultations remaining open during the Protected Learning Time Sessions.  Whilst safeguards are included on all online </w:t>
      </w:r>
      <w:proofErr w:type="gramStart"/>
      <w:r w:rsidR="000F2DC1" w:rsidRPr="002168C4">
        <w:rPr>
          <w:rFonts w:eastAsiaTheme="minorEastAsia"/>
          <w:kern w:val="24"/>
          <w:szCs w:val="24"/>
          <w:lang w:val="en-US" w:eastAsia="en-GB"/>
        </w:rPr>
        <w:t>consultations</w:t>
      </w:r>
      <w:proofErr w:type="gramEnd"/>
      <w:r w:rsidR="000F2DC1" w:rsidRPr="002168C4">
        <w:rPr>
          <w:rFonts w:eastAsiaTheme="minorEastAsia"/>
          <w:kern w:val="24"/>
          <w:szCs w:val="24"/>
          <w:lang w:val="en-US" w:eastAsia="en-GB"/>
        </w:rPr>
        <w:t xml:space="preserve"> submission forms stating that the submission is not to be used for urgent or emergency conditions, practices have found that patients are using it for these types of requests</w:t>
      </w:r>
      <w:r w:rsidR="002B1425">
        <w:rPr>
          <w:rFonts w:eastAsiaTheme="minorEastAsia"/>
          <w:kern w:val="24"/>
          <w:szCs w:val="24"/>
          <w:lang w:val="en-US" w:eastAsia="en-GB"/>
        </w:rPr>
        <w:t>.</w:t>
      </w:r>
    </w:p>
    <w:p w14:paraId="1F52624E" w14:textId="77777777" w:rsidR="002B1425" w:rsidRPr="002B1425" w:rsidRDefault="002B1425" w:rsidP="002B1425">
      <w:pPr>
        <w:tabs>
          <w:tab w:val="left" w:pos="565"/>
        </w:tabs>
        <w:spacing w:after="0" w:line="240" w:lineRule="auto"/>
        <w:ind w:left="567"/>
        <w:contextualSpacing/>
        <w:rPr>
          <w:rFonts w:eastAsia="Times New Roman"/>
          <w:szCs w:val="24"/>
          <w:lang w:eastAsia="en-GB"/>
        </w:rPr>
      </w:pPr>
    </w:p>
    <w:p w14:paraId="07AB0582" w14:textId="3691FEA3" w:rsidR="000F2DC1" w:rsidRPr="00DB56E8" w:rsidRDefault="002B1425" w:rsidP="002054C6">
      <w:pPr>
        <w:numPr>
          <w:ilvl w:val="1"/>
          <w:numId w:val="13"/>
        </w:numPr>
        <w:tabs>
          <w:tab w:val="left" w:pos="565"/>
        </w:tabs>
        <w:spacing w:after="0" w:line="240" w:lineRule="auto"/>
        <w:ind w:left="567" w:hanging="567"/>
        <w:contextualSpacing/>
        <w:rPr>
          <w:rFonts w:eastAsia="Times New Roman"/>
          <w:szCs w:val="24"/>
          <w:lang w:eastAsia="en-GB"/>
        </w:rPr>
      </w:pPr>
      <w:r w:rsidRPr="002168C4">
        <w:rPr>
          <w:rFonts w:eastAsiaTheme="minorEastAsia"/>
          <w:kern w:val="24"/>
          <w:szCs w:val="24"/>
          <w:lang w:val="en-US" w:eastAsia="en-GB"/>
        </w:rPr>
        <w:t>If a practice leaves their online consultation form on for submissions whilst they are involved in a Protected Learning Time Session, all requests will not be reviewed until the following day.  Therefore, if an urgent request is submitted during a Protected Learning Time afternoon and not reviewed until the following morning serious patient harm could be caused</w:t>
      </w:r>
      <w:r>
        <w:rPr>
          <w:rFonts w:eastAsiaTheme="minorEastAsia"/>
          <w:kern w:val="24"/>
          <w:szCs w:val="24"/>
          <w:lang w:val="en-US" w:eastAsia="en-GB"/>
        </w:rPr>
        <w:t>.</w:t>
      </w:r>
    </w:p>
    <w:p w14:paraId="25DD6665" w14:textId="77777777" w:rsidR="00DB56E8" w:rsidRDefault="00DB56E8" w:rsidP="00DB56E8">
      <w:pPr>
        <w:pStyle w:val="ListParagraph"/>
        <w:rPr>
          <w:rFonts w:eastAsia="Times New Roman"/>
          <w:szCs w:val="24"/>
          <w:lang w:eastAsia="en-GB"/>
        </w:rPr>
      </w:pPr>
    </w:p>
    <w:p w14:paraId="7E3A83C0" w14:textId="6FEA1838" w:rsidR="00DB56E8" w:rsidRPr="00C301A7" w:rsidRDefault="00DB56E8" w:rsidP="00C301A7">
      <w:pPr>
        <w:numPr>
          <w:ilvl w:val="0"/>
          <w:numId w:val="13"/>
        </w:numPr>
        <w:tabs>
          <w:tab w:val="left" w:pos="565"/>
        </w:tabs>
        <w:spacing w:after="0" w:line="240" w:lineRule="auto"/>
        <w:contextualSpacing/>
        <w:rPr>
          <w:rFonts w:eastAsia="Times New Roman"/>
          <w:b/>
          <w:bCs/>
          <w:szCs w:val="24"/>
          <w:lang w:eastAsia="en-GB"/>
        </w:rPr>
      </w:pPr>
      <w:r w:rsidRPr="00C301A7">
        <w:rPr>
          <w:rFonts w:eastAsia="Times New Roman"/>
          <w:b/>
          <w:bCs/>
          <w:szCs w:val="24"/>
          <w:lang w:eastAsia="en-GB"/>
        </w:rPr>
        <w:t>Current ICB Arrangements for PLT Sessions</w:t>
      </w:r>
    </w:p>
    <w:p w14:paraId="6155BCA4" w14:textId="77777777" w:rsidR="00C301A7" w:rsidRDefault="00C301A7" w:rsidP="00C301A7">
      <w:pPr>
        <w:tabs>
          <w:tab w:val="left" w:pos="565"/>
        </w:tabs>
        <w:spacing w:after="0" w:line="240" w:lineRule="auto"/>
        <w:ind w:left="567"/>
        <w:contextualSpacing/>
        <w:rPr>
          <w:rFonts w:eastAsia="Times New Roman"/>
          <w:szCs w:val="24"/>
          <w:lang w:eastAsia="en-GB"/>
        </w:rPr>
      </w:pPr>
    </w:p>
    <w:p w14:paraId="37A32B6F" w14:textId="5B25863A" w:rsidR="00DB56E8" w:rsidRPr="00517C38" w:rsidRDefault="00DB56E8"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For </w:t>
      </w:r>
      <w:r w:rsidR="00517C38" w:rsidRPr="002168C4">
        <w:rPr>
          <w:rFonts w:eastAsiaTheme="minorEastAsia"/>
          <w:kern w:val="24"/>
          <w:szCs w:val="24"/>
          <w:lang w:val="en-US" w:eastAsia="en-GB"/>
        </w:rPr>
        <w:t>Protected Learning Time Sessions the ICB sub-contracts telephone cover from out-of-hours providers and Federations.  This is provided from 1:00pm to 6:30pm</w:t>
      </w:r>
      <w:r w:rsidR="00517C38">
        <w:rPr>
          <w:rFonts w:eastAsiaTheme="minorEastAsia"/>
          <w:kern w:val="24"/>
          <w:szCs w:val="24"/>
          <w:lang w:val="en-US" w:eastAsia="en-GB"/>
        </w:rPr>
        <w:t>.</w:t>
      </w:r>
    </w:p>
    <w:p w14:paraId="16AB47C4" w14:textId="77777777" w:rsidR="00C301A7" w:rsidRDefault="00C301A7" w:rsidP="00C301A7">
      <w:pPr>
        <w:tabs>
          <w:tab w:val="left" w:pos="565"/>
        </w:tabs>
        <w:spacing w:after="0" w:line="240" w:lineRule="auto"/>
        <w:ind w:left="567"/>
        <w:contextualSpacing/>
        <w:rPr>
          <w:rFonts w:eastAsia="Times New Roman"/>
          <w:szCs w:val="24"/>
          <w:lang w:eastAsia="en-GB"/>
        </w:rPr>
      </w:pPr>
    </w:p>
    <w:p w14:paraId="0139BC0B" w14:textId="1E86F769" w:rsidR="00517C38" w:rsidRPr="00487FAB" w:rsidRDefault="00517C38"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Practices </w:t>
      </w:r>
      <w:r w:rsidR="00487FAB" w:rsidRPr="002168C4">
        <w:rPr>
          <w:rFonts w:eastAsiaTheme="minorEastAsia"/>
          <w:kern w:val="24"/>
          <w:szCs w:val="24"/>
          <w:lang w:val="en-US" w:eastAsia="en-GB"/>
        </w:rPr>
        <w:t xml:space="preserve">are </w:t>
      </w:r>
      <w:r w:rsidR="005A25DD">
        <w:rPr>
          <w:rFonts w:eastAsiaTheme="minorEastAsia"/>
          <w:kern w:val="24"/>
          <w:szCs w:val="24"/>
          <w:lang w:val="en-US" w:eastAsia="en-GB"/>
        </w:rPr>
        <w:t xml:space="preserve">also </w:t>
      </w:r>
      <w:r w:rsidR="00487FAB" w:rsidRPr="002168C4">
        <w:rPr>
          <w:rFonts w:eastAsiaTheme="minorEastAsia"/>
          <w:kern w:val="24"/>
          <w:szCs w:val="24"/>
          <w:lang w:val="en-US" w:eastAsia="en-GB"/>
        </w:rPr>
        <w:t>able to close their doors during the Protected Learning Time Sessions.  This is to enable all staff to take part in the learning sessions and to mitigate patients attending with urgent or emergency conditions when the clinical staff are not available</w:t>
      </w:r>
      <w:r w:rsidR="00487FAB">
        <w:rPr>
          <w:rFonts w:eastAsiaTheme="minorEastAsia"/>
          <w:kern w:val="24"/>
          <w:szCs w:val="24"/>
          <w:lang w:val="en-US" w:eastAsia="en-GB"/>
        </w:rPr>
        <w:t>.</w:t>
      </w:r>
    </w:p>
    <w:p w14:paraId="2BDD7996" w14:textId="77777777" w:rsidR="00C301A7" w:rsidRDefault="00C301A7" w:rsidP="00C301A7">
      <w:pPr>
        <w:tabs>
          <w:tab w:val="left" w:pos="565"/>
        </w:tabs>
        <w:spacing w:after="0" w:line="240" w:lineRule="auto"/>
        <w:ind w:left="567"/>
        <w:contextualSpacing/>
        <w:rPr>
          <w:rFonts w:eastAsia="Times New Roman"/>
          <w:szCs w:val="24"/>
          <w:lang w:eastAsia="en-GB"/>
        </w:rPr>
      </w:pPr>
    </w:p>
    <w:p w14:paraId="2F80F815" w14:textId="3F636251" w:rsidR="00487FAB" w:rsidRDefault="00487FAB"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Practices </w:t>
      </w:r>
      <w:r w:rsidR="00C301A7" w:rsidRPr="002168C4">
        <w:rPr>
          <w:rFonts w:eastAsia="Times New Roman"/>
          <w:szCs w:val="24"/>
          <w:lang w:eastAsia="en-GB"/>
        </w:rPr>
        <w:t>have been asked to maintain the current arrangements regarding keeping their online consultations open pending th</w:t>
      </w:r>
      <w:r w:rsidR="00BE4BB7">
        <w:rPr>
          <w:rFonts w:eastAsia="Times New Roman"/>
          <w:szCs w:val="24"/>
          <w:lang w:eastAsia="en-GB"/>
        </w:rPr>
        <w:t>is paper and a decision</w:t>
      </w:r>
      <w:r w:rsidR="00C301A7" w:rsidRPr="002168C4">
        <w:rPr>
          <w:rFonts w:eastAsia="Times New Roman"/>
          <w:szCs w:val="24"/>
          <w:lang w:eastAsia="en-GB"/>
        </w:rPr>
        <w:t xml:space="preserve">.  </w:t>
      </w:r>
    </w:p>
    <w:p w14:paraId="6BBFD80E" w14:textId="77777777" w:rsidR="00D900B6" w:rsidRPr="00147755" w:rsidRDefault="00D900B6" w:rsidP="00147755">
      <w:pPr>
        <w:rPr>
          <w:rFonts w:eastAsia="Times New Roman"/>
          <w:szCs w:val="24"/>
          <w:lang w:eastAsia="en-GB"/>
        </w:rPr>
      </w:pPr>
    </w:p>
    <w:p w14:paraId="72BD85B8" w14:textId="414A6F8D" w:rsidR="00D900B6" w:rsidRPr="0040529E" w:rsidRDefault="00D900B6" w:rsidP="0040529E">
      <w:pPr>
        <w:numPr>
          <w:ilvl w:val="0"/>
          <w:numId w:val="13"/>
        </w:numPr>
        <w:tabs>
          <w:tab w:val="left" w:pos="565"/>
        </w:tabs>
        <w:spacing w:after="0" w:line="240" w:lineRule="auto"/>
        <w:contextualSpacing/>
        <w:rPr>
          <w:rFonts w:eastAsia="Times New Roman"/>
          <w:b/>
          <w:bCs/>
          <w:szCs w:val="24"/>
          <w:lang w:eastAsia="en-GB"/>
        </w:rPr>
      </w:pPr>
      <w:r w:rsidRPr="0040529E">
        <w:rPr>
          <w:rFonts w:eastAsia="Times New Roman"/>
          <w:b/>
          <w:bCs/>
          <w:szCs w:val="24"/>
          <w:lang w:eastAsia="en-GB"/>
        </w:rPr>
        <w:t>Data</w:t>
      </w:r>
    </w:p>
    <w:p w14:paraId="2CB2AF9A" w14:textId="77777777" w:rsidR="0040529E" w:rsidRDefault="0040529E" w:rsidP="0040529E">
      <w:pPr>
        <w:tabs>
          <w:tab w:val="left" w:pos="565"/>
        </w:tabs>
        <w:spacing w:after="0" w:line="240" w:lineRule="auto"/>
        <w:ind w:left="567"/>
        <w:contextualSpacing/>
        <w:rPr>
          <w:rFonts w:eastAsia="Times New Roman"/>
          <w:szCs w:val="24"/>
          <w:lang w:eastAsia="en-GB"/>
        </w:rPr>
      </w:pPr>
    </w:p>
    <w:p w14:paraId="07250EFC" w14:textId="68CD729C" w:rsidR="00D900B6" w:rsidRDefault="00942041"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An </w:t>
      </w:r>
      <w:r w:rsidR="00253271" w:rsidRPr="002168C4">
        <w:rPr>
          <w:rFonts w:eastAsia="Times New Roman"/>
          <w:szCs w:val="24"/>
          <w:lang w:eastAsia="en-GB"/>
        </w:rPr>
        <w:t xml:space="preserve">analysis of the time consultations </w:t>
      </w:r>
      <w:proofErr w:type="gramStart"/>
      <w:r w:rsidR="00253271" w:rsidRPr="002168C4">
        <w:rPr>
          <w:rFonts w:eastAsia="Times New Roman"/>
          <w:szCs w:val="24"/>
          <w:lang w:eastAsia="en-GB"/>
        </w:rPr>
        <w:t>are</w:t>
      </w:r>
      <w:proofErr w:type="gramEnd"/>
      <w:r w:rsidR="00253271" w:rsidRPr="002168C4">
        <w:rPr>
          <w:rFonts w:eastAsia="Times New Roman"/>
          <w:szCs w:val="24"/>
          <w:lang w:eastAsia="en-GB"/>
        </w:rPr>
        <w:t xml:space="preserve"> submitted online has been carried out</w:t>
      </w:r>
      <w:r w:rsidR="001C6B60">
        <w:rPr>
          <w:rFonts w:eastAsia="Times New Roman"/>
          <w:szCs w:val="24"/>
          <w:lang w:eastAsia="en-GB"/>
        </w:rPr>
        <w:t>.</w:t>
      </w:r>
    </w:p>
    <w:p w14:paraId="6D39D542" w14:textId="77777777" w:rsidR="0040529E" w:rsidRDefault="0040529E" w:rsidP="0040529E">
      <w:pPr>
        <w:tabs>
          <w:tab w:val="left" w:pos="565"/>
        </w:tabs>
        <w:spacing w:after="0" w:line="240" w:lineRule="auto"/>
        <w:ind w:left="567"/>
        <w:contextualSpacing/>
        <w:rPr>
          <w:rFonts w:eastAsia="Times New Roman"/>
          <w:szCs w:val="24"/>
          <w:lang w:eastAsia="en-GB"/>
        </w:rPr>
      </w:pPr>
    </w:p>
    <w:p w14:paraId="214BE6DE" w14:textId="6A48282A" w:rsidR="001C6B60" w:rsidRDefault="001C6B60"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The NHS </w:t>
      </w:r>
      <w:r w:rsidR="00F611C2" w:rsidRPr="002168C4">
        <w:rPr>
          <w:rFonts w:eastAsia="Times New Roman"/>
          <w:szCs w:val="24"/>
          <w:lang w:eastAsia="en-GB"/>
        </w:rPr>
        <w:t xml:space="preserve">data for England is at Table 1 below and </w:t>
      </w:r>
      <w:proofErr w:type="spellStart"/>
      <w:r w:rsidR="00F611C2" w:rsidRPr="002168C4">
        <w:rPr>
          <w:rFonts w:eastAsia="Times New Roman"/>
          <w:szCs w:val="24"/>
          <w:lang w:eastAsia="en-GB"/>
        </w:rPr>
        <w:t>AccuRX</w:t>
      </w:r>
      <w:proofErr w:type="spellEnd"/>
      <w:r w:rsidR="00F611C2" w:rsidRPr="002168C4">
        <w:rPr>
          <w:rFonts w:eastAsia="Times New Roman"/>
          <w:szCs w:val="24"/>
          <w:lang w:eastAsia="en-GB"/>
        </w:rPr>
        <w:t xml:space="preserve"> data for Lancashire &amp; South Cumbria is at Table 2.  The data covers September, October and November 2025.  </w:t>
      </w:r>
      <w:proofErr w:type="spellStart"/>
      <w:r w:rsidR="00F611C2" w:rsidRPr="002168C4">
        <w:rPr>
          <w:rFonts w:eastAsia="Times New Roman"/>
          <w:szCs w:val="24"/>
          <w:lang w:eastAsia="en-GB"/>
        </w:rPr>
        <w:t>AccuRX</w:t>
      </w:r>
      <w:proofErr w:type="spellEnd"/>
      <w:r w:rsidR="00F611C2" w:rsidRPr="002168C4">
        <w:rPr>
          <w:rFonts w:eastAsia="Times New Roman"/>
          <w:szCs w:val="24"/>
          <w:lang w:eastAsia="en-GB"/>
        </w:rPr>
        <w:t xml:space="preserve"> is a digital healthcare platform which practices can use to enable patients to submit their online consultations.  Please note, not all practices use </w:t>
      </w:r>
      <w:proofErr w:type="spellStart"/>
      <w:r w:rsidR="00F611C2" w:rsidRPr="002168C4">
        <w:rPr>
          <w:rFonts w:eastAsia="Times New Roman"/>
          <w:szCs w:val="24"/>
          <w:lang w:eastAsia="en-GB"/>
        </w:rPr>
        <w:t>AccuRX</w:t>
      </w:r>
      <w:proofErr w:type="spellEnd"/>
      <w:r w:rsidR="00F611C2" w:rsidRPr="002168C4">
        <w:rPr>
          <w:rFonts w:eastAsia="Times New Roman"/>
          <w:szCs w:val="24"/>
          <w:lang w:eastAsia="en-GB"/>
        </w:rPr>
        <w:t xml:space="preserve"> for their online consultation submissions therefore this data does not cover the whole of the ICB</w:t>
      </w:r>
      <w:r w:rsidR="00F611C2">
        <w:rPr>
          <w:rFonts w:eastAsia="Times New Roman"/>
          <w:szCs w:val="24"/>
          <w:lang w:eastAsia="en-GB"/>
        </w:rPr>
        <w:t>.</w:t>
      </w:r>
    </w:p>
    <w:p w14:paraId="45FF70AC" w14:textId="77777777" w:rsidR="0040529E" w:rsidRDefault="0040529E" w:rsidP="0040529E">
      <w:pPr>
        <w:tabs>
          <w:tab w:val="left" w:pos="565"/>
        </w:tabs>
        <w:spacing w:after="0" w:line="240" w:lineRule="auto"/>
        <w:ind w:left="567"/>
        <w:contextualSpacing/>
        <w:rPr>
          <w:rFonts w:eastAsia="Times New Roman"/>
          <w:szCs w:val="24"/>
          <w:lang w:eastAsia="en-GB"/>
        </w:rPr>
      </w:pPr>
    </w:p>
    <w:p w14:paraId="70536691" w14:textId="46F1D183" w:rsidR="00F611C2" w:rsidRDefault="00F611C2"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Protected Learning Time </w:t>
      </w:r>
      <w:r w:rsidR="009F24D4" w:rsidRPr="002168C4">
        <w:rPr>
          <w:rFonts w:eastAsia="Times New Roman"/>
          <w:szCs w:val="24"/>
          <w:lang w:eastAsia="en-GB"/>
        </w:rPr>
        <w:t>Sessions are held on Tuesdays, Wednesdays and Thursdays across the ICB.  These days are highlighted in both the tables</w:t>
      </w:r>
      <w:r w:rsidR="009F24D4">
        <w:rPr>
          <w:rFonts w:eastAsia="Times New Roman"/>
          <w:szCs w:val="24"/>
          <w:lang w:eastAsia="en-GB"/>
        </w:rPr>
        <w:t>.</w:t>
      </w:r>
    </w:p>
    <w:p w14:paraId="76BC3CF6" w14:textId="77777777" w:rsidR="0040529E" w:rsidRDefault="0040529E" w:rsidP="0040529E">
      <w:pPr>
        <w:tabs>
          <w:tab w:val="left" w:pos="565"/>
        </w:tabs>
        <w:spacing w:after="0" w:line="240" w:lineRule="auto"/>
        <w:ind w:left="567"/>
        <w:contextualSpacing/>
        <w:rPr>
          <w:rFonts w:eastAsia="Times New Roman"/>
          <w:szCs w:val="24"/>
          <w:lang w:eastAsia="en-GB"/>
        </w:rPr>
      </w:pPr>
    </w:p>
    <w:p w14:paraId="1C7DD37A" w14:textId="57A2E2D9" w:rsidR="009F24D4" w:rsidRDefault="009F24D4"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The data shows </w:t>
      </w:r>
      <w:r w:rsidR="001757F4" w:rsidRPr="002168C4">
        <w:rPr>
          <w:rFonts w:eastAsia="Times New Roman"/>
          <w:szCs w:val="24"/>
          <w:lang w:eastAsia="en-GB"/>
        </w:rPr>
        <w:t xml:space="preserve">that the majority of online consultations are submitted between 08:00am and 09:59am.  This is at both national and ICB level and is </w:t>
      </w:r>
      <w:r w:rsidR="00147755">
        <w:rPr>
          <w:rFonts w:eastAsia="Times New Roman"/>
          <w:szCs w:val="24"/>
          <w:lang w:eastAsia="en-GB"/>
        </w:rPr>
        <w:t xml:space="preserve">expected </w:t>
      </w:r>
      <w:r w:rsidR="001757F4" w:rsidRPr="002168C4">
        <w:rPr>
          <w:rFonts w:eastAsia="Times New Roman"/>
          <w:szCs w:val="24"/>
          <w:lang w:eastAsia="en-GB"/>
        </w:rPr>
        <w:t>as the general narrative to be able to contact a GP Practice is to contact at 8am</w:t>
      </w:r>
      <w:r w:rsidR="0040529E">
        <w:rPr>
          <w:rFonts w:eastAsia="Times New Roman"/>
          <w:szCs w:val="24"/>
          <w:lang w:eastAsia="en-GB"/>
        </w:rPr>
        <w:t>.</w:t>
      </w:r>
    </w:p>
    <w:p w14:paraId="23E51827" w14:textId="77777777" w:rsidR="007B7990" w:rsidRDefault="007B7990" w:rsidP="007B7990">
      <w:pPr>
        <w:pStyle w:val="ListParagraph"/>
        <w:spacing w:after="0" w:line="240" w:lineRule="auto"/>
        <w:rPr>
          <w:rFonts w:eastAsia="Times New Roman"/>
          <w:szCs w:val="24"/>
          <w:lang w:eastAsia="en-GB"/>
        </w:rPr>
      </w:pPr>
    </w:p>
    <w:p w14:paraId="2C7A5B59" w14:textId="38B21BE6" w:rsidR="007B7990" w:rsidRPr="00EA4570" w:rsidRDefault="007B7990" w:rsidP="00EA4570">
      <w:pPr>
        <w:spacing w:after="0" w:line="240" w:lineRule="auto"/>
        <w:rPr>
          <w:rFonts w:eastAsia="Times New Roman"/>
          <w:szCs w:val="24"/>
          <w:lang w:eastAsia="en-GB"/>
        </w:rPr>
      </w:pPr>
      <w:r w:rsidRPr="00EA4570">
        <w:rPr>
          <w:rFonts w:eastAsia="Times New Roman"/>
          <w:szCs w:val="24"/>
          <w:lang w:eastAsia="en-GB"/>
        </w:rPr>
        <w:t>Table 1 – NHS England National Data</w:t>
      </w:r>
    </w:p>
    <w:tbl>
      <w:tblPr>
        <w:tblW w:w="10632" w:type="dxa"/>
        <w:tblInd w:w="-572" w:type="dxa"/>
        <w:tblLayout w:type="fixed"/>
        <w:tblLook w:val="04A0" w:firstRow="1" w:lastRow="0" w:firstColumn="1" w:lastColumn="0" w:noHBand="0" w:noVBand="1"/>
      </w:tblPr>
      <w:tblGrid>
        <w:gridCol w:w="1328"/>
        <w:gridCol w:w="1197"/>
        <w:gridCol w:w="1198"/>
        <w:gridCol w:w="1198"/>
        <w:gridCol w:w="1198"/>
        <w:gridCol w:w="1197"/>
        <w:gridCol w:w="1198"/>
        <w:gridCol w:w="1198"/>
        <w:gridCol w:w="920"/>
      </w:tblGrid>
      <w:tr w:rsidR="00303252" w:rsidRPr="002168C4" w14:paraId="7188CB89" w14:textId="77777777" w:rsidTr="00DF724C">
        <w:trPr>
          <w:trHeight w:val="560"/>
        </w:trPr>
        <w:tc>
          <w:tcPr>
            <w:tcW w:w="1328" w:type="dxa"/>
            <w:tcBorders>
              <w:top w:val="single" w:sz="4" w:space="0" w:color="auto"/>
              <w:left w:val="single" w:sz="4" w:space="0" w:color="auto"/>
              <w:bottom w:val="single" w:sz="4" w:space="0" w:color="auto"/>
              <w:right w:val="single" w:sz="4" w:space="0" w:color="auto"/>
            </w:tcBorders>
            <w:vAlign w:val="center"/>
            <w:hideMark/>
          </w:tcPr>
          <w:p w14:paraId="1F1E9796"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lastRenderedPageBreak/>
              <w:t>Day</w:t>
            </w:r>
          </w:p>
        </w:tc>
        <w:tc>
          <w:tcPr>
            <w:tcW w:w="1197" w:type="dxa"/>
            <w:tcBorders>
              <w:top w:val="single" w:sz="4" w:space="0" w:color="auto"/>
              <w:left w:val="nil"/>
              <w:bottom w:val="single" w:sz="4" w:space="0" w:color="auto"/>
              <w:right w:val="single" w:sz="4" w:space="0" w:color="auto"/>
            </w:tcBorders>
            <w:vAlign w:val="center"/>
            <w:hideMark/>
          </w:tcPr>
          <w:p w14:paraId="73AA1E52"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00:00 - 05:59</w:t>
            </w:r>
          </w:p>
        </w:tc>
        <w:tc>
          <w:tcPr>
            <w:tcW w:w="1198" w:type="dxa"/>
            <w:tcBorders>
              <w:top w:val="single" w:sz="4" w:space="0" w:color="auto"/>
              <w:left w:val="nil"/>
              <w:bottom w:val="single" w:sz="4" w:space="0" w:color="auto"/>
              <w:right w:val="single" w:sz="4" w:space="0" w:color="auto"/>
            </w:tcBorders>
            <w:vAlign w:val="center"/>
            <w:hideMark/>
          </w:tcPr>
          <w:p w14:paraId="605A1EE8"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06:00 - 07:59</w:t>
            </w:r>
          </w:p>
        </w:tc>
        <w:tc>
          <w:tcPr>
            <w:tcW w:w="1198" w:type="dxa"/>
            <w:tcBorders>
              <w:top w:val="single" w:sz="4" w:space="0" w:color="auto"/>
              <w:left w:val="nil"/>
              <w:bottom w:val="single" w:sz="4" w:space="0" w:color="auto"/>
              <w:right w:val="single" w:sz="4" w:space="0" w:color="auto"/>
            </w:tcBorders>
            <w:vAlign w:val="center"/>
            <w:hideMark/>
          </w:tcPr>
          <w:p w14:paraId="7C609281"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08:00 - 09:59</w:t>
            </w:r>
          </w:p>
        </w:tc>
        <w:tc>
          <w:tcPr>
            <w:tcW w:w="1198" w:type="dxa"/>
            <w:tcBorders>
              <w:top w:val="single" w:sz="4" w:space="0" w:color="auto"/>
              <w:left w:val="nil"/>
              <w:bottom w:val="single" w:sz="4" w:space="0" w:color="auto"/>
              <w:right w:val="single" w:sz="4" w:space="0" w:color="auto"/>
            </w:tcBorders>
            <w:vAlign w:val="center"/>
            <w:hideMark/>
          </w:tcPr>
          <w:p w14:paraId="1FE1521B"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10:00 - 11:59</w:t>
            </w:r>
          </w:p>
        </w:tc>
        <w:tc>
          <w:tcPr>
            <w:tcW w:w="1197" w:type="dxa"/>
            <w:tcBorders>
              <w:top w:val="single" w:sz="4" w:space="0" w:color="auto"/>
              <w:left w:val="nil"/>
              <w:bottom w:val="single" w:sz="4" w:space="0" w:color="auto"/>
              <w:right w:val="single" w:sz="4" w:space="0" w:color="auto"/>
            </w:tcBorders>
            <w:vAlign w:val="center"/>
            <w:hideMark/>
          </w:tcPr>
          <w:p w14:paraId="2217975F"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12:00 - 13:59</w:t>
            </w:r>
          </w:p>
        </w:tc>
        <w:tc>
          <w:tcPr>
            <w:tcW w:w="1198" w:type="dxa"/>
            <w:tcBorders>
              <w:top w:val="single" w:sz="4" w:space="0" w:color="auto"/>
              <w:left w:val="nil"/>
              <w:bottom w:val="single" w:sz="4" w:space="0" w:color="auto"/>
              <w:right w:val="single" w:sz="4" w:space="0" w:color="auto"/>
            </w:tcBorders>
            <w:vAlign w:val="center"/>
            <w:hideMark/>
          </w:tcPr>
          <w:p w14:paraId="7E16EEE0"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14:00 - 15:59</w:t>
            </w:r>
          </w:p>
        </w:tc>
        <w:tc>
          <w:tcPr>
            <w:tcW w:w="1198" w:type="dxa"/>
            <w:tcBorders>
              <w:top w:val="single" w:sz="4" w:space="0" w:color="auto"/>
              <w:left w:val="nil"/>
              <w:bottom w:val="single" w:sz="4" w:space="0" w:color="auto"/>
              <w:right w:val="single" w:sz="4" w:space="0" w:color="auto"/>
            </w:tcBorders>
            <w:vAlign w:val="center"/>
            <w:hideMark/>
          </w:tcPr>
          <w:p w14:paraId="50D6FFA2"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16:00 - 17:59</w:t>
            </w:r>
          </w:p>
        </w:tc>
        <w:tc>
          <w:tcPr>
            <w:tcW w:w="920" w:type="dxa"/>
            <w:tcBorders>
              <w:top w:val="single" w:sz="4" w:space="0" w:color="auto"/>
              <w:left w:val="nil"/>
              <w:bottom w:val="single" w:sz="4" w:space="0" w:color="auto"/>
              <w:right w:val="single" w:sz="4" w:space="0" w:color="auto"/>
            </w:tcBorders>
            <w:vAlign w:val="center"/>
            <w:hideMark/>
          </w:tcPr>
          <w:p w14:paraId="6319D838" w14:textId="77777777" w:rsidR="00303252" w:rsidRPr="002168C4" w:rsidRDefault="00303252" w:rsidP="00DF724C">
            <w:pPr>
              <w:spacing w:after="0" w:line="240" w:lineRule="auto"/>
              <w:jc w:val="center"/>
              <w:rPr>
                <w:rFonts w:eastAsia="Times New Roman"/>
                <w:b/>
                <w:bCs/>
                <w:sz w:val="20"/>
                <w:szCs w:val="20"/>
                <w:lang w:eastAsia="en-GB"/>
              </w:rPr>
            </w:pPr>
            <w:r w:rsidRPr="002168C4">
              <w:rPr>
                <w:rFonts w:eastAsia="Times New Roman"/>
                <w:b/>
                <w:bCs/>
                <w:sz w:val="20"/>
                <w:szCs w:val="20"/>
                <w:lang w:eastAsia="en-GB"/>
              </w:rPr>
              <w:t>18:00 - 23:59</w:t>
            </w:r>
          </w:p>
        </w:tc>
      </w:tr>
      <w:tr w:rsidR="00303252" w:rsidRPr="002168C4" w14:paraId="10A07172"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27F535E4"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Monday</w:t>
            </w:r>
          </w:p>
        </w:tc>
        <w:tc>
          <w:tcPr>
            <w:tcW w:w="1197" w:type="dxa"/>
            <w:tcBorders>
              <w:top w:val="nil"/>
              <w:left w:val="nil"/>
              <w:bottom w:val="single" w:sz="4" w:space="0" w:color="auto"/>
              <w:right w:val="single" w:sz="4" w:space="0" w:color="auto"/>
            </w:tcBorders>
            <w:noWrap/>
            <w:vAlign w:val="center"/>
            <w:hideMark/>
          </w:tcPr>
          <w:p w14:paraId="05212DB2"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6,652</w:t>
            </w:r>
          </w:p>
        </w:tc>
        <w:tc>
          <w:tcPr>
            <w:tcW w:w="1198" w:type="dxa"/>
            <w:tcBorders>
              <w:top w:val="nil"/>
              <w:left w:val="nil"/>
              <w:bottom w:val="single" w:sz="4" w:space="0" w:color="auto"/>
              <w:right w:val="single" w:sz="4" w:space="0" w:color="auto"/>
            </w:tcBorders>
            <w:noWrap/>
            <w:vAlign w:val="center"/>
            <w:hideMark/>
          </w:tcPr>
          <w:p w14:paraId="64E2AC2D"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223,525</w:t>
            </w:r>
          </w:p>
        </w:tc>
        <w:tc>
          <w:tcPr>
            <w:tcW w:w="1198" w:type="dxa"/>
            <w:tcBorders>
              <w:top w:val="nil"/>
              <w:left w:val="nil"/>
              <w:bottom w:val="single" w:sz="4" w:space="0" w:color="auto"/>
              <w:right w:val="single" w:sz="4" w:space="0" w:color="auto"/>
            </w:tcBorders>
            <w:noWrap/>
            <w:vAlign w:val="center"/>
            <w:hideMark/>
          </w:tcPr>
          <w:p w14:paraId="66F4221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498,196</w:t>
            </w:r>
          </w:p>
        </w:tc>
        <w:tc>
          <w:tcPr>
            <w:tcW w:w="1198" w:type="dxa"/>
            <w:tcBorders>
              <w:top w:val="nil"/>
              <w:left w:val="nil"/>
              <w:bottom w:val="single" w:sz="4" w:space="0" w:color="auto"/>
              <w:right w:val="single" w:sz="4" w:space="0" w:color="auto"/>
            </w:tcBorders>
            <w:noWrap/>
            <w:vAlign w:val="center"/>
            <w:hideMark/>
          </w:tcPr>
          <w:p w14:paraId="3ECDEF0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258,674</w:t>
            </w:r>
          </w:p>
        </w:tc>
        <w:tc>
          <w:tcPr>
            <w:tcW w:w="1197" w:type="dxa"/>
            <w:tcBorders>
              <w:top w:val="nil"/>
              <w:left w:val="nil"/>
              <w:bottom w:val="single" w:sz="4" w:space="0" w:color="auto"/>
              <w:right w:val="single" w:sz="4" w:space="0" w:color="auto"/>
            </w:tcBorders>
            <w:noWrap/>
            <w:vAlign w:val="center"/>
            <w:hideMark/>
          </w:tcPr>
          <w:p w14:paraId="7D58C639"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176,782</w:t>
            </w:r>
          </w:p>
        </w:tc>
        <w:tc>
          <w:tcPr>
            <w:tcW w:w="1198" w:type="dxa"/>
            <w:tcBorders>
              <w:top w:val="nil"/>
              <w:left w:val="nil"/>
              <w:bottom w:val="single" w:sz="4" w:space="0" w:color="auto"/>
              <w:right w:val="single" w:sz="4" w:space="0" w:color="auto"/>
            </w:tcBorders>
            <w:noWrap/>
            <w:vAlign w:val="center"/>
            <w:hideMark/>
          </w:tcPr>
          <w:p w14:paraId="51B96640"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140,880</w:t>
            </w:r>
          </w:p>
        </w:tc>
        <w:tc>
          <w:tcPr>
            <w:tcW w:w="1198" w:type="dxa"/>
            <w:tcBorders>
              <w:top w:val="nil"/>
              <w:left w:val="nil"/>
              <w:bottom w:val="single" w:sz="4" w:space="0" w:color="auto"/>
              <w:right w:val="single" w:sz="4" w:space="0" w:color="auto"/>
            </w:tcBorders>
            <w:noWrap/>
            <w:vAlign w:val="center"/>
            <w:hideMark/>
          </w:tcPr>
          <w:p w14:paraId="509494AB"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76,121</w:t>
            </w:r>
          </w:p>
        </w:tc>
        <w:tc>
          <w:tcPr>
            <w:tcW w:w="920" w:type="dxa"/>
            <w:tcBorders>
              <w:top w:val="nil"/>
              <w:left w:val="nil"/>
              <w:bottom w:val="single" w:sz="4" w:space="0" w:color="auto"/>
              <w:right w:val="single" w:sz="4" w:space="0" w:color="auto"/>
            </w:tcBorders>
            <w:noWrap/>
            <w:vAlign w:val="center"/>
            <w:hideMark/>
          </w:tcPr>
          <w:p w14:paraId="6F1841C7"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28,160</w:t>
            </w:r>
          </w:p>
        </w:tc>
      </w:tr>
      <w:tr w:rsidR="00303252" w:rsidRPr="002168C4" w14:paraId="13C16991"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762CE985"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Tuesday</w:t>
            </w:r>
          </w:p>
        </w:tc>
        <w:tc>
          <w:tcPr>
            <w:tcW w:w="1197" w:type="dxa"/>
            <w:tcBorders>
              <w:top w:val="nil"/>
              <w:left w:val="nil"/>
              <w:bottom w:val="single" w:sz="4" w:space="0" w:color="auto"/>
              <w:right w:val="single" w:sz="4" w:space="0" w:color="auto"/>
            </w:tcBorders>
            <w:noWrap/>
            <w:vAlign w:val="center"/>
            <w:hideMark/>
          </w:tcPr>
          <w:p w14:paraId="34077B9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5,335</w:t>
            </w:r>
          </w:p>
        </w:tc>
        <w:tc>
          <w:tcPr>
            <w:tcW w:w="1198" w:type="dxa"/>
            <w:tcBorders>
              <w:top w:val="nil"/>
              <w:left w:val="nil"/>
              <w:bottom w:val="single" w:sz="4" w:space="0" w:color="auto"/>
              <w:right w:val="single" w:sz="4" w:space="0" w:color="auto"/>
            </w:tcBorders>
            <w:noWrap/>
            <w:vAlign w:val="center"/>
            <w:hideMark/>
          </w:tcPr>
          <w:p w14:paraId="1E1E303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146,615</w:t>
            </w:r>
          </w:p>
        </w:tc>
        <w:tc>
          <w:tcPr>
            <w:tcW w:w="1198" w:type="dxa"/>
            <w:tcBorders>
              <w:top w:val="nil"/>
              <w:left w:val="nil"/>
              <w:bottom w:val="single" w:sz="4" w:space="0" w:color="auto"/>
              <w:right w:val="single" w:sz="4" w:space="0" w:color="auto"/>
            </w:tcBorders>
            <w:noWrap/>
            <w:vAlign w:val="center"/>
            <w:hideMark/>
          </w:tcPr>
          <w:p w14:paraId="072D9E2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331,331</w:t>
            </w:r>
          </w:p>
        </w:tc>
        <w:tc>
          <w:tcPr>
            <w:tcW w:w="1198" w:type="dxa"/>
            <w:tcBorders>
              <w:top w:val="nil"/>
              <w:left w:val="nil"/>
              <w:bottom w:val="single" w:sz="4" w:space="0" w:color="auto"/>
              <w:right w:val="single" w:sz="4" w:space="0" w:color="auto"/>
            </w:tcBorders>
            <w:noWrap/>
            <w:vAlign w:val="center"/>
            <w:hideMark/>
          </w:tcPr>
          <w:p w14:paraId="7C1A1483"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192,803</w:t>
            </w:r>
          </w:p>
        </w:tc>
        <w:tc>
          <w:tcPr>
            <w:tcW w:w="1197" w:type="dxa"/>
            <w:tcBorders>
              <w:top w:val="nil"/>
              <w:left w:val="nil"/>
              <w:bottom w:val="single" w:sz="4" w:space="0" w:color="auto"/>
              <w:right w:val="single" w:sz="4" w:space="0" w:color="auto"/>
            </w:tcBorders>
            <w:shd w:val="clear" w:color="000000" w:fill="DAE9F8"/>
            <w:noWrap/>
            <w:vAlign w:val="center"/>
            <w:hideMark/>
          </w:tcPr>
          <w:p w14:paraId="0F91E293"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137,781</w:t>
            </w:r>
          </w:p>
        </w:tc>
        <w:tc>
          <w:tcPr>
            <w:tcW w:w="1198" w:type="dxa"/>
            <w:tcBorders>
              <w:top w:val="nil"/>
              <w:left w:val="nil"/>
              <w:bottom w:val="single" w:sz="4" w:space="0" w:color="auto"/>
              <w:right w:val="single" w:sz="4" w:space="0" w:color="auto"/>
            </w:tcBorders>
            <w:shd w:val="clear" w:color="000000" w:fill="DAE9F8"/>
            <w:noWrap/>
            <w:vAlign w:val="center"/>
            <w:hideMark/>
          </w:tcPr>
          <w:p w14:paraId="6AADD3FA"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114,389</w:t>
            </w:r>
          </w:p>
        </w:tc>
        <w:tc>
          <w:tcPr>
            <w:tcW w:w="1198" w:type="dxa"/>
            <w:tcBorders>
              <w:top w:val="nil"/>
              <w:left w:val="nil"/>
              <w:bottom w:val="single" w:sz="4" w:space="0" w:color="auto"/>
              <w:right w:val="single" w:sz="4" w:space="0" w:color="auto"/>
            </w:tcBorders>
            <w:shd w:val="clear" w:color="000000" w:fill="DAE9F8"/>
            <w:noWrap/>
            <w:vAlign w:val="center"/>
            <w:hideMark/>
          </w:tcPr>
          <w:p w14:paraId="29AA0EF7"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63,358</w:t>
            </w:r>
          </w:p>
        </w:tc>
        <w:tc>
          <w:tcPr>
            <w:tcW w:w="920" w:type="dxa"/>
            <w:tcBorders>
              <w:top w:val="nil"/>
              <w:left w:val="nil"/>
              <w:bottom w:val="single" w:sz="4" w:space="0" w:color="auto"/>
              <w:right w:val="single" w:sz="4" w:space="0" w:color="auto"/>
            </w:tcBorders>
            <w:shd w:val="clear" w:color="000000" w:fill="DAE9F8"/>
            <w:noWrap/>
            <w:vAlign w:val="center"/>
            <w:hideMark/>
          </w:tcPr>
          <w:p w14:paraId="7C0CD7D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25,223</w:t>
            </w:r>
          </w:p>
        </w:tc>
      </w:tr>
      <w:tr w:rsidR="00303252" w:rsidRPr="002168C4" w14:paraId="0A6895BA"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7DFB88F5"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Wednesday</w:t>
            </w:r>
          </w:p>
        </w:tc>
        <w:tc>
          <w:tcPr>
            <w:tcW w:w="1197" w:type="dxa"/>
            <w:tcBorders>
              <w:top w:val="nil"/>
              <w:left w:val="nil"/>
              <w:bottom w:val="single" w:sz="4" w:space="0" w:color="auto"/>
              <w:right w:val="single" w:sz="4" w:space="0" w:color="auto"/>
            </w:tcBorders>
            <w:noWrap/>
            <w:vAlign w:val="center"/>
            <w:hideMark/>
          </w:tcPr>
          <w:p w14:paraId="35C2226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4,931</w:t>
            </w:r>
          </w:p>
        </w:tc>
        <w:tc>
          <w:tcPr>
            <w:tcW w:w="1198" w:type="dxa"/>
            <w:tcBorders>
              <w:top w:val="nil"/>
              <w:left w:val="nil"/>
              <w:bottom w:val="single" w:sz="4" w:space="0" w:color="auto"/>
              <w:right w:val="single" w:sz="4" w:space="0" w:color="auto"/>
            </w:tcBorders>
            <w:noWrap/>
            <w:vAlign w:val="center"/>
            <w:hideMark/>
          </w:tcPr>
          <w:p w14:paraId="73AFA083"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134,800</w:t>
            </w:r>
          </w:p>
        </w:tc>
        <w:tc>
          <w:tcPr>
            <w:tcW w:w="1198" w:type="dxa"/>
            <w:tcBorders>
              <w:top w:val="nil"/>
              <w:left w:val="nil"/>
              <w:bottom w:val="single" w:sz="4" w:space="0" w:color="auto"/>
              <w:right w:val="single" w:sz="4" w:space="0" w:color="auto"/>
            </w:tcBorders>
            <w:noWrap/>
            <w:vAlign w:val="center"/>
            <w:hideMark/>
          </w:tcPr>
          <w:p w14:paraId="33ADB787"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301,662</w:t>
            </w:r>
          </w:p>
        </w:tc>
        <w:tc>
          <w:tcPr>
            <w:tcW w:w="1198" w:type="dxa"/>
            <w:tcBorders>
              <w:top w:val="nil"/>
              <w:left w:val="nil"/>
              <w:bottom w:val="single" w:sz="4" w:space="0" w:color="auto"/>
              <w:right w:val="single" w:sz="4" w:space="0" w:color="auto"/>
            </w:tcBorders>
            <w:noWrap/>
            <w:vAlign w:val="center"/>
            <w:hideMark/>
          </w:tcPr>
          <w:p w14:paraId="2A668C49"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179,543</w:t>
            </w:r>
          </w:p>
        </w:tc>
        <w:tc>
          <w:tcPr>
            <w:tcW w:w="1197" w:type="dxa"/>
            <w:tcBorders>
              <w:top w:val="nil"/>
              <w:left w:val="nil"/>
              <w:bottom w:val="single" w:sz="4" w:space="0" w:color="auto"/>
              <w:right w:val="single" w:sz="4" w:space="0" w:color="auto"/>
            </w:tcBorders>
            <w:shd w:val="clear" w:color="000000" w:fill="DAE9F8"/>
            <w:noWrap/>
            <w:vAlign w:val="center"/>
            <w:hideMark/>
          </w:tcPr>
          <w:p w14:paraId="3B20A8FB"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127,320</w:t>
            </w:r>
          </w:p>
        </w:tc>
        <w:tc>
          <w:tcPr>
            <w:tcW w:w="1198" w:type="dxa"/>
            <w:tcBorders>
              <w:top w:val="nil"/>
              <w:left w:val="nil"/>
              <w:bottom w:val="single" w:sz="4" w:space="0" w:color="auto"/>
              <w:right w:val="single" w:sz="4" w:space="0" w:color="auto"/>
            </w:tcBorders>
            <w:shd w:val="clear" w:color="000000" w:fill="DAE9F8"/>
            <w:noWrap/>
            <w:vAlign w:val="center"/>
            <w:hideMark/>
          </w:tcPr>
          <w:p w14:paraId="6EFF8491"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105,208</w:t>
            </w:r>
          </w:p>
        </w:tc>
        <w:tc>
          <w:tcPr>
            <w:tcW w:w="1198" w:type="dxa"/>
            <w:tcBorders>
              <w:top w:val="nil"/>
              <w:left w:val="nil"/>
              <w:bottom w:val="single" w:sz="4" w:space="0" w:color="auto"/>
              <w:right w:val="single" w:sz="4" w:space="0" w:color="auto"/>
            </w:tcBorders>
            <w:shd w:val="clear" w:color="000000" w:fill="DAE9F8"/>
            <w:noWrap/>
            <w:vAlign w:val="center"/>
            <w:hideMark/>
          </w:tcPr>
          <w:p w14:paraId="5B8D914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57,507</w:t>
            </w:r>
          </w:p>
        </w:tc>
        <w:tc>
          <w:tcPr>
            <w:tcW w:w="920" w:type="dxa"/>
            <w:tcBorders>
              <w:top w:val="nil"/>
              <w:left w:val="nil"/>
              <w:bottom w:val="single" w:sz="4" w:space="0" w:color="auto"/>
              <w:right w:val="single" w:sz="4" w:space="0" w:color="auto"/>
            </w:tcBorders>
            <w:shd w:val="clear" w:color="000000" w:fill="DAE9F8"/>
            <w:noWrap/>
            <w:vAlign w:val="center"/>
            <w:hideMark/>
          </w:tcPr>
          <w:p w14:paraId="610B527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23,383</w:t>
            </w:r>
          </w:p>
        </w:tc>
      </w:tr>
      <w:tr w:rsidR="00303252" w:rsidRPr="002168C4" w14:paraId="6DD308F2"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6944ADE6"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Thursday</w:t>
            </w:r>
          </w:p>
        </w:tc>
        <w:tc>
          <w:tcPr>
            <w:tcW w:w="1197" w:type="dxa"/>
            <w:tcBorders>
              <w:top w:val="nil"/>
              <w:left w:val="nil"/>
              <w:bottom w:val="single" w:sz="4" w:space="0" w:color="auto"/>
              <w:right w:val="single" w:sz="4" w:space="0" w:color="auto"/>
            </w:tcBorders>
            <w:noWrap/>
            <w:vAlign w:val="center"/>
            <w:hideMark/>
          </w:tcPr>
          <w:p w14:paraId="0AD04CA4"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4,735</w:t>
            </w:r>
          </w:p>
        </w:tc>
        <w:tc>
          <w:tcPr>
            <w:tcW w:w="1198" w:type="dxa"/>
            <w:tcBorders>
              <w:top w:val="nil"/>
              <w:left w:val="nil"/>
              <w:bottom w:val="single" w:sz="4" w:space="0" w:color="auto"/>
              <w:right w:val="single" w:sz="4" w:space="0" w:color="auto"/>
            </w:tcBorders>
            <w:noWrap/>
            <w:vAlign w:val="center"/>
            <w:hideMark/>
          </w:tcPr>
          <w:p w14:paraId="7418DB42"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127,434</w:t>
            </w:r>
          </w:p>
        </w:tc>
        <w:tc>
          <w:tcPr>
            <w:tcW w:w="1198" w:type="dxa"/>
            <w:tcBorders>
              <w:top w:val="nil"/>
              <w:left w:val="nil"/>
              <w:bottom w:val="single" w:sz="4" w:space="0" w:color="auto"/>
              <w:right w:val="single" w:sz="4" w:space="0" w:color="auto"/>
            </w:tcBorders>
            <w:noWrap/>
            <w:vAlign w:val="center"/>
            <w:hideMark/>
          </w:tcPr>
          <w:p w14:paraId="78A06F34"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287,982</w:t>
            </w:r>
          </w:p>
        </w:tc>
        <w:tc>
          <w:tcPr>
            <w:tcW w:w="1198" w:type="dxa"/>
            <w:tcBorders>
              <w:top w:val="nil"/>
              <w:left w:val="nil"/>
              <w:bottom w:val="single" w:sz="4" w:space="0" w:color="auto"/>
              <w:right w:val="single" w:sz="4" w:space="0" w:color="auto"/>
            </w:tcBorders>
            <w:noWrap/>
            <w:vAlign w:val="center"/>
            <w:hideMark/>
          </w:tcPr>
          <w:p w14:paraId="3DD72463"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171,736</w:t>
            </w:r>
          </w:p>
        </w:tc>
        <w:tc>
          <w:tcPr>
            <w:tcW w:w="1197" w:type="dxa"/>
            <w:tcBorders>
              <w:top w:val="nil"/>
              <w:left w:val="nil"/>
              <w:bottom w:val="single" w:sz="4" w:space="0" w:color="auto"/>
              <w:right w:val="single" w:sz="4" w:space="0" w:color="auto"/>
            </w:tcBorders>
            <w:shd w:val="clear" w:color="000000" w:fill="DAE9F8"/>
            <w:noWrap/>
            <w:vAlign w:val="center"/>
            <w:hideMark/>
          </w:tcPr>
          <w:p w14:paraId="019BC59B"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121,178</w:t>
            </w:r>
          </w:p>
        </w:tc>
        <w:tc>
          <w:tcPr>
            <w:tcW w:w="1198" w:type="dxa"/>
            <w:tcBorders>
              <w:top w:val="nil"/>
              <w:left w:val="nil"/>
              <w:bottom w:val="single" w:sz="4" w:space="0" w:color="auto"/>
              <w:right w:val="single" w:sz="4" w:space="0" w:color="auto"/>
            </w:tcBorders>
            <w:shd w:val="clear" w:color="000000" w:fill="DAE9F8"/>
            <w:noWrap/>
            <w:vAlign w:val="center"/>
            <w:hideMark/>
          </w:tcPr>
          <w:p w14:paraId="4FF88467"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100,375</w:t>
            </w:r>
          </w:p>
        </w:tc>
        <w:tc>
          <w:tcPr>
            <w:tcW w:w="1198" w:type="dxa"/>
            <w:tcBorders>
              <w:top w:val="nil"/>
              <w:left w:val="nil"/>
              <w:bottom w:val="single" w:sz="4" w:space="0" w:color="auto"/>
              <w:right w:val="single" w:sz="4" w:space="0" w:color="auto"/>
            </w:tcBorders>
            <w:shd w:val="clear" w:color="000000" w:fill="DAE9F8"/>
            <w:noWrap/>
            <w:vAlign w:val="center"/>
            <w:hideMark/>
          </w:tcPr>
          <w:p w14:paraId="0BFC4CF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54,403</w:t>
            </w:r>
          </w:p>
        </w:tc>
        <w:tc>
          <w:tcPr>
            <w:tcW w:w="920" w:type="dxa"/>
            <w:tcBorders>
              <w:top w:val="nil"/>
              <w:left w:val="nil"/>
              <w:bottom w:val="single" w:sz="4" w:space="0" w:color="auto"/>
              <w:right w:val="single" w:sz="4" w:space="0" w:color="auto"/>
            </w:tcBorders>
            <w:shd w:val="clear" w:color="000000" w:fill="DAE9F8"/>
            <w:noWrap/>
            <w:vAlign w:val="center"/>
            <w:hideMark/>
          </w:tcPr>
          <w:p w14:paraId="69228EF4"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21,374</w:t>
            </w:r>
          </w:p>
        </w:tc>
      </w:tr>
      <w:tr w:rsidR="00303252" w:rsidRPr="002168C4" w14:paraId="045F1A94"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540B11BE"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Friday</w:t>
            </w:r>
          </w:p>
        </w:tc>
        <w:tc>
          <w:tcPr>
            <w:tcW w:w="1197" w:type="dxa"/>
            <w:tcBorders>
              <w:top w:val="nil"/>
              <w:left w:val="nil"/>
              <w:bottom w:val="single" w:sz="4" w:space="0" w:color="auto"/>
              <w:right w:val="single" w:sz="4" w:space="0" w:color="auto"/>
            </w:tcBorders>
            <w:noWrap/>
            <w:vAlign w:val="center"/>
            <w:hideMark/>
          </w:tcPr>
          <w:p w14:paraId="47B47A2B"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4,484</w:t>
            </w:r>
          </w:p>
        </w:tc>
        <w:tc>
          <w:tcPr>
            <w:tcW w:w="1198" w:type="dxa"/>
            <w:tcBorders>
              <w:top w:val="nil"/>
              <w:left w:val="nil"/>
              <w:bottom w:val="single" w:sz="4" w:space="0" w:color="auto"/>
              <w:right w:val="single" w:sz="4" w:space="0" w:color="auto"/>
            </w:tcBorders>
            <w:noWrap/>
            <w:vAlign w:val="center"/>
            <w:hideMark/>
          </w:tcPr>
          <w:p w14:paraId="71BF9CC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125,473</w:t>
            </w:r>
          </w:p>
        </w:tc>
        <w:tc>
          <w:tcPr>
            <w:tcW w:w="1198" w:type="dxa"/>
            <w:tcBorders>
              <w:top w:val="nil"/>
              <w:left w:val="nil"/>
              <w:bottom w:val="single" w:sz="4" w:space="0" w:color="auto"/>
              <w:right w:val="single" w:sz="4" w:space="0" w:color="auto"/>
            </w:tcBorders>
            <w:noWrap/>
            <w:vAlign w:val="center"/>
            <w:hideMark/>
          </w:tcPr>
          <w:p w14:paraId="5EEEAAB4"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278,240</w:t>
            </w:r>
          </w:p>
        </w:tc>
        <w:tc>
          <w:tcPr>
            <w:tcW w:w="1198" w:type="dxa"/>
            <w:tcBorders>
              <w:top w:val="nil"/>
              <w:left w:val="nil"/>
              <w:bottom w:val="single" w:sz="4" w:space="0" w:color="auto"/>
              <w:right w:val="single" w:sz="4" w:space="0" w:color="auto"/>
            </w:tcBorders>
            <w:noWrap/>
            <w:vAlign w:val="center"/>
            <w:hideMark/>
          </w:tcPr>
          <w:p w14:paraId="05179396"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164,277</w:t>
            </w:r>
          </w:p>
        </w:tc>
        <w:tc>
          <w:tcPr>
            <w:tcW w:w="1197" w:type="dxa"/>
            <w:tcBorders>
              <w:top w:val="nil"/>
              <w:left w:val="nil"/>
              <w:bottom w:val="single" w:sz="4" w:space="0" w:color="auto"/>
              <w:right w:val="single" w:sz="4" w:space="0" w:color="auto"/>
            </w:tcBorders>
            <w:noWrap/>
            <w:vAlign w:val="center"/>
            <w:hideMark/>
          </w:tcPr>
          <w:p w14:paraId="74858CF3"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115,176</w:t>
            </w:r>
          </w:p>
        </w:tc>
        <w:tc>
          <w:tcPr>
            <w:tcW w:w="1198" w:type="dxa"/>
            <w:tcBorders>
              <w:top w:val="nil"/>
              <w:left w:val="nil"/>
              <w:bottom w:val="single" w:sz="4" w:space="0" w:color="auto"/>
              <w:right w:val="single" w:sz="4" w:space="0" w:color="auto"/>
            </w:tcBorders>
            <w:noWrap/>
            <w:vAlign w:val="center"/>
            <w:hideMark/>
          </w:tcPr>
          <w:p w14:paraId="427D2D9B"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91,750</w:t>
            </w:r>
          </w:p>
        </w:tc>
        <w:tc>
          <w:tcPr>
            <w:tcW w:w="1198" w:type="dxa"/>
            <w:tcBorders>
              <w:top w:val="nil"/>
              <w:left w:val="nil"/>
              <w:bottom w:val="single" w:sz="4" w:space="0" w:color="auto"/>
              <w:right w:val="single" w:sz="4" w:space="0" w:color="auto"/>
            </w:tcBorders>
            <w:noWrap/>
            <w:vAlign w:val="center"/>
            <w:hideMark/>
          </w:tcPr>
          <w:p w14:paraId="574B595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42,291</w:t>
            </w:r>
          </w:p>
        </w:tc>
        <w:tc>
          <w:tcPr>
            <w:tcW w:w="920" w:type="dxa"/>
            <w:tcBorders>
              <w:top w:val="nil"/>
              <w:left w:val="nil"/>
              <w:bottom w:val="single" w:sz="4" w:space="0" w:color="auto"/>
              <w:right w:val="single" w:sz="4" w:space="0" w:color="auto"/>
            </w:tcBorders>
            <w:noWrap/>
            <w:vAlign w:val="center"/>
            <w:hideMark/>
          </w:tcPr>
          <w:p w14:paraId="00B03E9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11,403</w:t>
            </w:r>
          </w:p>
        </w:tc>
      </w:tr>
      <w:tr w:rsidR="00303252" w:rsidRPr="002168C4" w14:paraId="170BB4CC"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4F8B57D0"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Saturday</w:t>
            </w:r>
          </w:p>
        </w:tc>
        <w:tc>
          <w:tcPr>
            <w:tcW w:w="1197" w:type="dxa"/>
            <w:tcBorders>
              <w:top w:val="nil"/>
              <w:left w:val="nil"/>
              <w:bottom w:val="single" w:sz="4" w:space="0" w:color="auto"/>
              <w:right w:val="single" w:sz="4" w:space="0" w:color="auto"/>
            </w:tcBorders>
            <w:noWrap/>
            <w:vAlign w:val="center"/>
            <w:hideMark/>
          </w:tcPr>
          <w:p w14:paraId="2FB4A6CE"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1,237</w:t>
            </w:r>
          </w:p>
        </w:tc>
        <w:tc>
          <w:tcPr>
            <w:tcW w:w="1198" w:type="dxa"/>
            <w:tcBorders>
              <w:top w:val="nil"/>
              <w:left w:val="nil"/>
              <w:bottom w:val="single" w:sz="4" w:space="0" w:color="auto"/>
              <w:right w:val="single" w:sz="4" w:space="0" w:color="auto"/>
            </w:tcBorders>
            <w:noWrap/>
            <w:vAlign w:val="center"/>
            <w:hideMark/>
          </w:tcPr>
          <w:p w14:paraId="406FF810"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2,130</w:t>
            </w:r>
          </w:p>
        </w:tc>
        <w:tc>
          <w:tcPr>
            <w:tcW w:w="1198" w:type="dxa"/>
            <w:tcBorders>
              <w:top w:val="nil"/>
              <w:left w:val="nil"/>
              <w:bottom w:val="single" w:sz="4" w:space="0" w:color="auto"/>
              <w:right w:val="single" w:sz="4" w:space="0" w:color="auto"/>
            </w:tcBorders>
            <w:noWrap/>
            <w:vAlign w:val="center"/>
            <w:hideMark/>
          </w:tcPr>
          <w:p w14:paraId="228C65BD"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4,683</w:t>
            </w:r>
          </w:p>
        </w:tc>
        <w:tc>
          <w:tcPr>
            <w:tcW w:w="1198" w:type="dxa"/>
            <w:tcBorders>
              <w:top w:val="nil"/>
              <w:left w:val="nil"/>
              <w:bottom w:val="single" w:sz="4" w:space="0" w:color="auto"/>
              <w:right w:val="single" w:sz="4" w:space="0" w:color="auto"/>
            </w:tcBorders>
            <w:noWrap/>
            <w:vAlign w:val="center"/>
            <w:hideMark/>
          </w:tcPr>
          <w:p w14:paraId="7F27DB06"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4,832</w:t>
            </w:r>
          </w:p>
        </w:tc>
        <w:tc>
          <w:tcPr>
            <w:tcW w:w="1197" w:type="dxa"/>
            <w:tcBorders>
              <w:top w:val="nil"/>
              <w:left w:val="nil"/>
              <w:bottom w:val="single" w:sz="4" w:space="0" w:color="auto"/>
              <w:right w:val="single" w:sz="4" w:space="0" w:color="auto"/>
            </w:tcBorders>
            <w:noWrap/>
            <w:vAlign w:val="center"/>
            <w:hideMark/>
          </w:tcPr>
          <w:p w14:paraId="370A6D71"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3,740</w:t>
            </w:r>
          </w:p>
        </w:tc>
        <w:tc>
          <w:tcPr>
            <w:tcW w:w="1198" w:type="dxa"/>
            <w:tcBorders>
              <w:top w:val="nil"/>
              <w:left w:val="nil"/>
              <w:bottom w:val="single" w:sz="4" w:space="0" w:color="auto"/>
              <w:right w:val="single" w:sz="4" w:space="0" w:color="auto"/>
            </w:tcBorders>
            <w:noWrap/>
            <w:vAlign w:val="center"/>
            <w:hideMark/>
          </w:tcPr>
          <w:p w14:paraId="2615500F"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3,060</w:t>
            </w:r>
          </w:p>
        </w:tc>
        <w:tc>
          <w:tcPr>
            <w:tcW w:w="1198" w:type="dxa"/>
            <w:tcBorders>
              <w:top w:val="nil"/>
              <w:left w:val="nil"/>
              <w:bottom w:val="single" w:sz="4" w:space="0" w:color="auto"/>
              <w:right w:val="single" w:sz="4" w:space="0" w:color="auto"/>
            </w:tcBorders>
            <w:noWrap/>
            <w:vAlign w:val="center"/>
            <w:hideMark/>
          </w:tcPr>
          <w:p w14:paraId="1AAD184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2,595</w:t>
            </w:r>
          </w:p>
        </w:tc>
        <w:tc>
          <w:tcPr>
            <w:tcW w:w="920" w:type="dxa"/>
            <w:tcBorders>
              <w:top w:val="nil"/>
              <w:left w:val="nil"/>
              <w:bottom w:val="single" w:sz="4" w:space="0" w:color="auto"/>
              <w:right w:val="single" w:sz="4" w:space="0" w:color="auto"/>
            </w:tcBorders>
            <w:noWrap/>
            <w:vAlign w:val="center"/>
            <w:hideMark/>
          </w:tcPr>
          <w:p w14:paraId="7D894AE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5,884</w:t>
            </w:r>
          </w:p>
        </w:tc>
      </w:tr>
      <w:tr w:rsidR="00303252" w:rsidRPr="002168C4" w14:paraId="627A5940" w14:textId="77777777" w:rsidTr="00DF724C">
        <w:trPr>
          <w:trHeight w:val="550"/>
        </w:trPr>
        <w:tc>
          <w:tcPr>
            <w:tcW w:w="1328" w:type="dxa"/>
            <w:tcBorders>
              <w:top w:val="nil"/>
              <w:left w:val="single" w:sz="4" w:space="0" w:color="auto"/>
              <w:bottom w:val="single" w:sz="4" w:space="0" w:color="auto"/>
              <w:right w:val="single" w:sz="4" w:space="0" w:color="auto"/>
            </w:tcBorders>
            <w:noWrap/>
            <w:vAlign w:val="center"/>
            <w:hideMark/>
          </w:tcPr>
          <w:p w14:paraId="3723BC2B" w14:textId="77777777" w:rsidR="00303252" w:rsidRPr="002168C4" w:rsidRDefault="00303252" w:rsidP="00DF724C">
            <w:pPr>
              <w:spacing w:after="0" w:line="240" w:lineRule="auto"/>
              <w:rPr>
                <w:rFonts w:eastAsia="Times New Roman"/>
                <w:b/>
                <w:bCs/>
                <w:sz w:val="20"/>
                <w:szCs w:val="20"/>
                <w:lang w:eastAsia="en-GB"/>
              </w:rPr>
            </w:pPr>
            <w:r w:rsidRPr="002168C4">
              <w:rPr>
                <w:rFonts w:eastAsia="Times New Roman"/>
                <w:b/>
                <w:bCs/>
                <w:sz w:val="20"/>
                <w:szCs w:val="20"/>
                <w:lang w:eastAsia="en-GB"/>
              </w:rPr>
              <w:t>Sunday</w:t>
            </w:r>
          </w:p>
        </w:tc>
        <w:tc>
          <w:tcPr>
            <w:tcW w:w="1197" w:type="dxa"/>
            <w:tcBorders>
              <w:top w:val="nil"/>
              <w:left w:val="nil"/>
              <w:bottom w:val="single" w:sz="4" w:space="0" w:color="auto"/>
              <w:right w:val="single" w:sz="4" w:space="0" w:color="auto"/>
            </w:tcBorders>
            <w:noWrap/>
            <w:vAlign w:val="center"/>
            <w:hideMark/>
          </w:tcPr>
          <w:p w14:paraId="70F69117"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1,131</w:t>
            </w:r>
          </w:p>
        </w:tc>
        <w:tc>
          <w:tcPr>
            <w:tcW w:w="1198" w:type="dxa"/>
            <w:tcBorders>
              <w:top w:val="nil"/>
              <w:left w:val="nil"/>
              <w:bottom w:val="single" w:sz="4" w:space="0" w:color="auto"/>
              <w:right w:val="single" w:sz="4" w:space="0" w:color="auto"/>
            </w:tcBorders>
            <w:noWrap/>
            <w:vAlign w:val="center"/>
            <w:hideMark/>
          </w:tcPr>
          <w:p w14:paraId="3E290688"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1,780</w:t>
            </w:r>
          </w:p>
        </w:tc>
        <w:tc>
          <w:tcPr>
            <w:tcW w:w="1198" w:type="dxa"/>
            <w:tcBorders>
              <w:top w:val="nil"/>
              <w:left w:val="nil"/>
              <w:bottom w:val="single" w:sz="4" w:space="0" w:color="auto"/>
              <w:right w:val="single" w:sz="4" w:space="0" w:color="auto"/>
            </w:tcBorders>
            <w:noWrap/>
            <w:vAlign w:val="center"/>
            <w:hideMark/>
          </w:tcPr>
          <w:p w14:paraId="46EC6DE4"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4,426</w:t>
            </w:r>
          </w:p>
        </w:tc>
        <w:tc>
          <w:tcPr>
            <w:tcW w:w="1198" w:type="dxa"/>
            <w:tcBorders>
              <w:top w:val="nil"/>
              <w:left w:val="nil"/>
              <w:bottom w:val="single" w:sz="4" w:space="0" w:color="auto"/>
              <w:right w:val="single" w:sz="4" w:space="0" w:color="auto"/>
            </w:tcBorders>
            <w:noWrap/>
            <w:vAlign w:val="center"/>
            <w:hideMark/>
          </w:tcPr>
          <w:p w14:paraId="77409F8A"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4,899</w:t>
            </w:r>
          </w:p>
        </w:tc>
        <w:tc>
          <w:tcPr>
            <w:tcW w:w="1197" w:type="dxa"/>
            <w:tcBorders>
              <w:top w:val="nil"/>
              <w:left w:val="nil"/>
              <w:bottom w:val="single" w:sz="4" w:space="0" w:color="auto"/>
              <w:right w:val="single" w:sz="4" w:space="0" w:color="auto"/>
            </w:tcBorders>
            <w:noWrap/>
            <w:vAlign w:val="center"/>
            <w:hideMark/>
          </w:tcPr>
          <w:p w14:paraId="05355790"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4,319</w:t>
            </w:r>
          </w:p>
        </w:tc>
        <w:tc>
          <w:tcPr>
            <w:tcW w:w="1198" w:type="dxa"/>
            <w:tcBorders>
              <w:top w:val="nil"/>
              <w:left w:val="nil"/>
              <w:bottom w:val="single" w:sz="4" w:space="0" w:color="auto"/>
              <w:right w:val="single" w:sz="4" w:space="0" w:color="auto"/>
            </w:tcBorders>
            <w:noWrap/>
            <w:vAlign w:val="center"/>
            <w:hideMark/>
          </w:tcPr>
          <w:p w14:paraId="6A6CEE7A"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4,354</w:t>
            </w:r>
          </w:p>
        </w:tc>
        <w:tc>
          <w:tcPr>
            <w:tcW w:w="1198" w:type="dxa"/>
            <w:tcBorders>
              <w:top w:val="nil"/>
              <w:left w:val="nil"/>
              <w:bottom w:val="single" w:sz="4" w:space="0" w:color="auto"/>
              <w:right w:val="single" w:sz="4" w:space="0" w:color="auto"/>
            </w:tcBorders>
            <w:noWrap/>
            <w:vAlign w:val="center"/>
            <w:hideMark/>
          </w:tcPr>
          <w:p w14:paraId="70059CE1"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4,968</w:t>
            </w:r>
          </w:p>
        </w:tc>
        <w:tc>
          <w:tcPr>
            <w:tcW w:w="920" w:type="dxa"/>
            <w:tcBorders>
              <w:top w:val="nil"/>
              <w:left w:val="nil"/>
              <w:bottom w:val="single" w:sz="4" w:space="0" w:color="auto"/>
              <w:right w:val="single" w:sz="4" w:space="0" w:color="auto"/>
            </w:tcBorders>
            <w:noWrap/>
            <w:vAlign w:val="center"/>
            <w:hideMark/>
          </w:tcPr>
          <w:p w14:paraId="2260466C" w14:textId="77777777" w:rsidR="00303252" w:rsidRPr="002168C4" w:rsidRDefault="00303252" w:rsidP="00DF724C">
            <w:pPr>
              <w:spacing w:after="0" w:line="240" w:lineRule="auto"/>
              <w:jc w:val="center"/>
              <w:rPr>
                <w:rFonts w:eastAsia="Times New Roman"/>
                <w:sz w:val="20"/>
                <w:szCs w:val="20"/>
                <w:lang w:eastAsia="en-GB"/>
              </w:rPr>
            </w:pPr>
            <w:r w:rsidRPr="002168C4">
              <w:rPr>
                <w:rFonts w:eastAsia="Times New Roman"/>
                <w:sz w:val="20"/>
                <w:szCs w:val="20"/>
                <w:lang w:eastAsia="en-GB"/>
              </w:rPr>
              <w:t>15,473</w:t>
            </w:r>
          </w:p>
        </w:tc>
      </w:tr>
    </w:tbl>
    <w:p w14:paraId="526CB3BE" w14:textId="77777777" w:rsidR="0040529E" w:rsidRDefault="0040529E" w:rsidP="0040529E">
      <w:pPr>
        <w:pStyle w:val="ListParagraph"/>
        <w:rPr>
          <w:rFonts w:eastAsia="Times New Roman"/>
          <w:szCs w:val="24"/>
          <w:lang w:eastAsia="en-GB"/>
        </w:rPr>
      </w:pPr>
    </w:p>
    <w:p w14:paraId="4A316347" w14:textId="77777777" w:rsidR="005402E1" w:rsidRPr="002168C4" w:rsidRDefault="005402E1" w:rsidP="005402E1">
      <w:pPr>
        <w:pStyle w:val="ListParagraph"/>
        <w:spacing w:after="0" w:line="240" w:lineRule="auto"/>
        <w:ind w:left="0"/>
        <w:rPr>
          <w:rFonts w:eastAsia="Times New Roman"/>
          <w:szCs w:val="24"/>
          <w:lang w:eastAsia="en-GB"/>
        </w:rPr>
      </w:pPr>
      <w:r w:rsidRPr="002168C4">
        <w:rPr>
          <w:rFonts w:eastAsia="Times New Roman"/>
          <w:szCs w:val="24"/>
          <w:lang w:eastAsia="en-GB"/>
        </w:rPr>
        <w:t xml:space="preserve">Table 2 – </w:t>
      </w:r>
      <w:proofErr w:type="spellStart"/>
      <w:r w:rsidRPr="002168C4">
        <w:rPr>
          <w:rFonts w:eastAsia="Times New Roman"/>
          <w:szCs w:val="24"/>
          <w:lang w:eastAsia="en-GB"/>
        </w:rPr>
        <w:t>AccuRX</w:t>
      </w:r>
      <w:proofErr w:type="spellEnd"/>
      <w:r w:rsidRPr="002168C4">
        <w:rPr>
          <w:rFonts w:eastAsia="Times New Roman"/>
          <w:szCs w:val="24"/>
          <w:lang w:eastAsia="en-GB"/>
        </w:rPr>
        <w:t xml:space="preserve"> ICB Data</w:t>
      </w:r>
    </w:p>
    <w:tbl>
      <w:tblPr>
        <w:tblW w:w="10627" w:type="dxa"/>
        <w:tblInd w:w="-572" w:type="dxa"/>
        <w:tblLook w:val="04A0" w:firstRow="1" w:lastRow="0" w:firstColumn="1" w:lastColumn="0" w:noHBand="0" w:noVBand="1"/>
      </w:tblPr>
      <w:tblGrid>
        <w:gridCol w:w="1439"/>
        <w:gridCol w:w="1160"/>
        <w:gridCol w:w="1082"/>
        <w:gridCol w:w="1276"/>
        <w:gridCol w:w="1134"/>
        <w:gridCol w:w="1275"/>
        <w:gridCol w:w="1134"/>
        <w:gridCol w:w="1276"/>
        <w:gridCol w:w="851"/>
      </w:tblGrid>
      <w:tr w:rsidR="00EA4570" w:rsidRPr="002168C4" w14:paraId="1A6A32D1" w14:textId="77777777" w:rsidTr="00DF724C">
        <w:trPr>
          <w:trHeight w:val="560"/>
        </w:trPr>
        <w:tc>
          <w:tcPr>
            <w:tcW w:w="1439" w:type="dxa"/>
            <w:tcBorders>
              <w:top w:val="single" w:sz="4" w:space="0" w:color="auto"/>
              <w:left w:val="single" w:sz="4" w:space="0" w:color="auto"/>
              <w:bottom w:val="single" w:sz="4" w:space="0" w:color="auto"/>
              <w:right w:val="single" w:sz="4" w:space="0" w:color="auto"/>
            </w:tcBorders>
            <w:vAlign w:val="center"/>
            <w:hideMark/>
          </w:tcPr>
          <w:p w14:paraId="65D3A1C5"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Day</w:t>
            </w:r>
          </w:p>
        </w:tc>
        <w:tc>
          <w:tcPr>
            <w:tcW w:w="1160" w:type="dxa"/>
            <w:tcBorders>
              <w:top w:val="single" w:sz="4" w:space="0" w:color="auto"/>
              <w:left w:val="nil"/>
              <w:bottom w:val="single" w:sz="4" w:space="0" w:color="auto"/>
              <w:right w:val="single" w:sz="4" w:space="0" w:color="auto"/>
            </w:tcBorders>
            <w:vAlign w:val="center"/>
            <w:hideMark/>
          </w:tcPr>
          <w:p w14:paraId="02F1FB48"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00:00 - 05:59</w:t>
            </w:r>
          </w:p>
        </w:tc>
        <w:tc>
          <w:tcPr>
            <w:tcW w:w="1082" w:type="dxa"/>
            <w:tcBorders>
              <w:top w:val="single" w:sz="4" w:space="0" w:color="auto"/>
              <w:left w:val="nil"/>
              <w:bottom w:val="single" w:sz="4" w:space="0" w:color="auto"/>
              <w:right w:val="single" w:sz="4" w:space="0" w:color="auto"/>
            </w:tcBorders>
            <w:vAlign w:val="center"/>
            <w:hideMark/>
          </w:tcPr>
          <w:p w14:paraId="18419E2C"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06:00 - 07:59</w:t>
            </w:r>
          </w:p>
        </w:tc>
        <w:tc>
          <w:tcPr>
            <w:tcW w:w="1276" w:type="dxa"/>
            <w:tcBorders>
              <w:top w:val="single" w:sz="4" w:space="0" w:color="auto"/>
              <w:left w:val="nil"/>
              <w:bottom w:val="single" w:sz="4" w:space="0" w:color="auto"/>
              <w:right w:val="single" w:sz="4" w:space="0" w:color="auto"/>
            </w:tcBorders>
            <w:vAlign w:val="center"/>
            <w:hideMark/>
          </w:tcPr>
          <w:p w14:paraId="285DCD7D"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08:00 - 09:59</w:t>
            </w:r>
          </w:p>
        </w:tc>
        <w:tc>
          <w:tcPr>
            <w:tcW w:w="1134" w:type="dxa"/>
            <w:tcBorders>
              <w:top w:val="single" w:sz="4" w:space="0" w:color="auto"/>
              <w:left w:val="nil"/>
              <w:bottom w:val="single" w:sz="4" w:space="0" w:color="auto"/>
              <w:right w:val="single" w:sz="4" w:space="0" w:color="auto"/>
            </w:tcBorders>
            <w:vAlign w:val="center"/>
            <w:hideMark/>
          </w:tcPr>
          <w:p w14:paraId="31A0F42D"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10:00 - 11:59</w:t>
            </w:r>
          </w:p>
        </w:tc>
        <w:tc>
          <w:tcPr>
            <w:tcW w:w="1275" w:type="dxa"/>
            <w:tcBorders>
              <w:top w:val="single" w:sz="4" w:space="0" w:color="auto"/>
              <w:left w:val="nil"/>
              <w:bottom w:val="single" w:sz="4" w:space="0" w:color="auto"/>
              <w:right w:val="single" w:sz="4" w:space="0" w:color="auto"/>
            </w:tcBorders>
            <w:vAlign w:val="center"/>
            <w:hideMark/>
          </w:tcPr>
          <w:p w14:paraId="06C42BEE"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12:00 - 13:59</w:t>
            </w:r>
          </w:p>
        </w:tc>
        <w:tc>
          <w:tcPr>
            <w:tcW w:w="1134" w:type="dxa"/>
            <w:tcBorders>
              <w:top w:val="single" w:sz="4" w:space="0" w:color="auto"/>
              <w:left w:val="nil"/>
              <w:bottom w:val="single" w:sz="4" w:space="0" w:color="auto"/>
              <w:right w:val="single" w:sz="4" w:space="0" w:color="auto"/>
            </w:tcBorders>
            <w:vAlign w:val="center"/>
            <w:hideMark/>
          </w:tcPr>
          <w:p w14:paraId="2ED60B2D"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14:00 - 15:59</w:t>
            </w:r>
          </w:p>
        </w:tc>
        <w:tc>
          <w:tcPr>
            <w:tcW w:w="1276" w:type="dxa"/>
            <w:tcBorders>
              <w:top w:val="single" w:sz="4" w:space="0" w:color="auto"/>
              <w:left w:val="nil"/>
              <w:bottom w:val="single" w:sz="4" w:space="0" w:color="auto"/>
              <w:right w:val="single" w:sz="4" w:space="0" w:color="auto"/>
            </w:tcBorders>
            <w:vAlign w:val="center"/>
            <w:hideMark/>
          </w:tcPr>
          <w:p w14:paraId="64777C49"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16:00 - 17:59</w:t>
            </w:r>
          </w:p>
        </w:tc>
        <w:tc>
          <w:tcPr>
            <w:tcW w:w="851" w:type="dxa"/>
            <w:tcBorders>
              <w:top w:val="single" w:sz="4" w:space="0" w:color="auto"/>
              <w:left w:val="nil"/>
              <w:bottom w:val="single" w:sz="4" w:space="0" w:color="auto"/>
              <w:right w:val="single" w:sz="4" w:space="0" w:color="auto"/>
            </w:tcBorders>
            <w:vAlign w:val="center"/>
            <w:hideMark/>
          </w:tcPr>
          <w:p w14:paraId="56E7EC89" w14:textId="77777777" w:rsidR="00EA4570" w:rsidRPr="002168C4" w:rsidRDefault="00EA4570" w:rsidP="00DF724C">
            <w:pPr>
              <w:spacing w:after="0" w:line="240" w:lineRule="auto"/>
              <w:jc w:val="center"/>
              <w:rPr>
                <w:rFonts w:eastAsia="Times New Roman"/>
                <w:b/>
                <w:bCs/>
                <w:sz w:val="22"/>
                <w:lang w:eastAsia="en-GB"/>
              </w:rPr>
            </w:pPr>
            <w:r w:rsidRPr="002168C4">
              <w:rPr>
                <w:rFonts w:eastAsia="Times New Roman"/>
                <w:b/>
                <w:bCs/>
                <w:sz w:val="22"/>
                <w:lang w:eastAsia="en-GB"/>
              </w:rPr>
              <w:t>18:00 - 23:59</w:t>
            </w:r>
          </w:p>
        </w:tc>
      </w:tr>
      <w:tr w:rsidR="00EA4570" w:rsidRPr="002168C4" w14:paraId="55BCA8B6"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772C36BE"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Monday</w:t>
            </w:r>
          </w:p>
        </w:tc>
        <w:tc>
          <w:tcPr>
            <w:tcW w:w="1160" w:type="dxa"/>
            <w:tcBorders>
              <w:top w:val="nil"/>
              <w:left w:val="nil"/>
              <w:bottom w:val="single" w:sz="4" w:space="0" w:color="auto"/>
              <w:right w:val="single" w:sz="4" w:space="0" w:color="auto"/>
            </w:tcBorders>
            <w:noWrap/>
            <w:vAlign w:val="center"/>
            <w:hideMark/>
          </w:tcPr>
          <w:p w14:paraId="763D076A"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432</w:t>
            </w:r>
          </w:p>
        </w:tc>
        <w:tc>
          <w:tcPr>
            <w:tcW w:w="1082" w:type="dxa"/>
            <w:tcBorders>
              <w:top w:val="nil"/>
              <w:left w:val="nil"/>
              <w:bottom w:val="single" w:sz="4" w:space="0" w:color="auto"/>
              <w:right w:val="single" w:sz="4" w:space="0" w:color="auto"/>
            </w:tcBorders>
            <w:noWrap/>
            <w:vAlign w:val="center"/>
            <w:hideMark/>
          </w:tcPr>
          <w:p w14:paraId="1E525908"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4,336</w:t>
            </w:r>
          </w:p>
        </w:tc>
        <w:tc>
          <w:tcPr>
            <w:tcW w:w="1276" w:type="dxa"/>
            <w:tcBorders>
              <w:top w:val="nil"/>
              <w:left w:val="nil"/>
              <w:bottom w:val="single" w:sz="4" w:space="0" w:color="auto"/>
              <w:right w:val="single" w:sz="4" w:space="0" w:color="auto"/>
            </w:tcBorders>
            <w:noWrap/>
            <w:vAlign w:val="center"/>
            <w:hideMark/>
          </w:tcPr>
          <w:p w14:paraId="582E548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55,718</w:t>
            </w:r>
          </w:p>
        </w:tc>
        <w:tc>
          <w:tcPr>
            <w:tcW w:w="1134" w:type="dxa"/>
            <w:tcBorders>
              <w:top w:val="nil"/>
              <w:left w:val="nil"/>
              <w:bottom w:val="single" w:sz="4" w:space="0" w:color="auto"/>
              <w:right w:val="single" w:sz="4" w:space="0" w:color="auto"/>
            </w:tcBorders>
            <w:noWrap/>
            <w:vAlign w:val="center"/>
            <w:hideMark/>
          </w:tcPr>
          <w:p w14:paraId="046EC4D3"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26,859</w:t>
            </w:r>
          </w:p>
        </w:tc>
        <w:tc>
          <w:tcPr>
            <w:tcW w:w="1275" w:type="dxa"/>
            <w:tcBorders>
              <w:top w:val="nil"/>
              <w:left w:val="nil"/>
              <w:bottom w:val="single" w:sz="4" w:space="0" w:color="auto"/>
              <w:right w:val="single" w:sz="4" w:space="0" w:color="auto"/>
            </w:tcBorders>
            <w:noWrap/>
            <w:vAlign w:val="center"/>
            <w:hideMark/>
          </w:tcPr>
          <w:p w14:paraId="28818215"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17,158</w:t>
            </w:r>
          </w:p>
        </w:tc>
        <w:tc>
          <w:tcPr>
            <w:tcW w:w="1134" w:type="dxa"/>
            <w:tcBorders>
              <w:top w:val="nil"/>
              <w:left w:val="nil"/>
              <w:bottom w:val="single" w:sz="4" w:space="0" w:color="auto"/>
              <w:right w:val="single" w:sz="4" w:space="0" w:color="auto"/>
            </w:tcBorders>
            <w:noWrap/>
            <w:vAlign w:val="center"/>
            <w:hideMark/>
          </w:tcPr>
          <w:p w14:paraId="0B6838A6"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13,573</w:t>
            </w:r>
          </w:p>
        </w:tc>
        <w:tc>
          <w:tcPr>
            <w:tcW w:w="1276" w:type="dxa"/>
            <w:tcBorders>
              <w:top w:val="nil"/>
              <w:left w:val="nil"/>
              <w:bottom w:val="single" w:sz="4" w:space="0" w:color="auto"/>
              <w:right w:val="single" w:sz="4" w:space="0" w:color="auto"/>
            </w:tcBorders>
            <w:noWrap/>
            <w:vAlign w:val="center"/>
            <w:hideMark/>
          </w:tcPr>
          <w:p w14:paraId="3851E3B0"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8,056</w:t>
            </w:r>
          </w:p>
        </w:tc>
        <w:tc>
          <w:tcPr>
            <w:tcW w:w="851" w:type="dxa"/>
            <w:tcBorders>
              <w:top w:val="nil"/>
              <w:left w:val="nil"/>
              <w:bottom w:val="single" w:sz="4" w:space="0" w:color="auto"/>
              <w:right w:val="single" w:sz="4" w:space="0" w:color="auto"/>
            </w:tcBorders>
            <w:noWrap/>
            <w:vAlign w:val="center"/>
            <w:hideMark/>
          </w:tcPr>
          <w:p w14:paraId="3898B74C"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2,977</w:t>
            </w:r>
          </w:p>
        </w:tc>
      </w:tr>
      <w:tr w:rsidR="00EA4570" w:rsidRPr="002168C4" w14:paraId="79BA1425"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41A1409C"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Tuesday</w:t>
            </w:r>
          </w:p>
        </w:tc>
        <w:tc>
          <w:tcPr>
            <w:tcW w:w="1160" w:type="dxa"/>
            <w:tcBorders>
              <w:top w:val="nil"/>
              <w:left w:val="nil"/>
              <w:bottom w:val="single" w:sz="4" w:space="0" w:color="auto"/>
              <w:right w:val="single" w:sz="4" w:space="0" w:color="auto"/>
            </w:tcBorders>
            <w:noWrap/>
            <w:vAlign w:val="center"/>
            <w:hideMark/>
          </w:tcPr>
          <w:p w14:paraId="62386920"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337</w:t>
            </w:r>
          </w:p>
        </w:tc>
        <w:tc>
          <w:tcPr>
            <w:tcW w:w="1082" w:type="dxa"/>
            <w:tcBorders>
              <w:top w:val="nil"/>
              <w:left w:val="nil"/>
              <w:bottom w:val="single" w:sz="4" w:space="0" w:color="auto"/>
              <w:right w:val="single" w:sz="4" w:space="0" w:color="auto"/>
            </w:tcBorders>
            <w:noWrap/>
            <w:vAlign w:val="center"/>
            <w:hideMark/>
          </w:tcPr>
          <w:p w14:paraId="2925E344"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3,019</w:t>
            </w:r>
          </w:p>
        </w:tc>
        <w:tc>
          <w:tcPr>
            <w:tcW w:w="1276" w:type="dxa"/>
            <w:tcBorders>
              <w:top w:val="nil"/>
              <w:left w:val="nil"/>
              <w:bottom w:val="single" w:sz="4" w:space="0" w:color="auto"/>
              <w:right w:val="single" w:sz="4" w:space="0" w:color="auto"/>
            </w:tcBorders>
            <w:noWrap/>
            <w:vAlign w:val="center"/>
            <w:hideMark/>
          </w:tcPr>
          <w:p w14:paraId="2D8C7E19"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34,990</w:t>
            </w:r>
          </w:p>
        </w:tc>
        <w:tc>
          <w:tcPr>
            <w:tcW w:w="1134" w:type="dxa"/>
            <w:tcBorders>
              <w:top w:val="nil"/>
              <w:left w:val="nil"/>
              <w:bottom w:val="single" w:sz="4" w:space="0" w:color="auto"/>
              <w:right w:val="single" w:sz="4" w:space="0" w:color="auto"/>
            </w:tcBorders>
            <w:noWrap/>
            <w:vAlign w:val="center"/>
            <w:hideMark/>
          </w:tcPr>
          <w:p w14:paraId="01CE491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19,690</w:t>
            </w:r>
          </w:p>
        </w:tc>
        <w:tc>
          <w:tcPr>
            <w:tcW w:w="1275" w:type="dxa"/>
            <w:tcBorders>
              <w:top w:val="nil"/>
              <w:left w:val="nil"/>
              <w:bottom w:val="single" w:sz="4" w:space="0" w:color="auto"/>
              <w:right w:val="single" w:sz="4" w:space="0" w:color="auto"/>
            </w:tcBorders>
            <w:shd w:val="clear" w:color="000000" w:fill="DAE9F8"/>
            <w:noWrap/>
            <w:vAlign w:val="center"/>
            <w:hideMark/>
          </w:tcPr>
          <w:p w14:paraId="61D7DB0A"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12,959</w:t>
            </w:r>
          </w:p>
        </w:tc>
        <w:tc>
          <w:tcPr>
            <w:tcW w:w="1134" w:type="dxa"/>
            <w:tcBorders>
              <w:top w:val="nil"/>
              <w:left w:val="nil"/>
              <w:bottom w:val="single" w:sz="4" w:space="0" w:color="auto"/>
              <w:right w:val="single" w:sz="4" w:space="0" w:color="auto"/>
            </w:tcBorders>
            <w:shd w:val="clear" w:color="000000" w:fill="DAE9F8"/>
            <w:noWrap/>
            <w:vAlign w:val="center"/>
            <w:hideMark/>
          </w:tcPr>
          <w:p w14:paraId="30FAF1FE"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10,662</w:t>
            </w:r>
          </w:p>
        </w:tc>
        <w:tc>
          <w:tcPr>
            <w:tcW w:w="1276" w:type="dxa"/>
            <w:tcBorders>
              <w:top w:val="nil"/>
              <w:left w:val="nil"/>
              <w:bottom w:val="single" w:sz="4" w:space="0" w:color="auto"/>
              <w:right w:val="single" w:sz="4" w:space="0" w:color="auto"/>
            </w:tcBorders>
            <w:shd w:val="clear" w:color="000000" w:fill="DAE9F8"/>
            <w:noWrap/>
            <w:vAlign w:val="center"/>
            <w:hideMark/>
          </w:tcPr>
          <w:p w14:paraId="26226236"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6,574</w:t>
            </w:r>
          </w:p>
        </w:tc>
        <w:tc>
          <w:tcPr>
            <w:tcW w:w="851" w:type="dxa"/>
            <w:tcBorders>
              <w:top w:val="nil"/>
              <w:left w:val="nil"/>
              <w:bottom w:val="single" w:sz="4" w:space="0" w:color="auto"/>
              <w:right w:val="single" w:sz="4" w:space="0" w:color="auto"/>
            </w:tcBorders>
            <w:shd w:val="clear" w:color="000000" w:fill="DAE9F8"/>
            <w:noWrap/>
            <w:vAlign w:val="center"/>
            <w:hideMark/>
          </w:tcPr>
          <w:p w14:paraId="101E694B"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2,616</w:t>
            </w:r>
          </w:p>
        </w:tc>
      </w:tr>
      <w:tr w:rsidR="00EA4570" w:rsidRPr="002168C4" w14:paraId="443BB4B7"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72A3CE98"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Wednesday</w:t>
            </w:r>
          </w:p>
        </w:tc>
        <w:tc>
          <w:tcPr>
            <w:tcW w:w="1160" w:type="dxa"/>
            <w:tcBorders>
              <w:top w:val="nil"/>
              <w:left w:val="nil"/>
              <w:bottom w:val="single" w:sz="4" w:space="0" w:color="auto"/>
              <w:right w:val="single" w:sz="4" w:space="0" w:color="auto"/>
            </w:tcBorders>
            <w:noWrap/>
            <w:vAlign w:val="center"/>
            <w:hideMark/>
          </w:tcPr>
          <w:p w14:paraId="11398080"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309</w:t>
            </w:r>
          </w:p>
        </w:tc>
        <w:tc>
          <w:tcPr>
            <w:tcW w:w="1082" w:type="dxa"/>
            <w:tcBorders>
              <w:top w:val="nil"/>
              <w:left w:val="nil"/>
              <w:bottom w:val="single" w:sz="4" w:space="0" w:color="auto"/>
              <w:right w:val="single" w:sz="4" w:space="0" w:color="auto"/>
            </w:tcBorders>
            <w:noWrap/>
            <w:vAlign w:val="center"/>
            <w:hideMark/>
          </w:tcPr>
          <w:p w14:paraId="66037BE6"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2,588</w:t>
            </w:r>
          </w:p>
        </w:tc>
        <w:tc>
          <w:tcPr>
            <w:tcW w:w="1276" w:type="dxa"/>
            <w:tcBorders>
              <w:top w:val="nil"/>
              <w:left w:val="nil"/>
              <w:bottom w:val="single" w:sz="4" w:space="0" w:color="auto"/>
              <w:right w:val="single" w:sz="4" w:space="0" w:color="auto"/>
            </w:tcBorders>
            <w:noWrap/>
            <w:vAlign w:val="center"/>
            <w:hideMark/>
          </w:tcPr>
          <w:p w14:paraId="2EB518B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32,157</w:t>
            </w:r>
          </w:p>
        </w:tc>
        <w:tc>
          <w:tcPr>
            <w:tcW w:w="1134" w:type="dxa"/>
            <w:tcBorders>
              <w:top w:val="nil"/>
              <w:left w:val="nil"/>
              <w:bottom w:val="single" w:sz="4" w:space="0" w:color="auto"/>
              <w:right w:val="single" w:sz="4" w:space="0" w:color="auto"/>
            </w:tcBorders>
            <w:noWrap/>
            <w:vAlign w:val="center"/>
            <w:hideMark/>
          </w:tcPr>
          <w:p w14:paraId="74832A54"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18,105</w:t>
            </w:r>
          </w:p>
        </w:tc>
        <w:tc>
          <w:tcPr>
            <w:tcW w:w="1275" w:type="dxa"/>
            <w:tcBorders>
              <w:top w:val="nil"/>
              <w:left w:val="nil"/>
              <w:bottom w:val="single" w:sz="4" w:space="0" w:color="auto"/>
              <w:right w:val="single" w:sz="4" w:space="0" w:color="auto"/>
            </w:tcBorders>
            <w:shd w:val="clear" w:color="000000" w:fill="DAE9F8"/>
            <w:noWrap/>
            <w:vAlign w:val="center"/>
            <w:hideMark/>
          </w:tcPr>
          <w:p w14:paraId="66FBDBA3"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11,944</w:t>
            </w:r>
          </w:p>
        </w:tc>
        <w:tc>
          <w:tcPr>
            <w:tcW w:w="1134" w:type="dxa"/>
            <w:tcBorders>
              <w:top w:val="nil"/>
              <w:left w:val="nil"/>
              <w:bottom w:val="single" w:sz="4" w:space="0" w:color="auto"/>
              <w:right w:val="single" w:sz="4" w:space="0" w:color="auto"/>
            </w:tcBorders>
            <w:shd w:val="clear" w:color="000000" w:fill="DAE9F8"/>
            <w:noWrap/>
            <w:vAlign w:val="center"/>
            <w:hideMark/>
          </w:tcPr>
          <w:p w14:paraId="6725F79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9,582</w:t>
            </w:r>
          </w:p>
        </w:tc>
        <w:tc>
          <w:tcPr>
            <w:tcW w:w="1276" w:type="dxa"/>
            <w:tcBorders>
              <w:top w:val="nil"/>
              <w:left w:val="nil"/>
              <w:bottom w:val="single" w:sz="4" w:space="0" w:color="auto"/>
              <w:right w:val="single" w:sz="4" w:space="0" w:color="auto"/>
            </w:tcBorders>
            <w:shd w:val="clear" w:color="000000" w:fill="DAE9F8"/>
            <w:noWrap/>
            <w:vAlign w:val="center"/>
            <w:hideMark/>
          </w:tcPr>
          <w:p w14:paraId="36996ED2"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5,915</w:t>
            </w:r>
          </w:p>
        </w:tc>
        <w:tc>
          <w:tcPr>
            <w:tcW w:w="851" w:type="dxa"/>
            <w:tcBorders>
              <w:top w:val="nil"/>
              <w:left w:val="nil"/>
              <w:bottom w:val="single" w:sz="4" w:space="0" w:color="auto"/>
              <w:right w:val="single" w:sz="4" w:space="0" w:color="auto"/>
            </w:tcBorders>
            <w:shd w:val="clear" w:color="000000" w:fill="DAE9F8"/>
            <w:noWrap/>
            <w:vAlign w:val="center"/>
            <w:hideMark/>
          </w:tcPr>
          <w:p w14:paraId="373D42E2"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2,294</w:t>
            </w:r>
          </w:p>
        </w:tc>
      </w:tr>
      <w:tr w:rsidR="00EA4570" w:rsidRPr="002168C4" w14:paraId="22238752"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41909770"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Thursday</w:t>
            </w:r>
          </w:p>
        </w:tc>
        <w:tc>
          <w:tcPr>
            <w:tcW w:w="1160" w:type="dxa"/>
            <w:tcBorders>
              <w:top w:val="nil"/>
              <w:left w:val="nil"/>
              <w:bottom w:val="single" w:sz="4" w:space="0" w:color="auto"/>
              <w:right w:val="single" w:sz="4" w:space="0" w:color="auto"/>
            </w:tcBorders>
            <w:noWrap/>
            <w:vAlign w:val="center"/>
            <w:hideMark/>
          </w:tcPr>
          <w:p w14:paraId="630E7E0D"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254</w:t>
            </w:r>
          </w:p>
        </w:tc>
        <w:tc>
          <w:tcPr>
            <w:tcW w:w="1082" w:type="dxa"/>
            <w:tcBorders>
              <w:top w:val="nil"/>
              <w:left w:val="nil"/>
              <w:bottom w:val="single" w:sz="4" w:space="0" w:color="auto"/>
              <w:right w:val="single" w:sz="4" w:space="0" w:color="auto"/>
            </w:tcBorders>
            <w:noWrap/>
            <w:vAlign w:val="center"/>
            <w:hideMark/>
          </w:tcPr>
          <w:p w14:paraId="3E0694C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2,451</w:t>
            </w:r>
          </w:p>
        </w:tc>
        <w:tc>
          <w:tcPr>
            <w:tcW w:w="1276" w:type="dxa"/>
            <w:tcBorders>
              <w:top w:val="nil"/>
              <w:left w:val="nil"/>
              <w:bottom w:val="single" w:sz="4" w:space="0" w:color="auto"/>
              <w:right w:val="single" w:sz="4" w:space="0" w:color="auto"/>
            </w:tcBorders>
            <w:noWrap/>
            <w:vAlign w:val="center"/>
            <w:hideMark/>
          </w:tcPr>
          <w:p w14:paraId="1D87AC1B"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27,947</w:t>
            </w:r>
          </w:p>
        </w:tc>
        <w:tc>
          <w:tcPr>
            <w:tcW w:w="1134" w:type="dxa"/>
            <w:tcBorders>
              <w:top w:val="nil"/>
              <w:left w:val="nil"/>
              <w:bottom w:val="single" w:sz="4" w:space="0" w:color="auto"/>
              <w:right w:val="single" w:sz="4" w:space="0" w:color="auto"/>
            </w:tcBorders>
            <w:noWrap/>
            <w:vAlign w:val="center"/>
            <w:hideMark/>
          </w:tcPr>
          <w:p w14:paraId="78E258A7"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15,739</w:t>
            </w:r>
          </w:p>
        </w:tc>
        <w:tc>
          <w:tcPr>
            <w:tcW w:w="1275" w:type="dxa"/>
            <w:tcBorders>
              <w:top w:val="nil"/>
              <w:left w:val="nil"/>
              <w:bottom w:val="single" w:sz="4" w:space="0" w:color="auto"/>
              <w:right w:val="single" w:sz="4" w:space="0" w:color="auto"/>
            </w:tcBorders>
            <w:shd w:val="clear" w:color="000000" w:fill="DAE9F8"/>
            <w:noWrap/>
            <w:vAlign w:val="center"/>
            <w:hideMark/>
          </w:tcPr>
          <w:p w14:paraId="1E6FFE7F"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10,420</w:t>
            </w:r>
          </w:p>
        </w:tc>
        <w:tc>
          <w:tcPr>
            <w:tcW w:w="1134" w:type="dxa"/>
            <w:tcBorders>
              <w:top w:val="nil"/>
              <w:left w:val="nil"/>
              <w:bottom w:val="single" w:sz="4" w:space="0" w:color="auto"/>
              <w:right w:val="single" w:sz="4" w:space="0" w:color="auto"/>
            </w:tcBorders>
            <w:shd w:val="clear" w:color="000000" w:fill="DAE9F8"/>
            <w:noWrap/>
            <w:vAlign w:val="center"/>
            <w:hideMark/>
          </w:tcPr>
          <w:p w14:paraId="4983237B"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8,920</w:t>
            </w:r>
          </w:p>
        </w:tc>
        <w:tc>
          <w:tcPr>
            <w:tcW w:w="1276" w:type="dxa"/>
            <w:tcBorders>
              <w:top w:val="nil"/>
              <w:left w:val="nil"/>
              <w:bottom w:val="single" w:sz="4" w:space="0" w:color="auto"/>
              <w:right w:val="single" w:sz="4" w:space="0" w:color="auto"/>
            </w:tcBorders>
            <w:shd w:val="clear" w:color="000000" w:fill="DAE9F8"/>
            <w:noWrap/>
            <w:vAlign w:val="center"/>
            <w:hideMark/>
          </w:tcPr>
          <w:p w14:paraId="46F4FB40"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5,418</w:t>
            </w:r>
          </w:p>
        </w:tc>
        <w:tc>
          <w:tcPr>
            <w:tcW w:w="851" w:type="dxa"/>
            <w:tcBorders>
              <w:top w:val="nil"/>
              <w:left w:val="nil"/>
              <w:bottom w:val="single" w:sz="4" w:space="0" w:color="auto"/>
              <w:right w:val="single" w:sz="4" w:space="0" w:color="auto"/>
            </w:tcBorders>
            <w:shd w:val="clear" w:color="000000" w:fill="DAE9F8"/>
            <w:noWrap/>
            <w:vAlign w:val="center"/>
            <w:hideMark/>
          </w:tcPr>
          <w:p w14:paraId="3F57B0B9"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2,015</w:t>
            </w:r>
          </w:p>
        </w:tc>
      </w:tr>
      <w:tr w:rsidR="00EA4570" w:rsidRPr="002168C4" w14:paraId="2B3C0044"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480B0DA9"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Friday</w:t>
            </w:r>
          </w:p>
        </w:tc>
        <w:tc>
          <w:tcPr>
            <w:tcW w:w="1160" w:type="dxa"/>
            <w:tcBorders>
              <w:top w:val="nil"/>
              <w:left w:val="nil"/>
              <w:bottom w:val="single" w:sz="4" w:space="0" w:color="auto"/>
              <w:right w:val="single" w:sz="4" w:space="0" w:color="auto"/>
            </w:tcBorders>
            <w:noWrap/>
            <w:vAlign w:val="center"/>
            <w:hideMark/>
          </w:tcPr>
          <w:p w14:paraId="6B17E110"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242</w:t>
            </w:r>
          </w:p>
        </w:tc>
        <w:tc>
          <w:tcPr>
            <w:tcW w:w="1082" w:type="dxa"/>
            <w:tcBorders>
              <w:top w:val="nil"/>
              <w:left w:val="nil"/>
              <w:bottom w:val="single" w:sz="4" w:space="0" w:color="auto"/>
              <w:right w:val="single" w:sz="4" w:space="0" w:color="auto"/>
            </w:tcBorders>
            <w:noWrap/>
            <w:vAlign w:val="center"/>
            <w:hideMark/>
          </w:tcPr>
          <w:p w14:paraId="0E220665"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2,234</w:t>
            </w:r>
          </w:p>
        </w:tc>
        <w:tc>
          <w:tcPr>
            <w:tcW w:w="1276" w:type="dxa"/>
            <w:tcBorders>
              <w:top w:val="nil"/>
              <w:left w:val="nil"/>
              <w:bottom w:val="single" w:sz="4" w:space="0" w:color="auto"/>
              <w:right w:val="single" w:sz="4" w:space="0" w:color="auto"/>
            </w:tcBorders>
            <w:noWrap/>
            <w:vAlign w:val="center"/>
            <w:hideMark/>
          </w:tcPr>
          <w:p w14:paraId="4A5C139A"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26,327</w:t>
            </w:r>
          </w:p>
        </w:tc>
        <w:tc>
          <w:tcPr>
            <w:tcW w:w="1134" w:type="dxa"/>
            <w:tcBorders>
              <w:top w:val="nil"/>
              <w:left w:val="nil"/>
              <w:bottom w:val="single" w:sz="4" w:space="0" w:color="auto"/>
              <w:right w:val="single" w:sz="4" w:space="0" w:color="auto"/>
            </w:tcBorders>
            <w:noWrap/>
            <w:vAlign w:val="center"/>
            <w:hideMark/>
          </w:tcPr>
          <w:p w14:paraId="4968DCA7"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14,858</w:t>
            </w:r>
          </w:p>
        </w:tc>
        <w:tc>
          <w:tcPr>
            <w:tcW w:w="1275" w:type="dxa"/>
            <w:tcBorders>
              <w:top w:val="nil"/>
              <w:left w:val="nil"/>
              <w:bottom w:val="single" w:sz="4" w:space="0" w:color="auto"/>
              <w:right w:val="single" w:sz="4" w:space="0" w:color="auto"/>
            </w:tcBorders>
            <w:noWrap/>
            <w:vAlign w:val="center"/>
            <w:hideMark/>
          </w:tcPr>
          <w:p w14:paraId="56E5C71C"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9,957</w:t>
            </w:r>
          </w:p>
        </w:tc>
        <w:tc>
          <w:tcPr>
            <w:tcW w:w="1134" w:type="dxa"/>
            <w:tcBorders>
              <w:top w:val="nil"/>
              <w:left w:val="nil"/>
              <w:bottom w:val="single" w:sz="4" w:space="0" w:color="auto"/>
              <w:right w:val="single" w:sz="4" w:space="0" w:color="auto"/>
            </w:tcBorders>
            <w:noWrap/>
            <w:vAlign w:val="center"/>
            <w:hideMark/>
          </w:tcPr>
          <w:p w14:paraId="48147236"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8,022</w:t>
            </w:r>
          </w:p>
        </w:tc>
        <w:tc>
          <w:tcPr>
            <w:tcW w:w="1276" w:type="dxa"/>
            <w:tcBorders>
              <w:top w:val="nil"/>
              <w:left w:val="nil"/>
              <w:bottom w:val="single" w:sz="4" w:space="0" w:color="auto"/>
              <w:right w:val="single" w:sz="4" w:space="0" w:color="auto"/>
            </w:tcBorders>
            <w:noWrap/>
            <w:vAlign w:val="center"/>
            <w:hideMark/>
          </w:tcPr>
          <w:p w14:paraId="536E50D1"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4,227</w:t>
            </w:r>
          </w:p>
        </w:tc>
        <w:tc>
          <w:tcPr>
            <w:tcW w:w="851" w:type="dxa"/>
            <w:tcBorders>
              <w:top w:val="nil"/>
              <w:left w:val="nil"/>
              <w:bottom w:val="single" w:sz="4" w:space="0" w:color="auto"/>
              <w:right w:val="single" w:sz="4" w:space="0" w:color="auto"/>
            </w:tcBorders>
            <w:noWrap/>
            <w:vAlign w:val="center"/>
            <w:hideMark/>
          </w:tcPr>
          <w:p w14:paraId="4A1F3B8A"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1,112</w:t>
            </w:r>
          </w:p>
        </w:tc>
      </w:tr>
      <w:tr w:rsidR="00EA4570" w:rsidRPr="002168C4" w14:paraId="0D2F9140"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37E2F018"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Saturday</w:t>
            </w:r>
          </w:p>
        </w:tc>
        <w:tc>
          <w:tcPr>
            <w:tcW w:w="1160" w:type="dxa"/>
            <w:tcBorders>
              <w:top w:val="nil"/>
              <w:left w:val="nil"/>
              <w:bottom w:val="single" w:sz="4" w:space="0" w:color="auto"/>
              <w:right w:val="single" w:sz="4" w:space="0" w:color="auto"/>
            </w:tcBorders>
            <w:noWrap/>
            <w:vAlign w:val="center"/>
            <w:hideMark/>
          </w:tcPr>
          <w:p w14:paraId="182195D3"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156</w:t>
            </w:r>
          </w:p>
        </w:tc>
        <w:tc>
          <w:tcPr>
            <w:tcW w:w="1082" w:type="dxa"/>
            <w:tcBorders>
              <w:top w:val="nil"/>
              <w:left w:val="nil"/>
              <w:bottom w:val="single" w:sz="4" w:space="0" w:color="auto"/>
              <w:right w:val="single" w:sz="4" w:space="0" w:color="auto"/>
            </w:tcBorders>
            <w:noWrap/>
            <w:vAlign w:val="center"/>
            <w:hideMark/>
          </w:tcPr>
          <w:p w14:paraId="5B7D6F9B"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118</w:t>
            </w:r>
          </w:p>
        </w:tc>
        <w:tc>
          <w:tcPr>
            <w:tcW w:w="1276" w:type="dxa"/>
            <w:tcBorders>
              <w:top w:val="nil"/>
              <w:left w:val="nil"/>
              <w:bottom w:val="single" w:sz="4" w:space="0" w:color="auto"/>
              <w:right w:val="single" w:sz="4" w:space="0" w:color="auto"/>
            </w:tcBorders>
            <w:noWrap/>
            <w:vAlign w:val="center"/>
            <w:hideMark/>
          </w:tcPr>
          <w:p w14:paraId="762F70BC"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366</w:t>
            </w:r>
          </w:p>
        </w:tc>
        <w:tc>
          <w:tcPr>
            <w:tcW w:w="1134" w:type="dxa"/>
            <w:tcBorders>
              <w:top w:val="nil"/>
              <w:left w:val="nil"/>
              <w:bottom w:val="single" w:sz="4" w:space="0" w:color="auto"/>
              <w:right w:val="single" w:sz="4" w:space="0" w:color="auto"/>
            </w:tcBorders>
            <w:noWrap/>
            <w:vAlign w:val="center"/>
            <w:hideMark/>
          </w:tcPr>
          <w:p w14:paraId="1504DDED"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436</w:t>
            </w:r>
          </w:p>
        </w:tc>
        <w:tc>
          <w:tcPr>
            <w:tcW w:w="1275" w:type="dxa"/>
            <w:tcBorders>
              <w:top w:val="nil"/>
              <w:left w:val="nil"/>
              <w:bottom w:val="single" w:sz="4" w:space="0" w:color="auto"/>
              <w:right w:val="single" w:sz="4" w:space="0" w:color="auto"/>
            </w:tcBorders>
            <w:noWrap/>
            <w:vAlign w:val="center"/>
            <w:hideMark/>
          </w:tcPr>
          <w:p w14:paraId="76C289DD"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377</w:t>
            </w:r>
          </w:p>
        </w:tc>
        <w:tc>
          <w:tcPr>
            <w:tcW w:w="1134" w:type="dxa"/>
            <w:tcBorders>
              <w:top w:val="nil"/>
              <w:left w:val="nil"/>
              <w:bottom w:val="single" w:sz="4" w:space="0" w:color="auto"/>
              <w:right w:val="single" w:sz="4" w:space="0" w:color="auto"/>
            </w:tcBorders>
            <w:noWrap/>
            <w:vAlign w:val="center"/>
            <w:hideMark/>
          </w:tcPr>
          <w:p w14:paraId="202FC90A"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316</w:t>
            </w:r>
          </w:p>
        </w:tc>
        <w:tc>
          <w:tcPr>
            <w:tcW w:w="1276" w:type="dxa"/>
            <w:tcBorders>
              <w:top w:val="nil"/>
              <w:left w:val="nil"/>
              <w:bottom w:val="single" w:sz="4" w:space="0" w:color="auto"/>
              <w:right w:val="single" w:sz="4" w:space="0" w:color="auto"/>
            </w:tcBorders>
            <w:noWrap/>
            <w:vAlign w:val="center"/>
            <w:hideMark/>
          </w:tcPr>
          <w:p w14:paraId="644051E2"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257</w:t>
            </w:r>
          </w:p>
        </w:tc>
        <w:tc>
          <w:tcPr>
            <w:tcW w:w="851" w:type="dxa"/>
            <w:tcBorders>
              <w:top w:val="nil"/>
              <w:left w:val="nil"/>
              <w:bottom w:val="single" w:sz="4" w:space="0" w:color="auto"/>
              <w:right w:val="single" w:sz="4" w:space="0" w:color="auto"/>
            </w:tcBorders>
            <w:noWrap/>
            <w:vAlign w:val="center"/>
            <w:hideMark/>
          </w:tcPr>
          <w:p w14:paraId="12922F5C"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636</w:t>
            </w:r>
          </w:p>
        </w:tc>
      </w:tr>
      <w:tr w:rsidR="00EA4570" w:rsidRPr="002168C4" w14:paraId="58996893" w14:textId="77777777" w:rsidTr="00DF724C">
        <w:trPr>
          <w:trHeight w:val="550"/>
        </w:trPr>
        <w:tc>
          <w:tcPr>
            <w:tcW w:w="1439" w:type="dxa"/>
            <w:tcBorders>
              <w:top w:val="nil"/>
              <w:left w:val="single" w:sz="4" w:space="0" w:color="auto"/>
              <w:bottom w:val="single" w:sz="4" w:space="0" w:color="auto"/>
              <w:right w:val="single" w:sz="4" w:space="0" w:color="auto"/>
            </w:tcBorders>
            <w:noWrap/>
            <w:vAlign w:val="center"/>
            <w:hideMark/>
          </w:tcPr>
          <w:p w14:paraId="74E3F9E5" w14:textId="77777777" w:rsidR="00EA4570" w:rsidRPr="002168C4" w:rsidRDefault="00EA4570" w:rsidP="00DF724C">
            <w:pPr>
              <w:spacing w:after="0" w:line="240" w:lineRule="auto"/>
              <w:rPr>
                <w:rFonts w:eastAsia="Times New Roman"/>
                <w:b/>
                <w:bCs/>
                <w:sz w:val="22"/>
                <w:lang w:eastAsia="en-GB"/>
              </w:rPr>
            </w:pPr>
            <w:r w:rsidRPr="002168C4">
              <w:rPr>
                <w:rFonts w:eastAsia="Times New Roman"/>
                <w:b/>
                <w:bCs/>
                <w:sz w:val="22"/>
                <w:lang w:eastAsia="en-GB"/>
              </w:rPr>
              <w:t>Sunday</w:t>
            </w:r>
          </w:p>
        </w:tc>
        <w:tc>
          <w:tcPr>
            <w:tcW w:w="1160" w:type="dxa"/>
            <w:tcBorders>
              <w:top w:val="nil"/>
              <w:left w:val="nil"/>
              <w:bottom w:val="single" w:sz="4" w:space="0" w:color="auto"/>
              <w:right w:val="single" w:sz="4" w:space="0" w:color="auto"/>
            </w:tcBorders>
            <w:noWrap/>
            <w:vAlign w:val="center"/>
            <w:hideMark/>
          </w:tcPr>
          <w:p w14:paraId="68F6C87D"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190</w:t>
            </w:r>
          </w:p>
        </w:tc>
        <w:tc>
          <w:tcPr>
            <w:tcW w:w="1082" w:type="dxa"/>
            <w:tcBorders>
              <w:top w:val="nil"/>
              <w:left w:val="nil"/>
              <w:bottom w:val="single" w:sz="4" w:space="0" w:color="auto"/>
              <w:right w:val="single" w:sz="4" w:space="0" w:color="auto"/>
            </w:tcBorders>
            <w:noWrap/>
            <w:vAlign w:val="center"/>
            <w:hideMark/>
          </w:tcPr>
          <w:p w14:paraId="5E765ED1"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112</w:t>
            </w:r>
          </w:p>
        </w:tc>
        <w:tc>
          <w:tcPr>
            <w:tcW w:w="1276" w:type="dxa"/>
            <w:tcBorders>
              <w:top w:val="nil"/>
              <w:left w:val="nil"/>
              <w:bottom w:val="single" w:sz="4" w:space="0" w:color="auto"/>
              <w:right w:val="single" w:sz="4" w:space="0" w:color="auto"/>
            </w:tcBorders>
            <w:noWrap/>
            <w:vAlign w:val="center"/>
            <w:hideMark/>
          </w:tcPr>
          <w:p w14:paraId="7E2057FB"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378</w:t>
            </w:r>
          </w:p>
        </w:tc>
        <w:tc>
          <w:tcPr>
            <w:tcW w:w="1134" w:type="dxa"/>
            <w:tcBorders>
              <w:top w:val="nil"/>
              <w:left w:val="nil"/>
              <w:bottom w:val="single" w:sz="4" w:space="0" w:color="auto"/>
              <w:right w:val="single" w:sz="4" w:space="0" w:color="auto"/>
            </w:tcBorders>
            <w:noWrap/>
            <w:vAlign w:val="center"/>
            <w:hideMark/>
          </w:tcPr>
          <w:p w14:paraId="39DC3324"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455</w:t>
            </w:r>
          </w:p>
        </w:tc>
        <w:tc>
          <w:tcPr>
            <w:tcW w:w="1275" w:type="dxa"/>
            <w:tcBorders>
              <w:top w:val="nil"/>
              <w:left w:val="nil"/>
              <w:bottom w:val="single" w:sz="4" w:space="0" w:color="auto"/>
              <w:right w:val="single" w:sz="4" w:space="0" w:color="auto"/>
            </w:tcBorders>
            <w:noWrap/>
            <w:vAlign w:val="center"/>
            <w:hideMark/>
          </w:tcPr>
          <w:p w14:paraId="4FA2C8C4"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443</w:t>
            </w:r>
          </w:p>
        </w:tc>
        <w:tc>
          <w:tcPr>
            <w:tcW w:w="1134" w:type="dxa"/>
            <w:tcBorders>
              <w:top w:val="nil"/>
              <w:left w:val="nil"/>
              <w:bottom w:val="single" w:sz="4" w:space="0" w:color="auto"/>
              <w:right w:val="single" w:sz="4" w:space="0" w:color="auto"/>
            </w:tcBorders>
            <w:noWrap/>
            <w:vAlign w:val="center"/>
            <w:hideMark/>
          </w:tcPr>
          <w:p w14:paraId="32FCD521"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458</w:t>
            </w:r>
          </w:p>
        </w:tc>
        <w:tc>
          <w:tcPr>
            <w:tcW w:w="1276" w:type="dxa"/>
            <w:tcBorders>
              <w:top w:val="nil"/>
              <w:left w:val="nil"/>
              <w:bottom w:val="single" w:sz="4" w:space="0" w:color="auto"/>
              <w:right w:val="single" w:sz="4" w:space="0" w:color="auto"/>
            </w:tcBorders>
            <w:noWrap/>
            <w:vAlign w:val="center"/>
            <w:hideMark/>
          </w:tcPr>
          <w:p w14:paraId="2889293C"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456</w:t>
            </w:r>
          </w:p>
        </w:tc>
        <w:tc>
          <w:tcPr>
            <w:tcW w:w="851" w:type="dxa"/>
            <w:tcBorders>
              <w:top w:val="nil"/>
              <w:left w:val="nil"/>
              <w:bottom w:val="single" w:sz="4" w:space="0" w:color="auto"/>
              <w:right w:val="single" w:sz="4" w:space="0" w:color="auto"/>
            </w:tcBorders>
            <w:noWrap/>
            <w:vAlign w:val="center"/>
            <w:hideMark/>
          </w:tcPr>
          <w:p w14:paraId="30FF98E5" w14:textId="77777777" w:rsidR="00EA4570" w:rsidRPr="002168C4" w:rsidRDefault="00EA4570" w:rsidP="00DF724C">
            <w:pPr>
              <w:spacing w:after="0" w:line="240" w:lineRule="auto"/>
              <w:jc w:val="center"/>
              <w:rPr>
                <w:rFonts w:ascii="Aptos Narrow" w:eastAsia="Times New Roman" w:hAnsi="Aptos Narrow" w:cs="Times New Roman"/>
                <w:sz w:val="22"/>
                <w:lang w:eastAsia="en-GB"/>
              </w:rPr>
            </w:pPr>
            <w:r w:rsidRPr="002168C4">
              <w:rPr>
                <w:rFonts w:ascii="Aptos Narrow" w:eastAsia="Times New Roman" w:hAnsi="Aptos Narrow" w:cs="Times New Roman"/>
                <w:sz w:val="22"/>
                <w:lang w:eastAsia="en-GB"/>
              </w:rPr>
              <w:t>1,421</w:t>
            </w:r>
          </w:p>
        </w:tc>
      </w:tr>
    </w:tbl>
    <w:p w14:paraId="1DB880C9" w14:textId="77777777" w:rsidR="005402E1" w:rsidRDefault="005402E1" w:rsidP="0040529E">
      <w:pPr>
        <w:pStyle w:val="ListParagraph"/>
        <w:rPr>
          <w:rFonts w:eastAsia="Times New Roman"/>
          <w:szCs w:val="24"/>
          <w:lang w:eastAsia="en-GB"/>
        </w:rPr>
      </w:pPr>
    </w:p>
    <w:p w14:paraId="057DB537" w14:textId="3E8DB667" w:rsidR="0040529E" w:rsidRDefault="004E6E87"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 xml:space="preserve">To </w:t>
      </w:r>
      <w:r w:rsidRPr="002168C4">
        <w:rPr>
          <w:rFonts w:eastAsia="Times New Roman"/>
          <w:szCs w:val="24"/>
          <w:lang w:eastAsia="en-GB"/>
        </w:rPr>
        <w:t>also note, a number of practices across the ICB locality keep their online consultations submissions open 24 hours per day.  They have reported they find it spreads the workload across the working day / week and do not report any patient safety concerns</w:t>
      </w:r>
      <w:r>
        <w:rPr>
          <w:rFonts w:eastAsia="Times New Roman"/>
          <w:szCs w:val="24"/>
          <w:lang w:eastAsia="en-GB"/>
        </w:rPr>
        <w:t>.</w:t>
      </w:r>
    </w:p>
    <w:p w14:paraId="4E960876" w14:textId="77777777" w:rsidR="009B5B69" w:rsidRDefault="009B5B69" w:rsidP="009B5B69">
      <w:pPr>
        <w:tabs>
          <w:tab w:val="left" w:pos="565"/>
        </w:tabs>
        <w:spacing w:after="0" w:line="240" w:lineRule="auto"/>
        <w:ind w:left="567"/>
        <w:contextualSpacing/>
        <w:rPr>
          <w:rFonts w:eastAsia="Times New Roman"/>
          <w:szCs w:val="24"/>
          <w:lang w:eastAsia="en-GB"/>
        </w:rPr>
      </w:pPr>
    </w:p>
    <w:p w14:paraId="2C5C9197" w14:textId="308A9DA3" w:rsidR="004E6E87" w:rsidRPr="009B5B69" w:rsidRDefault="004E6E87" w:rsidP="009B5B69">
      <w:pPr>
        <w:numPr>
          <w:ilvl w:val="0"/>
          <w:numId w:val="13"/>
        </w:numPr>
        <w:tabs>
          <w:tab w:val="left" w:pos="565"/>
        </w:tabs>
        <w:spacing w:after="0" w:line="240" w:lineRule="auto"/>
        <w:contextualSpacing/>
        <w:rPr>
          <w:rFonts w:eastAsia="Times New Roman"/>
          <w:b/>
          <w:bCs/>
          <w:szCs w:val="24"/>
          <w:lang w:eastAsia="en-GB"/>
        </w:rPr>
      </w:pPr>
      <w:r w:rsidRPr="009B5B69">
        <w:rPr>
          <w:rFonts w:eastAsia="Times New Roman"/>
          <w:b/>
          <w:bCs/>
          <w:szCs w:val="24"/>
          <w:lang w:eastAsia="en-GB"/>
        </w:rPr>
        <w:t>Risks and Benefits</w:t>
      </w:r>
    </w:p>
    <w:p w14:paraId="12BD1EF9" w14:textId="4BD4D5DC" w:rsidR="004E6E87" w:rsidRDefault="009B5B69" w:rsidP="002054C6">
      <w:pPr>
        <w:numPr>
          <w:ilvl w:val="1"/>
          <w:numId w:val="13"/>
        </w:numPr>
        <w:tabs>
          <w:tab w:val="left" w:pos="565"/>
        </w:tabs>
        <w:spacing w:after="0" w:line="240" w:lineRule="auto"/>
        <w:ind w:left="567" w:hanging="567"/>
        <w:contextualSpacing/>
        <w:rPr>
          <w:rFonts w:eastAsia="Times New Roman"/>
          <w:szCs w:val="24"/>
          <w:lang w:eastAsia="en-GB"/>
        </w:rPr>
      </w:pPr>
      <w:r>
        <w:rPr>
          <w:rFonts w:eastAsia="Times New Roman"/>
          <w:szCs w:val="24"/>
          <w:lang w:eastAsia="en-GB"/>
        </w:rPr>
        <w:t>There</w:t>
      </w:r>
      <w:r w:rsidR="004E6E87">
        <w:rPr>
          <w:rFonts w:eastAsia="Times New Roman"/>
          <w:szCs w:val="24"/>
          <w:lang w:eastAsia="en-GB"/>
        </w:rPr>
        <w:t xml:space="preserve"> are </w:t>
      </w:r>
      <w:r w:rsidRPr="002168C4">
        <w:rPr>
          <w:rFonts w:eastAsiaTheme="minorEastAsia"/>
          <w:kern w:val="24"/>
          <w:szCs w:val="24"/>
          <w:lang w:val="en-US" w:eastAsia="en-GB"/>
        </w:rPr>
        <w:t>risks and benefits to both options of allowing practices to close their online consultation and keeping them open</w:t>
      </w:r>
    </w:p>
    <w:p w14:paraId="18FC50FE" w14:textId="77777777" w:rsidR="0040529E" w:rsidRDefault="0040529E" w:rsidP="0040529E">
      <w:pPr>
        <w:pStyle w:val="ListParagraph"/>
        <w:rPr>
          <w:rFonts w:eastAsia="Times New Roman"/>
          <w:szCs w:val="24"/>
          <w:lang w:eastAsia="en-GB"/>
        </w:rPr>
      </w:pPr>
    </w:p>
    <w:tbl>
      <w:tblPr>
        <w:tblStyle w:val="TableGrid"/>
        <w:tblW w:w="10190" w:type="dxa"/>
        <w:tblInd w:w="-5" w:type="dxa"/>
        <w:tblLook w:val="04A0" w:firstRow="1" w:lastRow="0" w:firstColumn="1" w:lastColumn="0" w:noHBand="0" w:noVBand="1"/>
      </w:tblPr>
      <w:tblGrid>
        <w:gridCol w:w="3396"/>
        <w:gridCol w:w="3397"/>
        <w:gridCol w:w="3397"/>
      </w:tblGrid>
      <w:tr w:rsidR="00BA127E" w:rsidRPr="002168C4" w14:paraId="599B5B8A" w14:textId="77777777" w:rsidTr="00DF724C">
        <w:tc>
          <w:tcPr>
            <w:tcW w:w="3396" w:type="dxa"/>
            <w:shd w:val="clear" w:color="auto" w:fill="8DB3E2" w:themeFill="text2" w:themeFillTint="66"/>
          </w:tcPr>
          <w:p w14:paraId="25F56BB3" w14:textId="77777777" w:rsidR="00BA127E" w:rsidRPr="002168C4" w:rsidRDefault="00BA127E" w:rsidP="00DF724C">
            <w:pPr>
              <w:pStyle w:val="ListParagraph"/>
              <w:tabs>
                <w:tab w:val="left" w:pos="565"/>
              </w:tabs>
              <w:ind w:left="0"/>
              <w:rPr>
                <w:rFonts w:eastAsiaTheme="minorEastAsia"/>
                <w:b/>
                <w:bCs/>
                <w:kern w:val="24"/>
                <w:szCs w:val="24"/>
                <w:lang w:val="en-US" w:eastAsia="en-GB"/>
              </w:rPr>
            </w:pPr>
            <w:r w:rsidRPr="002168C4">
              <w:rPr>
                <w:rFonts w:eastAsiaTheme="minorEastAsia"/>
                <w:b/>
                <w:bCs/>
                <w:kern w:val="24"/>
                <w:szCs w:val="24"/>
                <w:lang w:val="en-US" w:eastAsia="en-GB"/>
              </w:rPr>
              <w:t>Option</w:t>
            </w:r>
          </w:p>
        </w:tc>
        <w:tc>
          <w:tcPr>
            <w:tcW w:w="3397" w:type="dxa"/>
            <w:shd w:val="clear" w:color="auto" w:fill="8DB3E2" w:themeFill="text2" w:themeFillTint="66"/>
          </w:tcPr>
          <w:p w14:paraId="533170E4" w14:textId="77777777" w:rsidR="00BA127E" w:rsidRPr="002168C4" w:rsidRDefault="00BA127E" w:rsidP="00DF724C">
            <w:pPr>
              <w:pStyle w:val="ListParagraph"/>
              <w:tabs>
                <w:tab w:val="left" w:pos="565"/>
              </w:tabs>
              <w:ind w:left="0"/>
              <w:rPr>
                <w:rFonts w:eastAsiaTheme="minorEastAsia"/>
                <w:b/>
                <w:bCs/>
                <w:kern w:val="24"/>
                <w:szCs w:val="24"/>
                <w:lang w:val="en-US" w:eastAsia="en-GB"/>
              </w:rPr>
            </w:pPr>
            <w:r w:rsidRPr="002168C4">
              <w:rPr>
                <w:rFonts w:eastAsiaTheme="minorEastAsia"/>
                <w:b/>
                <w:bCs/>
                <w:kern w:val="24"/>
                <w:szCs w:val="24"/>
                <w:lang w:val="en-US" w:eastAsia="en-GB"/>
              </w:rPr>
              <w:t>Risk</w:t>
            </w:r>
          </w:p>
        </w:tc>
        <w:tc>
          <w:tcPr>
            <w:tcW w:w="3397" w:type="dxa"/>
            <w:shd w:val="clear" w:color="auto" w:fill="8DB3E2" w:themeFill="text2" w:themeFillTint="66"/>
          </w:tcPr>
          <w:p w14:paraId="2AC4C3E1" w14:textId="77777777" w:rsidR="00BA127E" w:rsidRPr="002168C4" w:rsidRDefault="00BA127E" w:rsidP="00DF724C">
            <w:pPr>
              <w:pStyle w:val="ListParagraph"/>
              <w:tabs>
                <w:tab w:val="left" w:pos="565"/>
              </w:tabs>
              <w:ind w:left="0"/>
              <w:rPr>
                <w:rFonts w:eastAsiaTheme="minorEastAsia"/>
                <w:b/>
                <w:bCs/>
                <w:kern w:val="24"/>
                <w:szCs w:val="24"/>
                <w:lang w:val="en-US" w:eastAsia="en-GB"/>
              </w:rPr>
            </w:pPr>
            <w:r w:rsidRPr="002168C4">
              <w:rPr>
                <w:rFonts w:eastAsiaTheme="minorEastAsia"/>
                <w:b/>
                <w:bCs/>
                <w:kern w:val="24"/>
                <w:szCs w:val="24"/>
                <w:lang w:val="en-US" w:eastAsia="en-GB"/>
              </w:rPr>
              <w:t>Benefit</w:t>
            </w:r>
          </w:p>
        </w:tc>
      </w:tr>
      <w:tr w:rsidR="00BA127E" w:rsidRPr="002168C4" w14:paraId="40B45AD8" w14:textId="77777777" w:rsidTr="00DF724C">
        <w:tc>
          <w:tcPr>
            <w:tcW w:w="3396" w:type="dxa"/>
          </w:tcPr>
          <w:p w14:paraId="38139DF1"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lastRenderedPageBreak/>
              <w:t>Allowing practices to close online consultation submissions for both medical and administration routes during PLT submissions</w:t>
            </w:r>
          </w:p>
        </w:tc>
        <w:tc>
          <w:tcPr>
            <w:tcW w:w="3397" w:type="dxa"/>
          </w:tcPr>
          <w:p w14:paraId="639EF41A"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Practices could be in breach of contract as they are required to keep online consultation tools open for non-urgent requests throughout core hours.  However, practices can switch off these tools in exceptional circumstances agreed with the commissioner.</w:t>
            </w:r>
          </w:p>
          <w:p w14:paraId="64076335"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0A75D953"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 xml:space="preserve">Closing the system for an afternoon does not reduce demand, it typically delays </w:t>
            </w:r>
            <w:proofErr w:type="gramStart"/>
            <w:r w:rsidRPr="000E05A1">
              <w:rPr>
                <w:rFonts w:eastAsiaTheme="minorEastAsia"/>
                <w:kern w:val="24"/>
                <w:szCs w:val="24"/>
                <w:lang w:val="en-US" w:eastAsia="en-GB"/>
              </w:rPr>
              <w:t>it</w:t>
            </w:r>
            <w:proofErr w:type="gramEnd"/>
            <w:r w:rsidRPr="000E05A1">
              <w:rPr>
                <w:rFonts w:eastAsiaTheme="minorEastAsia"/>
                <w:kern w:val="24"/>
                <w:szCs w:val="24"/>
                <w:lang w:val="en-US" w:eastAsia="en-GB"/>
              </w:rPr>
              <w:t xml:space="preserve"> leading to a potential surge the following morning.</w:t>
            </w:r>
          </w:p>
          <w:p w14:paraId="661EFC4C"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4DC1E3D3"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The pressure to process a backlog of requests before or after a closure period and increase staff stress and working hours.</w:t>
            </w:r>
          </w:p>
          <w:p w14:paraId="224DE4EE"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215438AF"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NHS England guidance indicates that switching off online systems during core hours is considered less convenient and likely reduce patient satisfaction scores.</w:t>
            </w:r>
          </w:p>
          <w:p w14:paraId="370F4A39"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609F2C78"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When online systems are closed, patients may not transition to safer alternatives such as telephoning therefore there may be delays in triaging.</w:t>
            </w:r>
          </w:p>
        </w:tc>
        <w:tc>
          <w:tcPr>
            <w:tcW w:w="3397" w:type="dxa"/>
          </w:tcPr>
          <w:p w14:paraId="5579E789"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Would enable all staff within a practice to attend the training session without interruption.</w:t>
            </w:r>
          </w:p>
        </w:tc>
      </w:tr>
      <w:tr w:rsidR="00BA127E" w:rsidRPr="002168C4" w14:paraId="387EFB76" w14:textId="77777777" w:rsidTr="00DF724C">
        <w:tc>
          <w:tcPr>
            <w:tcW w:w="3396" w:type="dxa"/>
          </w:tcPr>
          <w:p w14:paraId="620DF5C5"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Allowing practices to close online consultation submissions for just medical queries and keeping the administration route open during PLT submissions</w:t>
            </w:r>
          </w:p>
        </w:tc>
        <w:tc>
          <w:tcPr>
            <w:tcW w:w="3397" w:type="dxa"/>
          </w:tcPr>
          <w:p w14:paraId="4C9A7695"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If practices close just the medical route patients may submit medical queries via the administration route which would not be picked up until the following day.</w:t>
            </w:r>
          </w:p>
          <w:p w14:paraId="5CC4212C"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6B39762A"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 xml:space="preserve">Practices could be in breach of contract as they are required to keep online consultation tools open for non-urgent requests throughout core hours.  </w:t>
            </w:r>
            <w:r w:rsidRPr="000E05A1">
              <w:rPr>
                <w:rFonts w:eastAsiaTheme="minorEastAsia"/>
                <w:kern w:val="24"/>
                <w:szCs w:val="24"/>
                <w:lang w:val="en-US" w:eastAsia="en-GB"/>
              </w:rPr>
              <w:lastRenderedPageBreak/>
              <w:t>However, practices can switch off these tools in exceptional circumstances agreed with the commissioner.</w:t>
            </w:r>
          </w:p>
          <w:p w14:paraId="167719A7"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721FE0D3"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NHS England guidance indicates that switching off online systems during core hours is considered “less convenient” and likely to reduce patient satisfaction.</w:t>
            </w:r>
          </w:p>
          <w:p w14:paraId="4C00F198"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5B412045"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 xml:space="preserve">Closing the system for an afternoon does not reduce demand, it typically delays </w:t>
            </w:r>
            <w:proofErr w:type="gramStart"/>
            <w:r w:rsidRPr="000E05A1">
              <w:rPr>
                <w:rFonts w:eastAsiaTheme="minorEastAsia"/>
                <w:kern w:val="24"/>
                <w:szCs w:val="24"/>
                <w:lang w:val="en-US" w:eastAsia="en-GB"/>
              </w:rPr>
              <w:t>it</w:t>
            </w:r>
            <w:proofErr w:type="gramEnd"/>
            <w:r w:rsidRPr="000E05A1">
              <w:rPr>
                <w:rFonts w:eastAsiaTheme="minorEastAsia"/>
                <w:kern w:val="24"/>
                <w:szCs w:val="24"/>
                <w:lang w:val="en-US" w:eastAsia="en-GB"/>
              </w:rPr>
              <w:t xml:space="preserve"> leading to a potential surge the following morning.</w:t>
            </w:r>
          </w:p>
          <w:p w14:paraId="6C7FDEEA" w14:textId="77777777" w:rsidR="00BA127E" w:rsidRPr="000E05A1" w:rsidRDefault="00BA127E" w:rsidP="00DF724C">
            <w:pPr>
              <w:pStyle w:val="ListParagraph"/>
              <w:tabs>
                <w:tab w:val="left" w:pos="565"/>
              </w:tabs>
              <w:ind w:left="0"/>
              <w:rPr>
                <w:rFonts w:eastAsiaTheme="minorEastAsia"/>
                <w:kern w:val="24"/>
                <w:szCs w:val="24"/>
                <w:lang w:val="en-US" w:eastAsia="en-GB"/>
              </w:rPr>
            </w:pPr>
          </w:p>
          <w:p w14:paraId="0097ADC6"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The pressure to process a backlog of requests before or after a closure period and increase staff stress and working hours.</w:t>
            </w:r>
          </w:p>
          <w:p w14:paraId="55F234A8" w14:textId="77777777" w:rsidR="00BA127E" w:rsidRPr="000E05A1" w:rsidRDefault="00BA127E" w:rsidP="00DF724C">
            <w:pPr>
              <w:pStyle w:val="ListParagraph"/>
              <w:tabs>
                <w:tab w:val="left" w:pos="565"/>
              </w:tabs>
              <w:ind w:left="0"/>
              <w:rPr>
                <w:rFonts w:eastAsiaTheme="minorEastAsia"/>
                <w:kern w:val="24"/>
                <w:szCs w:val="24"/>
                <w:lang w:val="en-US" w:eastAsia="en-GB"/>
              </w:rPr>
            </w:pPr>
          </w:p>
        </w:tc>
        <w:tc>
          <w:tcPr>
            <w:tcW w:w="3397" w:type="dxa"/>
          </w:tcPr>
          <w:p w14:paraId="47DB05EC"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lastRenderedPageBreak/>
              <w:t>Maintains some accessibility and flexibility for patients as they will be able to submit administration requests during PLT time.</w:t>
            </w:r>
          </w:p>
        </w:tc>
      </w:tr>
      <w:tr w:rsidR="00BA127E" w:rsidRPr="002168C4" w14:paraId="786FF9E0" w14:textId="77777777" w:rsidTr="00DF724C">
        <w:tc>
          <w:tcPr>
            <w:tcW w:w="3396" w:type="dxa"/>
          </w:tcPr>
          <w:p w14:paraId="7A81B7B4"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Ensuring practices keep their online submissions open for both medical and administration queries during PLT sessions</w:t>
            </w:r>
          </w:p>
        </w:tc>
        <w:tc>
          <w:tcPr>
            <w:tcW w:w="3397" w:type="dxa"/>
          </w:tcPr>
          <w:p w14:paraId="5D716C6D" w14:textId="77777777" w:rsidR="00BA127E" w:rsidRPr="000E05A1" w:rsidRDefault="00BA127E" w:rsidP="00DF724C">
            <w:pPr>
              <w:pStyle w:val="ListParagraph"/>
              <w:tabs>
                <w:tab w:val="left" w:pos="565"/>
              </w:tabs>
              <w:ind w:left="0"/>
              <w:rPr>
                <w:rFonts w:eastAsiaTheme="minorEastAsia"/>
                <w:kern w:val="24"/>
                <w:szCs w:val="24"/>
                <w:lang w:val="en-US" w:eastAsia="en-GB"/>
              </w:rPr>
            </w:pPr>
          </w:p>
        </w:tc>
        <w:tc>
          <w:tcPr>
            <w:tcW w:w="3397" w:type="dxa"/>
          </w:tcPr>
          <w:p w14:paraId="63596B23" w14:textId="77777777" w:rsidR="00BA127E" w:rsidRPr="000E05A1" w:rsidRDefault="00BA127E" w:rsidP="00DF724C">
            <w:pPr>
              <w:pStyle w:val="ListParagraph"/>
              <w:tabs>
                <w:tab w:val="left" w:pos="565"/>
              </w:tabs>
              <w:ind w:left="0"/>
              <w:rPr>
                <w:rFonts w:eastAsiaTheme="minorEastAsia"/>
                <w:kern w:val="24"/>
                <w:szCs w:val="24"/>
                <w:lang w:val="en-US" w:eastAsia="en-GB"/>
              </w:rPr>
            </w:pPr>
            <w:r w:rsidRPr="000E05A1">
              <w:rPr>
                <w:rFonts w:eastAsiaTheme="minorEastAsia"/>
                <w:kern w:val="24"/>
                <w:szCs w:val="24"/>
                <w:lang w:val="en-US" w:eastAsia="en-GB"/>
              </w:rPr>
              <w:t>Maintains accessibility and flexibility by allowing patients to submit requests at any time during core hours.  This is particularly beneficial for shift workers, parents with childcare responsibilities and carers.</w:t>
            </w:r>
          </w:p>
        </w:tc>
      </w:tr>
    </w:tbl>
    <w:p w14:paraId="7AD1F03F" w14:textId="77777777" w:rsidR="00BA127E" w:rsidRPr="00D27A4F" w:rsidRDefault="00BA127E" w:rsidP="00BA127E">
      <w:pPr>
        <w:spacing w:after="0" w:line="240" w:lineRule="auto"/>
        <w:ind w:left="1440"/>
        <w:contextualSpacing/>
        <w:rPr>
          <w:rFonts w:eastAsia="Times New Roman"/>
          <w:szCs w:val="24"/>
          <w:lang w:eastAsia="en-GB"/>
        </w:rPr>
      </w:pPr>
    </w:p>
    <w:p w14:paraId="64E76F4B" w14:textId="3C9BBC61" w:rsidR="006B4B7D" w:rsidRPr="000E05A1" w:rsidRDefault="006B4B7D" w:rsidP="000E05A1">
      <w:pPr>
        <w:pStyle w:val="ListParagraph"/>
        <w:numPr>
          <w:ilvl w:val="0"/>
          <w:numId w:val="13"/>
        </w:numPr>
        <w:tabs>
          <w:tab w:val="left" w:pos="565"/>
        </w:tabs>
        <w:spacing w:before="100" w:after="0" w:line="240" w:lineRule="auto"/>
        <w:rPr>
          <w:rFonts w:eastAsiaTheme="minorEastAsia"/>
          <w:b/>
          <w:bCs/>
          <w:color w:val="272727" w:themeColor="text1" w:themeTint="D8"/>
          <w:kern w:val="24"/>
          <w:szCs w:val="24"/>
          <w:lang w:val="en-US" w:eastAsia="en-GB"/>
        </w:rPr>
      </w:pPr>
      <w:r w:rsidRPr="000E05A1">
        <w:rPr>
          <w:rFonts w:eastAsiaTheme="minorEastAsia"/>
          <w:b/>
          <w:bCs/>
          <w:color w:val="272727" w:themeColor="text1" w:themeTint="D8"/>
          <w:kern w:val="24"/>
          <w:szCs w:val="24"/>
          <w:lang w:val="en-US" w:eastAsia="en-GB"/>
        </w:rPr>
        <w:t>Conclusion</w:t>
      </w:r>
    </w:p>
    <w:p w14:paraId="78324C08" w14:textId="77777777" w:rsidR="000E05A1" w:rsidRPr="000E05A1" w:rsidRDefault="000E05A1" w:rsidP="000E05A1">
      <w:pPr>
        <w:pStyle w:val="ListParagraph"/>
        <w:tabs>
          <w:tab w:val="left" w:pos="565"/>
        </w:tabs>
        <w:spacing w:before="100" w:after="0" w:line="240" w:lineRule="auto"/>
        <w:ind w:left="360"/>
        <w:rPr>
          <w:rFonts w:eastAsia="Times New Roman"/>
          <w:szCs w:val="24"/>
          <w:lang w:eastAsia="en-GB"/>
        </w:rPr>
      </w:pPr>
    </w:p>
    <w:p w14:paraId="1DA56A50" w14:textId="326BAD5F" w:rsidR="006B4B7D" w:rsidRDefault="00BA127E" w:rsidP="00BD027A">
      <w:pPr>
        <w:tabs>
          <w:tab w:val="left" w:pos="565"/>
        </w:tabs>
        <w:spacing w:after="0" w:line="240" w:lineRule="auto"/>
        <w:ind w:left="562" w:hanging="562"/>
        <w:rPr>
          <w:rFonts w:eastAsiaTheme="minorEastAsia"/>
          <w:kern w:val="24"/>
          <w:szCs w:val="24"/>
          <w:lang w:val="en-US" w:eastAsia="en-GB"/>
        </w:rPr>
      </w:pPr>
      <w:r>
        <w:rPr>
          <w:rFonts w:eastAsiaTheme="minorEastAsia"/>
          <w:color w:val="272727" w:themeColor="text1" w:themeTint="D8"/>
          <w:kern w:val="24"/>
          <w:szCs w:val="24"/>
          <w:lang w:eastAsia="en-GB"/>
        </w:rPr>
        <w:t>9.1</w:t>
      </w:r>
      <w:r>
        <w:rPr>
          <w:rFonts w:eastAsiaTheme="minorEastAsia"/>
          <w:color w:val="272727" w:themeColor="text1" w:themeTint="D8"/>
          <w:kern w:val="24"/>
          <w:szCs w:val="24"/>
          <w:lang w:eastAsia="en-GB"/>
        </w:rPr>
        <w:tab/>
      </w:r>
      <w:r w:rsidR="004724D9">
        <w:rPr>
          <w:rFonts w:eastAsiaTheme="minorEastAsia"/>
          <w:color w:val="272727" w:themeColor="text1" w:themeTint="D8"/>
          <w:kern w:val="24"/>
          <w:szCs w:val="24"/>
          <w:lang w:val="en-US" w:eastAsia="en-GB"/>
        </w:rPr>
        <w:t xml:space="preserve">In </w:t>
      </w:r>
      <w:r w:rsidR="00B83158">
        <w:rPr>
          <w:rFonts w:eastAsiaTheme="minorEastAsia"/>
          <w:color w:val="272727" w:themeColor="text1" w:themeTint="D8"/>
          <w:kern w:val="24"/>
          <w:szCs w:val="24"/>
          <w:lang w:val="en-US" w:eastAsia="en-GB"/>
        </w:rPr>
        <w:t xml:space="preserve">both the GMS Contract and subsequent guidance NHS England have stated that practices should not switch off their online consultations’ facility during core hours except in </w:t>
      </w:r>
      <w:r w:rsidR="00B83158" w:rsidRPr="00C5467D">
        <w:rPr>
          <w:rFonts w:eastAsiaTheme="minorEastAsia"/>
          <w:kern w:val="24"/>
          <w:szCs w:val="24"/>
          <w:lang w:val="en-US" w:eastAsia="en-GB"/>
        </w:rPr>
        <w:t>exceptional circumstances. However, for patient safety reasons practices are requesting they are allowed to switch these off during ICB arranged Protected Learning Time sessions</w:t>
      </w:r>
      <w:r w:rsidR="00B83158">
        <w:rPr>
          <w:rFonts w:eastAsiaTheme="minorEastAsia"/>
          <w:kern w:val="24"/>
          <w:szCs w:val="24"/>
          <w:lang w:val="en-US" w:eastAsia="en-GB"/>
        </w:rPr>
        <w:t>.</w:t>
      </w:r>
    </w:p>
    <w:p w14:paraId="799F4546" w14:textId="77777777" w:rsidR="00BD027A" w:rsidRDefault="00BD027A" w:rsidP="00BD027A">
      <w:pPr>
        <w:tabs>
          <w:tab w:val="left" w:pos="565"/>
        </w:tabs>
        <w:spacing w:after="0" w:line="240" w:lineRule="auto"/>
        <w:ind w:left="562" w:hanging="562"/>
        <w:rPr>
          <w:rFonts w:eastAsiaTheme="minorEastAsia"/>
          <w:kern w:val="24"/>
          <w:szCs w:val="24"/>
          <w:lang w:val="en-US" w:eastAsia="en-GB"/>
        </w:rPr>
      </w:pPr>
    </w:p>
    <w:p w14:paraId="1F821800" w14:textId="04052287" w:rsidR="00B83158" w:rsidRDefault="00B83158" w:rsidP="00BD027A">
      <w:pPr>
        <w:tabs>
          <w:tab w:val="left" w:pos="565"/>
        </w:tabs>
        <w:spacing w:after="0" w:line="240" w:lineRule="auto"/>
        <w:ind w:left="562" w:hanging="562"/>
        <w:rPr>
          <w:rFonts w:eastAsiaTheme="minorEastAsia"/>
          <w:kern w:val="24"/>
          <w:szCs w:val="24"/>
          <w:lang w:val="en-US" w:eastAsia="en-GB"/>
        </w:rPr>
      </w:pPr>
      <w:r>
        <w:rPr>
          <w:rFonts w:eastAsiaTheme="minorEastAsia"/>
          <w:color w:val="272727" w:themeColor="text1" w:themeTint="D8"/>
          <w:kern w:val="24"/>
          <w:szCs w:val="24"/>
          <w:lang w:eastAsia="en-GB"/>
        </w:rPr>
        <w:t>9.2</w:t>
      </w:r>
      <w:r>
        <w:rPr>
          <w:rFonts w:eastAsiaTheme="minorEastAsia"/>
          <w:color w:val="272727" w:themeColor="text1" w:themeTint="D8"/>
          <w:kern w:val="24"/>
          <w:szCs w:val="24"/>
          <w:lang w:eastAsia="en-GB"/>
        </w:rPr>
        <w:tab/>
        <w:t xml:space="preserve">NHS </w:t>
      </w:r>
      <w:r w:rsidR="00F25D0B" w:rsidRPr="00C5467D">
        <w:rPr>
          <w:rFonts w:eastAsiaTheme="minorEastAsia"/>
          <w:kern w:val="24"/>
          <w:szCs w:val="24"/>
          <w:lang w:val="en-US" w:eastAsia="en-GB"/>
        </w:rPr>
        <w:t>England Guidance confirms that the value of protected learning time is recognised practices should not alter their services or the times they are provided including responding to online consultation submissions including during protected learning time.  It is also recognised that cover has been arranged to support practice attendance at these learning sessions, however it is not currently possible to put cover arrangements in place for online consultations as IT systems are not capable of transferring this route of access as they do with telephony systems</w:t>
      </w:r>
      <w:r w:rsidR="00F25D0B">
        <w:rPr>
          <w:rFonts w:eastAsiaTheme="minorEastAsia"/>
          <w:kern w:val="24"/>
          <w:szCs w:val="24"/>
          <w:lang w:val="en-US" w:eastAsia="en-GB"/>
        </w:rPr>
        <w:t>.</w:t>
      </w:r>
    </w:p>
    <w:p w14:paraId="7B27E244" w14:textId="77777777" w:rsidR="00BD027A" w:rsidRDefault="00BD027A" w:rsidP="00BD027A">
      <w:pPr>
        <w:tabs>
          <w:tab w:val="left" w:pos="565"/>
        </w:tabs>
        <w:spacing w:after="0" w:line="240" w:lineRule="auto"/>
        <w:ind w:left="562" w:hanging="562"/>
        <w:rPr>
          <w:rFonts w:eastAsiaTheme="minorEastAsia"/>
          <w:kern w:val="24"/>
          <w:szCs w:val="24"/>
          <w:lang w:val="en-US" w:eastAsia="en-GB"/>
        </w:rPr>
      </w:pPr>
    </w:p>
    <w:p w14:paraId="283F76FE" w14:textId="3ADDA499" w:rsidR="00F25D0B" w:rsidRDefault="00F25D0B" w:rsidP="00BD027A">
      <w:pPr>
        <w:tabs>
          <w:tab w:val="left" w:pos="565"/>
        </w:tabs>
        <w:spacing w:after="0" w:line="240" w:lineRule="auto"/>
        <w:ind w:left="562" w:hanging="562"/>
        <w:rPr>
          <w:rFonts w:eastAsia="Times New Roman"/>
          <w:szCs w:val="24"/>
          <w:lang w:eastAsia="en-GB"/>
        </w:rPr>
      </w:pPr>
      <w:r>
        <w:rPr>
          <w:rFonts w:eastAsiaTheme="minorEastAsia"/>
          <w:color w:val="272727" w:themeColor="text1" w:themeTint="D8"/>
          <w:kern w:val="24"/>
          <w:szCs w:val="24"/>
          <w:lang w:eastAsia="en-GB"/>
        </w:rPr>
        <w:t>9.3</w:t>
      </w:r>
      <w:r>
        <w:rPr>
          <w:rFonts w:eastAsiaTheme="minorEastAsia"/>
          <w:color w:val="272727" w:themeColor="text1" w:themeTint="D8"/>
          <w:kern w:val="24"/>
          <w:szCs w:val="24"/>
          <w:lang w:eastAsia="en-GB"/>
        </w:rPr>
        <w:tab/>
      </w:r>
      <w:r w:rsidR="00126727">
        <w:rPr>
          <w:rFonts w:eastAsiaTheme="minorEastAsia"/>
          <w:color w:val="272727" w:themeColor="text1" w:themeTint="D8"/>
          <w:kern w:val="24"/>
          <w:szCs w:val="24"/>
          <w:lang w:eastAsia="en-GB"/>
        </w:rPr>
        <w:t xml:space="preserve">NHS England </w:t>
      </w:r>
      <w:r w:rsidR="007327C6" w:rsidRPr="00C5467D">
        <w:rPr>
          <w:rFonts w:eastAsia="Times New Roman"/>
          <w:szCs w:val="24"/>
          <w:lang w:eastAsia="en-GB"/>
        </w:rPr>
        <w:t>do caveat their guidance to say that responding to online consultation submission within the stated timescale could be changed if agreed with the commissioner.  Also, where practices wish to switch off their online consultation tool this should also be agreed with the commissioner</w:t>
      </w:r>
      <w:r w:rsidR="007327C6">
        <w:rPr>
          <w:rFonts w:eastAsia="Times New Roman"/>
          <w:szCs w:val="24"/>
          <w:lang w:eastAsia="en-GB"/>
        </w:rPr>
        <w:t>.</w:t>
      </w:r>
    </w:p>
    <w:p w14:paraId="274AE7FE" w14:textId="77777777" w:rsidR="00BD027A" w:rsidRPr="00BD027A" w:rsidRDefault="00BD027A" w:rsidP="00BD027A">
      <w:pPr>
        <w:tabs>
          <w:tab w:val="left" w:pos="565"/>
        </w:tabs>
        <w:spacing w:after="0" w:line="240" w:lineRule="auto"/>
        <w:ind w:left="562" w:hanging="562"/>
        <w:rPr>
          <w:rFonts w:eastAsiaTheme="minorEastAsia"/>
          <w:color w:val="272727" w:themeColor="text1" w:themeTint="D8"/>
          <w:kern w:val="24"/>
          <w:szCs w:val="24"/>
          <w:lang w:eastAsia="en-GB"/>
        </w:rPr>
      </w:pPr>
    </w:p>
    <w:p w14:paraId="10F6DE71" w14:textId="39C042B3" w:rsidR="00EF5CBB" w:rsidRPr="00972E8A" w:rsidRDefault="00EF5CBB" w:rsidP="00BD027A">
      <w:pPr>
        <w:tabs>
          <w:tab w:val="left" w:pos="565"/>
        </w:tabs>
        <w:spacing w:after="0" w:line="240" w:lineRule="auto"/>
        <w:ind w:left="562" w:hanging="562"/>
        <w:rPr>
          <w:rFonts w:eastAsiaTheme="minorEastAsia"/>
          <w:color w:val="272727" w:themeColor="text1" w:themeTint="D8"/>
          <w:kern w:val="24"/>
          <w:szCs w:val="24"/>
          <w:lang w:val="en-US" w:eastAsia="en-GB"/>
        </w:rPr>
      </w:pPr>
      <w:r>
        <w:rPr>
          <w:rFonts w:eastAsiaTheme="minorEastAsia"/>
          <w:color w:val="272727" w:themeColor="text1" w:themeTint="D8"/>
          <w:kern w:val="24"/>
          <w:szCs w:val="24"/>
          <w:lang w:eastAsia="en-GB"/>
        </w:rPr>
        <w:t>9.4</w:t>
      </w:r>
      <w:r>
        <w:rPr>
          <w:rFonts w:eastAsiaTheme="minorEastAsia"/>
          <w:color w:val="272727" w:themeColor="text1" w:themeTint="D8"/>
          <w:kern w:val="24"/>
          <w:szCs w:val="24"/>
          <w:lang w:eastAsia="en-GB"/>
        </w:rPr>
        <w:tab/>
        <w:t xml:space="preserve">The </w:t>
      </w:r>
      <w:r w:rsidR="00BD027A">
        <w:rPr>
          <w:rFonts w:eastAsia="Times New Roman"/>
          <w:szCs w:val="24"/>
          <w:lang w:eastAsia="en-GB"/>
        </w:rPr>
        <w:t xml:space="preserve">Primary Medical Services Group considered the </w:t>
      </w:r>
      <w:r w:rsidR="000E05A1">
        <w:rPr>
          <w:rFonts w:eastAsia="Times New Roman"/>
          <w:szCs w:val="24"/>
          <w:lang w:eastAsia="en-GB"/>
        </w:rPr>
        <w:t xml:space="preserve">risks and benefits outlined earlier and </w:t>
      </w:r>
      <w:r w:rsidR="00BD027A">
        <w:rPr>
          <w:rFonts w:eastAsia="Times New Roman"/>
          <w:szCs w:val="24"/>
          <w:lang w:eastAsia="en-GB"/>
        </w:rPr>
        <w:t xml:space="preserve">recommended that the online consultation facility should </w:t>
      </w:r>
      <w:r w:rsidR="00BD027A" w:rsidRPr="004A1207">
        <w:rPr>
          <w:rFonts w:eastAsia="Times New Roman"/>
          <w:b/>
          <w:bCs/>
          <w:szCs w:val="24"/>
          <w:lang w:eastAsia="en-GB"/>
        </w:rPr>
        <w:t>not</w:t>
      </w:r>
      <w:r w:rsidR="00BD027A">
        <w:rPr>
          <w:rFonts w:eastAsia="Times New Roman"/>
          <w:szCs w:val="24"/>
          <w:lang w:eastAsia="en-GB"/>
        </w:rPr>
        <w:t xml:space="preserve"> be switched off due to Protected Learning Time </w:t>
      </w:r>
      <w:r w:rsidR="006B7AE9">
        <w:rPr>
          <w:rFonts w:eastAsia="Times New Roman"/>
          <w:szCs w:val="24"/>
          <w:lang w:eastAsia="en-GB"/>
        </w:rPr>
        <w:t>s</w:t>
      </w:r>
      <w:r w:rsidR="00BD027A">
        <w:rPr>
          <w:rFonts w:eastAsia="Times New Roman"/>
          <w:szCs w:val="24"/>
          <w:lang w:eastAsia="en-GB"/>
        </w:rPr>
        <w:t>essions.</w:t>
      </w:r>
    </w:p>
    <w:p w14:paraId="101FCD6D" w14:textId="77777777" w:rsidR="00BD027A" w:rsidRDefault="00BD027A" w:rsidP="008B0601">
      <w:pPr>
        <w:tabs>
          <w:tab w:val="left" w:pos="565"/>
        </w:tabs>
        <w:spacing w:before="100" w:after="0" w:line="240" w:lineRule="auto"/>
        <w:ind w:left="562" w:hanging="562"/>
        <w:rPr>
          <w:rFonts w:eastAsiaTheme="minorEastAsia"/>
          <w:color w:val="272727" w:themeColor="text1" w:themeTint="D8"/>
          <w:kern w:val="24"/>
          <w:szCs w:val="24"/>
          <w:lang w:eastAsia="en-GB"/>
        </w:rPr>
      </w:pPr>
    </w:p>
    <w:p w14:paraId="53B14AC4" w14:textId="46E5738E" w:rsidR="006B4B7D" w:rsidRPr="00B747C2" w:rsidRDefault="00BD027A" w:rsidP="008B0601">
      <w:pPr>
        <w:tabs>
          <w:tab w:val="left" w:pos="565"/>
        </w:tabs>
        <w:spacing w:before="100" w:after="0" w:line="240" w:lineRule="auto"/>
        <w:ind w:left="562" w:hanging="562"/>
        <w:rPr>
          <w:rFonts w:eastAsia="Times New Roman"/>
          <w:b/>
          <w:bCs/>
          <w:szCs w:val="24"/>
          <w:lang w:eastAsia="en-GB"/>
        </w:rPr>
      </w:pPr>
      <w:r w:rsidRPr="00B747C2">
        <w:rPr>
          <w:rFonts w:eastAsiaTheme="minorEastAsia"/>
          <w:b/>
          <w:bCs/>
          <w:color w:val="272727" w:themeColor="text1" w:themeTint="D8"/>
          <w:kern w:val="24"/>
          <w:szCs w:val="24"/>
          <w:lang w:eastAsia="en-GB"/>
        </w:rPr>
        <w:t>10</w:t>
      </w:r>
      <w:r w:rsidR="006B4B7D" w:rsidRPr="00B747C2">
        <w:rPr>
          <w:rFonts w:eastAsiaTheme="minorEastAsia"/>
          <w:b/>
          <w:bCs/>
          <w:color w:val="272727" w:themeColor="text1" w:themeTint="D8"/>
          <w:kern w:val="24"/>
          <w:szCs w:val="24"/>
          <w:lang w:eastAsia="en-GB"/>
        </w:rPr>
        <w:t>.</w:t>
      </w:r>
      <w:r w:rsidR="006B4B7D" w:rsidRPr="00B747C2">
        <w:rPr>
          <w:rFonts w:eastAsiaTheme="minorEastAsia"/>
          <w:b/>
          <w:bCs/>
          <w:color w:val="272727" w:themeColor="text1" w:themeTint="D8"/>
          <w:kern w:val="24"/>
          <w:szCs w:val="24"/>
          <w:lang w:val="en-US" w:eastAsia="en-GB"/>
        </w:rPr>
        <w:t> </w:t>
      </w:r>
      <w:r w:rsidR="006B4B7D" w:rsidRPr="00B747C2">
        <w:rPr>
          <w:rFonts w:eastAsiaTheme="minorEastAsia"/>
          <w:b/>
          <w:bCs/>
          <w:color w:val="272727" w:themeColor="text1" w:themeTint="D8"/>
          <w:kern w:val="24"/>
          <w:szCs w:val="24"/>
          <w:lang w:val="en-US" w:eastAsia="en-GB"/>
        </w:rPr>
        <w:tab/>
        <w:t>Recommendations</w:t>
      </w:r>
    </w:p>
    <w:p w14:paraId="3BEF1712" w14:textId="0DBCE89E" w:rsidR="006B4B7D" w:rsidRPr="00972E8A" w:rsidRDefault="00FF1D8E" w:rsidP="00673BA7">
      <w:pPr>
        <w:tabs>
          <w:tab w:val="left" w:pos="565"/>
        </w:tabs>
        <w:spacing w:before="100" w:after="0" w:line="240" w:lineRule="auto"/>
        <w:ind w:left="562" w:hanging="562"/>
        <w:rPr>
          <w:rFonts w:eastAsiaTheme="minorEastAsia"/>
          <w:color w:val="000000" w:themeColor="text1"/>
          <w:kern w:val="24"/>
          <w:szCs w:val="24"/>
          <w:lang w:val="en-US" w:eastAsia="en-GB"/>
        </w:rPr>
      </w:pPr>
      <w:r>
        <w:rPr>
          <w:rFonts w:eastAsiaTheme="minorEastAsia"/>
          <w:color w:val="272727" w:themeColor="text1" w:themeTint="D8"/>
          <w:kern w:val="24"/>
          <w:szCs w:val="24"/>
          <w:lang w:eastAsia="en-GB"/>
        </w:rPr>
        <w:t>10</w:t>
      </w:r>
      <w:r w:rsidR="006B4B7D" w:rsidRPr="00972E8A">
        <w:rPr>
          <w:rFonts w:eastAsiaTheme="minorEastAsia"/>
          <w:color w:val="272727" w:themeColor="text1" w:themeTint="D8"/>
          <w:kern w:val="24"/>
          <w:szCs w:val="24"/>
          <w:lang w:eastAsia="en-GB"/>
        </w:rPr>
        <w:t>.1</w:t>
      </w:r>
      <w:r w:rsidR="006B4B7D" w:rsidRPr="00972E8A">
        <w:rPr>
          <w:rFonts w:eastAsiaTheme="minorEastAsia"/>
          <w:color w:val="272727" w:themeColor="text1" w:themeTint="D8"/>
          <w:kern w:val="24"/>
          <w:szCs w:val="24"/>
          <w:lang w:eastAsia="en-GB"/>
        </w:rPr>
        <w:tab/>
      </w:r>
      <w:r w:rsidR="00673BA7">
        <w:rPr>
          <w:rFonts w:eastAsiaTheme="minorEastAsia"/>
          <w:color w:val="272727" w:themeColor="text1" w:themeTint="D8"/>
          <w:kern w:val="24"/>
          <w:szCs w:val="24"/>
          <w:lang w:val="en-US" w:eastAsia="en-GB"/>
        </w:rPr>
        <w:t xml:space="preserve">The </w:t>
      </w:r>
      <w:r w:rsidR="00B747C2">
        <w:rPr>
          <w:rFonts w:eastAsiaTheme="minorEastAsia"/>
          <w:color w:val="272727" w:themeColor="text1" w:themeTint="D8"/>
          <w:kern w:val="24"/>
          <w:szCs w:val="24"/>
          <w:lang w:val="en-US" w:eastAsia="en-GB"/>
        </w:rPr>
        <w:t xml:space="preserve">Primary Care Contracts Sub Committee are asked to note the contents of this paper and </w:t>
      </w:r>
      <w:r w:rsidR="000E05A1">
        <w:rPr>
          <w:rFonts w:eastAsiaTheme="minorEastAsia"/>
          <w:color w:val="272727" w:themeColor="text1" w:themeTint="D8"/>
          <w:kern w:val="24"/>
          <w:szCs w:val="24"/>
          <w:lang w:val="en-US" w:eastAsia="en-GB"/>
        </w:rPr>
        <w:t xml:space="preserve">agree </w:t>
      </w:r>
      <w:r w:rsidR="00B747C2">
        <w:rPr>
          <w:rFonts w:eastAsiaTheme="minorEastAsia"/>
          <w:color w:val="272727" w:themeColor="text1" w:themeTint="D8"/>
          <w:kern w:val="24"/>
          <w:szCs w:val="24"/>
          <w:lang w:val="en-US" w:eastAsia="en-GB"/>
        </w:rPr>
        <w:t>the recommendation from the Primary Medical Services Group which is to not allow practices to switch off their online consultation facility during Protected Learning Time sessions</w:t>
      </w:r>
      <w:r w:rsidR="006B7AE9">
        <w:rPr>
          <w:rFonts w:eastAsiaTheme="minorEastAsia"/>
          <w:color w:val="272727" w:themeColor="text1" w:themeTint="D8"/>
          <w:kern w:val="24"/>
          <w:szCs w:val="24"/>
          <w:lang w:val="en-US" w:eastAsia="en-GB"/>
        </w:rPr>
        <w:t>.</w:t>
      </w:r>
    </w:p>
    <w:p w14:paraId="5E54F46A" w14:textId="77777777" w:rsidR="006B4B7D" w:rsidRPr="00972E8A" w:rsidRDefault="006B4B7D" w:rsidP="008B0601">
      <w:pPr>
        <w:spacing w:before="120" w:after="0" w:line="240" w:lineRule="auto"/>
        <w:ind w:left="562" w:hanging="562"/>
        <w:rPr>
          <w:rFonts w:eastAsiaTheme="minorEastAsia"/>
          <w:color w:val="000000" w:themeColor="text1"/>
          <w:kern w:val="24"/>
          <w:szCs w:val="24"/>
          <w:lang w:val="en-US" w:eastAsia="en-GB"/>
        </w:rPr>
      </w:pPr>
    </w:p>
    <w:p w14:paraId="7C316F67" w14:textId="77777777" w:rsidR="006B4B7D" w:rsidRPr="00972E8A" w:rsidRDefault="006B4B7D" w:rsidP="008B0601">
      <w:pPr>
        <w:spacing w:before="120" w:after="0" w:line="240" w:lineRule="auto"/>
        <w:ind w:left="562" w:hanging="562"/>
        <w:rPr>
          <w:rFonts w:eastAsiaTheme="minorEastAsia"/>
          <w:color w:val="000000" w:themeColor="text1"/>
          <w:kern w:val="24"/>
          <w:szCs w:val="24"/>
          <w:lang w:val="en-US" w:eastAsia="en-GB"/>
        </w:rPr>
      </w:pPr>
    </w:p>
    <w:p w14:paraId="0F8BCE03" w14:textId="3EB1197D" w:rsidR="006B4B7D" w:rsidRPr="00972E8A" w:rsidRDefault="00B747C2" w:rsidP="008B0601">
      <w:pPr>
        <w:spacing w:before="120" w:after="0" w:line="240" w:lineRule="auto"/>
        <w:ind w:left="562" w:hanging="562"/>
        <w:rPr>
          <w:rFonts w:eastAsiaTheme="minorEastAsia"/>
          <w:b/>
          <w:bCs/>
          <w:color w:val="000000" w:themeColor="text1"/>
          <w:kern w:val="24"/>
          <w:szCs w:val="24"/>
          <w:lang w:val="en-US" w:eastAsia="en-GB"/>
        </w:rPr>
      </w:pPr>
      <w:r>
        <w:rPr>
          <w:rFonts w:eastAsiaTheme="minorEastAsia"/>
          <w:b/>
          <w:bCs/>
          <w:color w:val="000000" w:themeColor="text1"/>
          <w:kern w:val="24"/>
          <w:szCs w:val="24"/>
          <w:lang w:val="en-US" w:eastAsia="en-GB"/>
        </w:rPr>
        <w:t>Joanne Cooper</w:t>
      </w:r>
    </w:p>
    <w:p w14:paraId="016B0BDB" w14:textId="59AA287C" w:rsidR="006B4B7D" w:rsidRPr="00972E8A" w:rsidRDefault="00B747C2" w:rsidP="008B0601">
      <w:pPr>
        <w:spacing w:before="120" w:after="0" w:line="240" w:lineRule="auto"/>
        <w:ind w:left="562" w:hanging="562"/>
        <w:rPr>
          <w:rFonts w:eastAsia="Times New Roman"/>
          <w:b/>
          <w:bCs/>
          <w:szCs w:val="24"/>
          <w:u w:val="single"/>
          <w:lang w:eastAsia="en-GB"/>
        </w:rPr>
      </w:pPr>
      <w:r>
        <w:rPr>
          <w:rFonts w:eastAsiaTheme="minorEastAsia"/>
          <w:b/>
          <w:bCs/>
          <w:color w:val="000000" w:themeColor="text1"/>
          <w:kern w:val="24"/>
          <w:szCs w:val="24"/>
          <w:u w:val="single"/>
          <w:lang w:val="en-US" w:eastAsia="en-GB"/>
        </w:rPr>
        <w:t>24</w:t>
      </w:r>
      <w:r w:rsidRPr="00B747C2">
        <w:rPr>
          <w:rFonts w:eastAsiaTheme="minorEastAsia"/>
          <w:b/>
          <w:bCs/>
          <w:color w:val="000000" w:themeColor="text1"/>
          <w:kern w:val="24"/>
          <w:szCs w:val="24"/>
          <w:u w:val="single"/>
          <w:vertAlign w:val="superscript"/>
          <w:lang w:val="en-US" w:eastAsia="en-GB"/>
        </w:rPr>
        <w:t>th</w:t>
      </w:r>
      <w:r>
        <w:rPr>
          <w:rFonts w:eastAsiaTheme="minorEastAsia"/>
          <w:b/>
          <w:bCs/>
          <w:color w:val="000000" w:themeColor="text1"/>
          <w:kern w:val="24"/>
          <w:szCs w:val="24"/>
          <w:u w:val="single"/>
          <w:lang w:val="en-US" w:eastAsia="en-GB"/>
        </w:rPr>
        <w:t xml:space="preserve"> February 2026</w:t>
      </w:r>
    </w:p>
    <w:p w14:paraId="02B27DF8" w14:textId="77777777" w:rsidR="006B4B7D" w:rsidRPr="00972E8A" w:rsidRDefault="006B4B7D" w:rsidP="008B0601">
      <w:pPr>
        <w:rPr>
          <w:szCs w:val="24"/>
        </w:rPr>
      </w:pPr>
    </w:p>
    <w:p w14:paraId="6100AEAC" w14:textId="1497496C" w:rsidR="006B4B7D" w:rsidRPr="00972E8A" w:rsidRDefault="006B4B7D" w:rsidP="008B0601">
      <w:pPr>
        <w:spacing w:after="0" w:line="240" w:lineRule="auto"/>
        <w:rPr>
          <w:rFonts w:eastAsiaTheme="minorEastAsia"/>
          <w:b/>
          <w:bCs/>
          <w:color w:val="000000" w:themeColor="text1"/>
          <w:kern w:val="24"/>
          <w:szCs w:val="24"/>
          <w:lang w:val="en-US" w:eastAsia="en-GB"/>
        </w:rPr>
      </w:pPr>
    </w:p>
    <w:sectPr w:rsidR="006B4B7D" w:rsidRPr="00972E8A" w:rsidSect="006E3B6E">
      <w:headerReference w:type="default" r:id="rId13"/>
      <w:footerReference w:type="default" r:id="rId14"/>
      <w:headerReference w:type="first" r:id="rId15"/>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8215" w14:textId="77777777" w:rsidR="00AD6C13" w:rsidRDefault="00AD6C13" w:rsidP="00811A35">
      <w:pPr>
        <w:spacing w:after="0" w:line="240" w:lineRule="auto"/>
      </w:pPr>
      <w:r>
        <w:separator/>
      </w:r>
    </w:p>
  </w:endnote>
  <w:endnote w:type="continuationSeparator" w:id="0">
    <w:p w14:paraId="332DE4AB" w14:textId="77777777" w:rsidR="00AD6C13" w:rsidRDefault="00AD6C13" w:rsidP="00811A35">
      <w:pPr>
        <w:spacing w:after="0" w:line="240" w:lineRule="auto"/>
      </w:pPr>
      <w:r>
        <w:continuationSeparator/>
      </w:r>
    </w:p>
  </w:endnote>
  <w:endnote w:type="continuationNotice" w:id="1">
    <w:p w14:paraId="57F9C502" w14:textId="77777777" w:rsidR="00AD6C13" w:rsidRDefault="00AD6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14:paraId="3C4967D4" w14:textId="77777777" w:rsidR="00CA5ED8" w:rsidRDefault="00CA5ED8">
        <w:pPr>
          <w:pStyle w:val="Footer"/>
          <w:jc w:val="right"/>
        </w:pPr>
        <w:r>
          <w:fldChar w:fldCharType="begin"/>
        </w:r>
        <w:r>
          <w:instrText xml:space="preserve"> PAGE   \* MERGEFORMAT </w:instrText>
        </w:r>
        <w:r>
          <w:fldChar w:fldCharType="separate"/>
        </w:r>
        <w:r w:rsidR="00DE0E3C">
          <w:rPr>
            <w:noProof/>
          </w:rPr>
          <w:t>1</w:t>
        </w:r>
        <w:r>
          <w:rPr>
            <w:noProof/>
          </w:rPr>
          <w:fldChar w:fldCharType="end"/>
        </w:r>
      </w:p>
    </w:sdtContent>
  </w:sdt>
  <w:p w14:paraId="6721074E" w14:textId="77777777" w:rsidR="00CA5ED8" w:rsidRDefault="00CA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BFE4" w14:textId="77777777" w:rsidR="00AD6C13" w:rsidRDefault="00AD6C13" w:rsidP="00811A35">
      <w:pPr>
        <w:spacing w:after="0" w:line="240" w:lineRule="auto"/>
      </w:pPr>
      <w:r>
        <w:separator/>
      </w:r>
    </w:p>
  </w:footnote>
  <w:footnote w:type="continuationSeparator" w:id="0">
    <w:p w14:paraId="5406D169" w14:textId="77777777" w:rsidR="00AD6C13" w:rsidRDefault="00AD6C13" w:rsidP="00811A35">
      <w:pPr>
        <w:spacing w:after="0" w:line="240" w:lineRule="auto"/>
      </w:pPr>
      <w:r>
        <w:continuationSeparator/>
      </w:r>
    </w:p>
  </w:footnote>
  <w:footnote w:type="continuationNotice" w:id="1">
    <w:p w14:paraId="266D6BC9" w14:textId="77777777" w:rsidR="00AD6C13" w:rsidRDefault="00AD6C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D1BC" w14:textId="4F9224ED" w:rsidR="00811A35" w:rsidRPr="006E3B6E" w:rsidRDefault="00811A35" w:rsidP="006E3B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5332" w14:textId="7A908692" w:rsidR="006E3B6E" w:rsidRDefault="006E3B6E" w:rsidP="006E3B6E">
    <w:pPr>
      <w:pStyle w:val="Header"/>
      <w:jc w:val="right"/>
    </w:pPr>
    <w:r>
      <w:rPr>
        <w:noProof/>
      </w:rPr>
      <w:drawing>
        <wp:inline distT="0" distB="0" distL="0" distR="0" wp14:anchorId="1BFCB57D" wp14:editId="20B27DCB">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39F4"/>
    <w:multiLevelType w:val="hybridMultilevel"/>
    <w:tmpl w:val="E7FC3CD0"/>
    <w:lvl w:ilvl="0" w:tplc="8C88BFF4">
      <w:start w:val="1"/>
      <w:numFmt w:val="bullet"/>
      <w:lvlText w:val="•"/>
      <w:lvlJc w:val="left"/>
      <w:pPr>
        <w:tabs>
          <w:tab w:val="num" w:pos="720"/>
        </w:tabs>
        <w:ind w:left="720" w:hanging="360"/>
      </w:pPr>
      <w:rPr>
        <w:rFonts w:ascii="Arial" w:hAnsi="Arial" w:hint="default"/>
      </w:rPr>
    </w:lvl>
    <w:lvl w:ilvl="1" w:tplc="A6F0CC66">
      <w:start w:val="1"/>
      <w:numFmt w:val="bullet"/>
      <w:lvlText w:val="•"/>
      <w:lvlJc w:val="left"/>
      <w:pPr>
        <w:tabs>
          <w:tab w:val="num" w:pos="1440"/>
        </w:tabs>
        <w:ind w:left="1440" w:hanging="360"/>
      </w:pPr>
      <w:rPr>
        <w:rFonts w:ascii="Arial" w:hAnsi="Arial" w:hint="default"/>
      </w:rPr>
    </w:lvl>
    <w:lvl w:ilvl="2" w:tplc="E50CA9C4" w:tentative="1">
      <w:start w:val="1"/>
      <w:numFmt w:val="bullet"/>
      <w:lvlText w:val="•"/>
      <w:lvlJc w:val="left"/>
      <w:pPr>
        <w:tabs>
          <w:tab w:val="num" w:pos="2160"/>
        </w:tabs>
        <w:ind w:left="2160" w:hanging="360"/>
      </w:pPr>
      <w:rPr>
        <w:rFonts w:ascii="Arial" w:hAnsi="Arial" w:hint="default"/>
      </w:rPr>
    </w:lvl>
    <w:lvl w:ilvl="3" w:tplc="6C70819E" w:tentative="1">
      <w:start w:val="1"/>
      <w:numFmt w:val="bullet"/>
      <w:lvlText w:val="•"/>
      <w:lvlJc w:val="left"/>
      <w:pPr>
        <w:tabs>
          <w:tab w:val="num" w:pos="2880"/>
        </w:tabs>
        <w:ind w:left="2880" w:hanging="360"/>
      </w:pPr>
      <w:rPr>
        <w:rFonts w:ascii="Arial" w:hAnsi="Arial" w:hint="default"/>
      </w:rPr>
    </w:lvl>
    <w:lvl w:ilvl="4" w:tplc="F67E079C" w:tentative="1">
      <w:start w:val="1"/>
      <w:numFmt w:val="bullet"/>
      <w:lvlText w:val="•"/>
      <w:lvlJc w:val="left"/>
      <w:pPr>
        <w:tabs>
          <w:tab w:val="num" w:pos="3600"/>
        </w:tabs>
        <w:ind w:left="3600" w:hanging="360"/>
      </w:pPr>
      <w:rPr>
        <w:rFonts w:ascii="Arial" w:hAnsi="Arial" w:hint="default"/>
      </w:rPr>
    </w:lvl>
    <w:lvl w:ilvl="5" w:tplc="46A82C8A" w:tentative="1">
      <w:start w:val="1"/>
      <w:numFmt w:val="bullet"/>
      <w:lvlText w:val="•"/>
      <w:lvlJc w:val="left"/>
      <w:pPr>
        <w:tabs>
          <w:tab w:val="num" w:pos="4320"/>
        </w:tabs>
        <w:ind w:left="4320" w:hanging="360"/>
      </w:pPr>
      <w:rPr>
        <w:rFonts w:ascii="Arial" w:hAnsi="Arial" w:hint="default"/>
      </w:rPr>
    </w:lvl>
    <w:lvl w:ilvl="6" w:tplc="FD961AA8" w:tentative="1">
      <w:start w:val="1"/>
      <w:numFmt w:val="bullet"/>
      <w:lvlText w:val="•"/>
      <w:lvlJc w:val="left"/>
      <w:pPr>
        <w:tabs>
          <w:tab w:val="num" w:pos="5040"/>
        </w:tabs>
        <w:ind w:left="5040" w:hanging="360"/>
      </w:pPr>
      <w:rPr>
        <w:rFonts w:ascii="Arial" w:hAnsi="Arial" w:hint="default"/>
      </w:rPr>
    </w:lvl>
    <w:lvl w:ilvl="7" w:tplc="E042F096" w:tentative="1">
      <w:start w:val="1"/>
      <w:numFmt w:val="bullet"/>
      <w:lvlText w:val="•"/>
      <w:lvlJc w:val="left"/>
      <w:pPr>
        <w:tabs>
          <w:tab w:val="num" w:pos="5760"/>
        </w:tabs>
        <w:ind w:left="5760" w:hanging="360"/>
      </w:pPr>
      <w:rPr>
        <w:rFonts w:ascii="Arial" w:hAnsi="Arial" w:hint="default"/>
      </w:rPr>
    </w:lvl>
    <w:lvl w:ilvl="8" w:tplc="70C834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A73D4"/>
    <w:multiLevelType w:val="multilevel"/>
    <w:tmpl w:val="476ED944"/>
    <w:lvl w:ilvl="0">
      <w:start w:val="2"/>
      <w:numFmt w:val="decimal"/>
      <w:lvlText w:val="%1."/>
      <w:lvlJc w:val="left"/>
      <w:pPr>
        <w:tabs>
          <w:tab w:val="num" w:pos="360"/>
        </w:tabs>
        <w:ind w:left="360" w:hanging="360"/>
      </w:p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D8954DD"/>
    <w:multiLevelType w:val="hybridMultilevel"/>
    <w:tmpl w:val="F4D2C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942868">
    <w:abstractNumId w:val="11"/>
  </w:num>
  <w:num w:numId="2" w16cid:durableId="1256480221">
    <w:abstractNumId w:val="9"/>
  </w:num>
  <w:num w:numId="3" w16cid:durableId="436367418">
    <w:abstractNumId w:val="7"/>
  </w:num>
  <w:num w:numId="4" w16cid:durableId="1928347352">
    <w:abstractNumId w:val="6"/>
  </w:num>
  <w:num w:numId="5" w16cid:durableId="437338224">
    <w:abstractNumId w:val="5"/>
  </w:num>
  <w:num w:numId="6" w16cid:durableId="1416900918">
    <w:abstractNumId w:val="4"/>
  </w:num>
  <w:num w:numId="7" w16cid:durableId="309599505">
    <w:abstractNumId w:val="8"/>
  </w:num>
  <w:num w:numId="8" w16cid:durableId="1776049273">
    <w:abstractNumId w:val="3"/>
  </w:num>
  <w:num w:numId="9" w16cid:durableId="1738046077">
    <w:abstractNumId w:val="2"/>
  </w:num>
  <w:num w:numId="10" w16cid:durableId="1245840101">
    <w:abstractNumId w:val="1"/>
  </w:num>
  <w:num w:numId="11" w16cid:durableId="191889870">
    <w:abstractNumId w:val="0"/>
  </w:num>
  <w:num w:numId="12" w16cid:durableId="1835607403">
    <w:abstractNumId w:val="14"/>
  </w:num>
  <w:num w:numId="13" w16cid:durableId="1495994256">
    <w:abstractNumId w:val="15"/>
  </w:num>
  <w:num w:numId="14" w16cid:durableId="205945778">
    <w:abstractNumId w:val="12"/>
  </w:num>
  <w:num w:numId="15" w16cid:durableId="1958681316">
    <w:abstractNumId w:val="13"/>
  </w:num>
  <w:num w:numId="16" w16cid:durableId="478033175">
    <w:abstractNumId w:val="10"/>
  </w:num>
  <w:num w:numId="17" w16cid:durableId="164726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04754"/>
    <w:rsid w:val="00074308"/>
    <w:rsid w:val="000B3E51"/>
    <w:rsid w:val="000E05A1"/>
    <w:rsid w:val="000F2DC1"/>
    <w:rsid w:val="000F6F34"/>
    <w:rsid w:val="00126727"/>
    <w:rsid w:val="001337ED"/>
    <w:rsid w:val="00147755"/>
    <w:rsid w:val="00175074"/>
    <w:rsid w:val="001756FC"/>
    <w:rsid w:val="001757F4"/>
    <w:rsid w:val="001B5DAA"/>
    <w:rsid w:val="001C595C"/>
    <w:rsid w:val="001C6B60"/>
    <w:rsid w:val="001F3F3D"/>
    <w:rsid w:val="002054C6"/>
    <w:rsid w:val="002353E0"/>
    <w:rsid w:val="00253271"/>
    <w:rsid w:val="00266DD3"/>
    <w:rsid w:val="0027541C"/>
    <w:rsid w:val="00284398"/>
    <w:rsid w:val="00291EF2"/>
    <w:rsid w:val="002B1425"/>
    <w:rsid w:val="002B6BA0"/>
    <w:rsid w:val="002C051A"/>
    <w:rsid w:val="002F30EE"/>
    <w:rsid w:val="00303252"/>
    <w:rsid w:val="0034036C"/>
    <w:rsid w:val="00360B05"/>
    <w:rsid w:val="003839D2"/>
    <w:rsid w:val="003E1437"/>
    <w:rsid w:val="003E151F"/>
    <w:rsid w:val="004025BF"/>
    <w:rsid w:val="0040529E"/>
    <w:rsid w:val="00415446"/>
    <w:rsid w:val="00422A68"/>
    <w:rsid w:val="004724D9"/>
    <w:rsid w:val="00487FAB"/>
    <w:rsid w:val="004E6E87"/>
    <w:rsid w:val="005154B5"/>
    <w:rsid w:val="00517C38"/>
    <w:rsid w:val="00523A5E"/>
    <w:rsid w:val="00523F19"/>
    <w:rsid w:val="00533AB0"/>
    <w:rsid w:val="005402E1"/>
    <w:rsid w:val="00560EEE"/>
    <w:rsid w:val="0056654E"/>
    <w:rsid w:val="005A25DD"/>
    <w:rsid w:val="005B44BA"/>
    <w:rsid w:val="005B693D"/>
    <w:rsid w:val="005E1BAD"/>
    <w:rsid w:val="006067C6"/>
    <w:rsid w:val="006136D7"/>
    <w:rsid w:val="00641141"/>
    <w:rsid w:val="00673BA7"/>
    <w:rsid w:val="006A71FE"/>
    <w:rsid w:val="006B4B7D"/>
    <w:rsid w:val="006B6011"/>
    <w:rsid w:val="006B7AE9"/>
    <w:rsid w:val="006E3B6E"/>
    <w:rsid w:val="00711452"/>
    <w:rsid w:val="007327C6"/>
    <w:rsid w:val="00736933"/>
    <w:rsid w:val="00760B06"/>
    <w:rsid w:val="00776B44"/>
    <w:rsid w:val="00787F16"/>
    <w:rsid w:val="0079562C"/>
    <w:rsid w:val="007B34ED"/>
    <w:rsid w:val="007B7990"/>
    <w:rsid w:val="00811A35"/>
    <w:rsid w:val="008208E8"/>
    <w:rsid w:val="00886F67"/>
    <w:rsid w:val="008B0601"/>
    <w:rsid w:val="008B2514"/>
    <w:rsid w:val="008F5514"/>
    <w:rsid w:val="00904F72"/>
    <w:rsid w:val="00942041"/>
    <w:rsid w:val="00955869"/>
    <w:rsid w:val="00972E8A"/>
    <w:rsid w:val="009801C8"/>
    <w:rsid w:val="00992904"/>
    <w:rsid w:val="009B5B69"/>
    <w:rsid w:val="009C0B4C"/>
    <w:rsid w:val="009D28CD"/>
    <w:rsid w:val="009F24D4"/>
    <w:rsid w:val="00A8443B"/>
    <w:rsid w:val="00A85699"/>
    <w:rsid w:val="00A8631D"/>
    <w:rsid w:val="00AB1535"/>
    <w:rsid w:val="00AD6C13"/>
    <w:rsid w:val="00AE457D"/>
    <w:rsid w:val="00B51206"/>
    <w:rsid w:val="00B747C2"/>
    <w:rsid w:val="00B822DB"/>
    <w:rsid w:val="00B83158"/>
    <w:rsid w:val="00BA127E"/>
    <w:rsid w:val="00BD027A"/>
    <w:rsid w:val="00BE342D"/>
    <w:rsid w:val="00BE4BB7"/>
    <w:rsid w:val="00BF35E4"/>
    <w:rsid w:val="00C301A7"/>
    <w:rsid w:val="00C32A53"/>
    <w:rsid w:val="00C45008"/>
    <w:rsid w:val="00C45997"/>
    <w:rsid w:val="00C61B63"/>
    <w:rsid w:val="00CA5ED8"/>
    <w:rsid w:val="00D42878"/>
    <w:rsid w:val="00D50B65"/>
    <w:rsid w:val="00D8683A"/>
    <w:rsid w:val="00D900B6"/>
    <w:rsid w:val="00DA478E"/>
    <w:rsid w:val="00DB56E8"/>
    <w:rsid w:val="00DC21DE"/>
    <w:rsid w:val="00DE0E3C"/>
    <w:rsid w:val="00E2109A"/>
    <w:rsid w:val="00E222FC"/>
    <w:rsid w:val="00E23734"/>
    <w:rsid w:val="00EA2950"/>
    <w:rsid w:val="00EA4570"/>
    <w:rsid w:val="00EB4CE8"/>
    <w:rsid w:val="00EC5AEA"/>
    <w:rsid w:val="00EC6879"/>
    <w:rsid w:val="00EF5CBB"/>
    <w:rsid w:val="00F02CF9"/>
    <w:rsid w:val="00F25D0B"/>
    <w:rsid w:val="00F3180D"/>
    <w:rsid w:val="00F611C2"/>
    <w:rsid w:val="00F63F09"/>
    <w:rsid w:val="00FA215D"/>
    <w:rsid w:val="00FE2428"/>
    <w:rsid w:val="00FF1D8E"/>
    <w:rsid w:val="00FF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71E8BF"/>
  <w15:docId w15:val="{18770F92-21C8-43F2-96F8-B306922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1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53146">
      <w:bodyDiv w:val="1"/>
      <w:marLeft w:val="0"/>
      <w:marRight w:val="0"/>
      <w:marTop w:val="0"/>
      <w:marBottom w:val="0"/>
      <w:divBdr>
        <w:top w:val="none" w:sz="0" w:space="0" w:color="auto"/>
        <w:left w:val="none" w:sz="0" w:space="0" w:color="auto"/>
        <w:bottom w:val="none" w:sz="0" w:space="0" w:color="auto"/>
        <w:right w:val="none" w:sz="0" w:space="0" w:color="auto"/>
      </w:divBdr>
    </w:div>
    <w:div w:id="12554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CD3A-603A-4502-B7A0-1EB40F2DD3B5}">
  <ds:schemaRefs>
    <ds:schemaRef ds:uri="http://schemas.microsoft.com/sharepoint/v3/contenttype/forms"/>
  </ds:schemaRefs>
</ds:datastoreItem>
</file>

<file path=customXml/itemProps2.xml><?xml version="1.0" encoding="utf-8"?>
<ds:datastoreItem xmlns:ds="http://schemas.openxmlformats.org/officeDocument/2006/customXml" ds:itemID="{EE59F22D-14E2-4091-9D5B-6D91AA20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d760762f-6d0f-47a6-8fb9-606f44da5725"/>
    <ds:schemaRef ds:uri="01e2c773-ad47-4b44-b790-6df6205ef4d8"/>
    <ds:schemaRef ds:uri="http://schemas.microsoft.com/sharepoint/v3"/>
    <ds:schemaRef ds:uri="0905d6a9-f13e-488a-975f-79affdc7d710"/>
  </ds:schemaRefs>
</ds:datastoreItem>
</file>

<file path=customXml/itemProps4.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Rossall</dc:creator>
  <cp:lastModifiedBy>TINSON, Peter (NHS LANCASHIRE AND SOUTH CUMBRIA ICB - 02M)</cp:lastModifiedBy>
  <cp:revision>10</cp:revision>
  <dcterms:created xsi:type="dcterms:W3CDTF">2026-03-05T12:59:00Z</dcterms:created>
  <dcterms:modified xsi:type="dcterms:W3CDTF">2026-03-05T13:12:00Z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ies>
</file>