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5DE3" w14:textId="1A57B291" w:rsidR="0062596B" w:rsidRPr="00440656" w:rsidRDefault="0062596B" w:rsidP="0044065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40656">
        <w:rPr>
          <w:b/>
          <w:bCs/>
          <w:sz w:val="24"/>
          <w:szCs w:val="24"/>
        </w:rPr>
        <w:t>L</w:t>
      </w:r>
      <w:r w:rsidR="00440656" w:rsidRPr="00440656">
        <w:rPr>
          <w:b/>
          <w:bCs/>
          <w:sz w:val="24"/>
          <w:szCs w:val="24"/>
        </w:rPr>
        <w:t xml:space="preserve">ocal Enhanced Service </w:t>
      </w:r>
      <w:r w:rsidRPr="00440656">
        <w:rPr>
          <w:b/>
          <w:bCs/>
          <w:sz w:val="24"/>
          <w:szCs w:val="24"/>
        </w:rPr>
        <w:t>Delivery Monitoring and Reporting Arrangements</w:t>
      </w:r>
    </w:p>
    <w:p w14:paraId="16A3AE08" w14:textId="77777777" w:rsidR="00440656" w:rsidRDefault="00440656" w:rsidP="00440656">
      <w:pPr>
        <w:spacing w:after="0" w:line="240" w:lineRule="auto"/>
        <w:rPr>
          <w:b/>
          <w:bCs/>
        </w:rPr>
      </w:pPr>
    </w:p>
    <w:p w14:paraId="79C2B0A9" w14:textId="77777777" w:rsidR="003806C4" w:rsidRDefault="003806C4" w:rsidP="00440656">
      <w:pPr>
        <w:spacing w:after="0" w:line="240" w:lineRule="auto"/>
        <w:rPr>
          <w:b/>
          <w:bCs/>
        </w:rPr>
      </w:pPr>
    </w:p>
    <w:p w14:paraId="6C3991DF" w14:textId="316A3394" w:rsidR="0062596B" w:rsidRDefault="0062596B" w:rsidP="00440656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440656">
        <w:rPr>
          <w:b/>
          <w:bCs/>
        </w:rPr>
        <w:t>Introduction</w:t>
      </w:r>
    </w:p>
    <w:p w14:paraId="66BAB27A" w14:textId="77777777" w:rsidR="00440656" w:rsidRPr="00440656" w:rsidRDefault="00440656" w:rsidP="00440656">
      <w:pPr>
        <w:pStyle w:val="ListParagraph"/>
        <w:spacing w:after="0" w:line="240" w:lineRule="auto"/>
        <w:ind w:left="360"/>
        <w:rPr>
          <w:b/>
          <w:bCs/>
        </w:rPr>
      </w:pPr>
    </w:p>
    <w:p w14:paraId="779E11FE" w14:textId="2E60CDE8" w:rsidR="0062596B" w:rsidRDefault="0062596B" w:rsidP="00440656">
      <w:pPr>
        <w:spacing w:after="0" w:line="240" w:lineRule="auto"/>
        <w:ind w:left="360"/>
        <w:jc w:val="both"/>
      </w:pPr>
      <w:r w:rsidRPr="0062596B">
        <w:t xml:space="preserve">As part of the Locally Enhanced Service (LES) Commissioning Plan this paper </w:t>
      </w:r>
      <w:r w:rsidR="00440656">
        <w:t>describes the monitoring and</w:t>
      </w:r>
      <w:r w:rsidRPr="0062596B">
        <w:t xml:space="preserve"> reporting arrangements, specifically in regard to:</w:t>
      </w:r>
    </w:p>
    <w:p w14:paraId="19A57815" w14:textId="77777777" w:rsidR="00440656" w:rsidRPr="0062596B" w:rsidRDefault="00440656" w:rsidP="00440656">
      <w:pPr>
        <w:spacing w:after="0" w:line="240" w:lineRule="auto"/>
        <w:ind w:left="360"/>
        <w:jc w:val="both"/>
      </w:pPr>
    </w:p>
    <w:p w14:paraId="5796D874" w14:textId="51878B0E" w:rsidR="00440656" w:rsidRPr="00DB4D80" w:rsidRDefault="00440656" w:rsidP="00440656">
      <w:pPr>
        <w:numPr>
          <w:ilvl w:val="0"/>
          <w:numId w:val="7"/>
        </w:numPr>
        <w:spacing w:after="0" w:line="240" w:lineRule="auto"/>
      </w:pPr>
      <w:r w:rsidRPr="00DB4D80">
        <w:t>Routine LES delivery</w:t>
      </w:r>
    </w:p>
    <w:p w14:paraId="06253264" w14:textId="655DB933" w:rsidR="0062596B" w:rsidRPr="00DB4D80" w:rsidRDefault="00440656" w:rsidP="00440656">
      <w:pPr>
        <w:numPr>
          <w:ilvl w:val="0"/>
          <w:numId w:val="7"/>
        </w:numPr>
        <w:spacing w:after="0" w:line="240" w:lineRule="auto"/>
      </w:pPr>
      <w:r w:rsidRPr="00DB4D80">
        <w:t>Long Term Conditions (LTC) LES system impact</w:t>
      </w:r>
      <w:r w:rsidR="0062596B" w:rsidRPr="00DB4D80">
        <w:t xml:space="preserve"> </w:t>
      </w:r>
    </w:p>
    <w:p w14:paraId="26C88BB8" w14:textId="6C697237" w:rsidR="0062596B" w:rsidRDefault="0062596B" w:rsidP="00440656">
      <w:pPr>
        <w:numPr>
          <w:ilvl w:val="0"/>
          <w:numId w:val="7"/>
        </w:numPr>
        <w:spacing w:after="0" w:line="240" w:lineRule="auto"/>
      </w:pPr>
      <w:r w:rsidRPr="00DB4D80">
        <w:t>‘Closer to home’</w:t>
      </w:r>
      <w:r w:rsidRPr="0062596B">
        <w:t xml:space="preserve"> service shift</w:t>
      </w:r>
      <w:r w:rsidR="00440656">
        <w:t>s</w:t>
      </w:r>
      <w:r w:rsidRPr="0062596B">
        <w:t xml:space="preserve"> (typically from secondary care provider</w:t>
      </w:r>
      <w:r w:rsidR="00440656">
        <w:t>s</w:t>
      </w:r>
      <w:r w:rsidRPr="0062596B">
        <w:t xml:space="preserve"> to General Practice)</w:t>
      </w:r>
    </w:p>
    <w:p w14:paraId="1C3C441F" w14:textId="77777777" w:rsidR="00A4791D" w:rsidRDefault="00A4791D" w:rsidP="00A4791D">
      <w:pPr>
        <w:spacing w:after="0" w:line="240" w:lineRule="auto"/>
      </w:pPr>
    </w:p>
    <w:p w14:paraId="69FFD556" w14:textId="795CBDD6" w:rsidR="00A4791D" w:rsidRPr="00A4791D" w:rsidRDefault="00A4791D" w:rsidP="00A4791D">
      <w:pPr>
        <w:spacing w:after="0" w:line="240" w:lineRule="auto"/>
        <w:ind w:left="360"/>
      </w:pPr>
      <w:r w:rsidRPr="00BC0F22">
        <w:rPr>
          <w:i/>
          <w:iCs/>
        </w:rPr>
        <w:t>Appendix 1</w:t>
      </w:r>
      <w:r>
        <w:t xml:space="preserve"> contains a summary of all LES and metrics </w:t>
      </w:r>
      <w:r w:rsidR="00BC0F22">
        <w:t>being monitored.</w:t>
      </w:r>
    </w:p>
    <w:p w14:paraId="6925D80A" w14:textId="77777777" w:rsidR="00A4791D" w:rsidRDefault="00A4791D" w:rsidP="00440656">
      <w:pPr>
        <w:spacing w:after="0" w:line="240" w:lineRule="auto"/>
        <w:rPr>
          <w:b/>
          <w:bCs/>
        </w:rPr>
      </w:pPr>
    </w:p>
    <w:p w14:paraId="76A4CADC" w14:textId="5DC51A31" w:rsidR="0062596B" w:rsidRPr="0062596B" w:rsidRDefault="0062596B" w:rsidP="00440656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62596B">
        <w:rPr>
          <w:b/>
          <w:bCs/>
        </w:rPr>
        <w:t>Context</w:t>
      </w:r>
    </w:p>
    <w:p w14:paraId="7D71FCB1" w14:textId="77777777" w:rsidR="00440656" w:rsidRDefault="00440656" w:rsidP="00440656">
      <w:pPr>
        <w:spacing w:after="0" w:line="240" w:lineRule="auto"/>
      </w:pPr>
    </w:p>
    <w:p w14:paraId="664ACEEB" w14:textId="5E7AD9B3" w:rsidR="00440656" w:rsidRDefault="00440656" w:rsidP="00440656">
      <w:pPr>
        <w:spacing w:after="0" w:line="240" w:lineRule="auto"/>
        <w:ind w:left="360"/>
        <w:jc w:val="both"/>
      </w:pPr>
      <w:r>
        <w:t>The second January 2025 Board paper identified the following LES monitoring and governance arrangements</w:t>
      </w:r>
      <w:r w:rsidR="003806C4">
        <w:t xml:space="preserve"> (revised to reflect updated governance arrangements):</w:t>
      </w:r>
    </w:p>
    <w:p w14:paraId="23799B60" w14:textId="77777777" w:rsidR="00440656" w:rsidRPr="00440656" w:rsidRDefault="00440656" w:rsidP="00440656">
      <w:pPr>
        <w:spacing w:after="0" w:line="240" w:lineRule="auto"/>
        <w:jc w:val="both"/>
      </w:pPr>
    </w:p>
    <w:p w14:paraId="0B4A6BF3" w14:textId="5DAE2B73" w:rsidR="00440656" w:rsidRPr="00440656" w:rsidRDefault="00440656" w:rsidP="00440656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A</w:t>
      </w:r>
      <w:r w:rsidRPr="00440656">
        <w:t xml:space="preserve"> bespoke LES delivery dashboard w</w:t>
      </w:r>
      <w:r w:rsidR="003806C4">
        <w:t>ill</w:t>
      </w:r>
      <w:r w:rsidRPr="00440656">
        <w:t xml:space="preserve"> be developed that captures for each practice and alternative provider their monthly LES delivery compared to their planned profile.</w:t>
      </w:r>
      <w:r>
        <w:t xml:space="preserve">  </w:t>
      </w:r>
      <w:r w:rsidRPr="00440656">
        <w:t>The dashboard w</w:t>
      </w:r>
      <w:r w:rsidR="003806C4">
        <w:t>ill</w:t>
      </w:r>
      <w:r w:rsidRPr="00440656">
        <w:t xml:space="preserve"> have three parts:</w:t>
      </w:r>
    </w:p>
    <w:p w14:paraId="686BF8EA" w14:textId="77777777" w:rsidR="00440656" w:rsidRPr="00440656" w:rsidRDefault="00440656" w:rsidP="00440656">
      <w:pPr>
        <w:pStyle w:val="ListParagraph"/>
        <w:numPr>
          <w:ilvl w:val="1"/>
          <w:numId w:val="11"/>
        </w:numPr>
        <w:spacing w:after="0" w:line="240" w:lineRule="auto"/>
        <w:jc w:val="both"/>
      </w:pPr>
      <w:r w:rsidRPr="00440656">
        <w:t>Activity and quality</w:t>
      </w:r>
    </w:p>
    <w:p w14:paraId="11391834" w14:textId="77777777" w:rsidR="00440656" w:rsidRPr="00440656" w:rsidRDefault="00440656" w:rsidP="00440656">
      <w:pPr>
        <w:pStyle w:val="ListParagraph"/>
        <w:numPr>
          <w:ilvl w:val="1"/>
          <w:numId w:val="11"/>
        </w:numPr>
        <w:spacing w:after="0" w:line="240" w:lineRule="auto"/>
        <w:jc w:val="both"/>
      </w:pPr>
      <w:r w:rsidRPr="00440656">
        <w:t>Outcomes (clinical and service use)</w:t>
      </w:r>
    </w:p>
    <w:p w14:paraId="198B8B76" w14:textId="4CBB341C" w:rsidR="00440656" w:rsidRPr="00440656" w:rsidRDefault="00440656" w:rsidP="003806C4">
      <w:pPr>
        <w:pStyle w:val="ListParagraph"/>
        <w:numPr>
          <w:ilvl w:val="1"/>
          <w:numId w:val="11"/>
        </w:numPr>
        <w:spacing w:after="0" w:line="240" w:lineRule="auto"/>
        <w:jc w:val="both"/>
      </w:pPr>
      <w:r w:rsidRPr="00440656">
        <w:t>Impact (system)</w:t>
      </w:r>
    </w:p>
    <w:p w14:paraId="1971E34B" w14:textId="7E5D0DE1" w:rsidR="00440656" w:rsidRPr="00440656" w:rsidRDefault="00440656" w:rsidP="003806C4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440656">
        <w:t>Individual practices/alternative providers w</w:t>
      </w:r>
      <w:r w:rsidR="003806C4">
        <w:t>ill</w:t>
      </w:r>
      <w:r w:rsidRPr="00440656">
        <w:t xml:space="preserve"> have online access to the dashboard and be expected to review their delivery each month</w:t>
      </w:r>
    </w:p>
    <w:p w14:paraId="41297B47" w14:textId="624C5017" w:rsidR="00440656" w:rsidRPr="00440656" w:rsidRDefault="00440656" w:rsidP="003806C4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440656">
        <w:t>Place</w:t>
      </w:r>
      <w:r w:rsidR="003806C4">
        <w:t xml:space="preserve"> </w:t>
      </w:r>
      <w:r w:rsidRPr="00440656">
        <w:t>primary care commissioning teams w</w:t>
      </w:r>
      <w:r w:rsidR="003806C4">
        <w:t>ill</w:t>
      </w:r>
      <w:r w:rsidRPr="00440656">
        <w:t xml:space="preserve"> </w:t>
      </w:r>
      <w:r w:rsidR="003806C4">
        <w:t xml:space="preserve">also </w:t>
      </w:r>
      <w:r w:rsidRPr="00440656">
        <w:t>have online access to the dashboard</w:t>
      </w:r>
      <w:r w:rsidR="003806C4">
        <w:t xml:space="preserve"> </w:t>
      </w:r>
      <w:r w:rsidRPr="00440656">
        <w:t>and review each month and engage with practices (with the support of the Place Clinical and Care Professional Leads) to explore any delivery issues and support improvement</w:t>
      </w:r>
    </w:p>
    <w:p w14:paraId="7CA39DF0" w14:textId="3050546D" w:rsidR="00440656" w:rsidRDefault="00440656" w:rsidP="003806C4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440656">
        <w:t xml:space="preserve">Also, the Primary </w:t>
      </w:r>
      <w:r w:rsidR="003806C4">
        <w:t xml:space="preserve">Care Operational Services Group will </w:t>
      </w:r>
      <w:r w:rsidRPr="00440656">
        <w:t>review</w:t>
      </w:r>
      <w:r w:rsidR="003806C4">
        <w:t xml:space="preserve"> each month</w:t>
      </w:r>
      <w:r w:rsidRPr="00440656">
        <w:t xml:space="preserve"> a summary of </w:t>
      </w:r>
      <w:r w:rsidR="003806C4">
        <w:t xml:space="preserve">Place </w:t>
      </w:r>
      <w:r w:rsidRPr="00440656">
        <w:t xml:space="preserve">delivery (and any individual provider exceptions) </w:t>
      </w:r>
      <w:r w:rsidR="003806C4">
        <w:t>via an expanded Integrated Primary Care Performance Report which will also be received by the</w:t>
      </w:r>
      <w:r w:rsidRPr="00440656">
        <w:t xml:space="preserve"> Primary Care </w:t>
      </w:r>
      <w:r w:rsidR="003806C4">
        <w:t>Contracting Sub-committee</w:t>
      </w:r>
    </w:p>
    <w:p w14:paraId="7F9F124F" w14:textId="77777777" w:rsidR="00440656" w:rsidRDefault="00440656" w:rsidP="00440656">
      <w:pPr>
        <w:spacing w:after="0" w:line="240" w:lineRule="auto"/>
        <w:ind w:left="360"/>
        <w:jc w:val="both"/>
      </w:pPr>
    </w:p>
    <w:p w14:paraId="4E9B516A" w14:textId="54C307C6" w:rsidR="003806C4" w:rsidRPr="00DB4D80" w:rsidRDefault="00DB4D80" w:rsidP="003806C4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DB4D80">
        <w:rPr>
          <w:b/>
          <w:bCs/>
        </w:rPr>
        <w:t xml:space="preserve">Delivery </w:t>
      </w:r>
      <w:r>
        <w:rPr>
          <w:b/>
          <w:bCs/>
        </w:rPr>
        <w:t>Tools</w:t>
      </w:r>
    </w:p>
    <w:p w14:paraId="0AB36730" w14:textId="77777777" w:rsidR="003806C4" w:rsidRDefault="003806C4" w:rsidP="00440656">
      <w:pPr>
        <w:spacing w:after="0" w:line="240" w:lineRule="auto"/>
        <w:ind w:left="360"/>
        <w:jc w:val="both"/>
      </w:pPr>
    </w:p>
    <w:p w14:paraId="2B0762E4" w14:textId="393979FC" w:rsidR="0062596B" w:rsidRDefault="0062596B" w:rsidP="003806C4">
      <w:pPr>
        <w:spacing w:after="0" w:line="240" w:lineRule="auto"/>
        <w:ind w:left="360"/>
        <w:jc w:val="both"/>
      </w:pPr>
      <w:r w:rsidRPr="0062596B">
        <w:t>As of the 1</w:t>
      </w:r>
      <w:r w:rsidRPr="003806C4">
        <w:t>st</w:t>
      </w:r>
      <w:r w:rsidRPr="0062596B">
        <w:t xml:space="preserve"> of May 2025, General Practice is delivering the new LES</w:t>
      </w:r>
      <w:r w:rsidR="00440656">
        <w:t xml:space="preserve"> </w:t>
      </w:r>
      <w:r w:rsidRPr="0062596B">
        <w:t xml:space="preserve">consisting of 17 new or significantly altered pathways. </w:t>
      </w:r>
      <w:r w:rsidR="003806C4">
        <w:t xml:space="preserve"> The delivery </w:t>
      </w:r>
      <w:r w:rsidR="00DB4D80">
        <w:t xml:space="preserve">tools are </w:t>
      </w:r>
      <w:r w:rsidR="003806C4">
        <w:t>being progressed in three stages:</w:t>
      </w:r>
    </w:p>
    <w:p w14:paraId="7EA8BF17" w14:textId="77777777" w:rsidR="00440656" w:rsidRPr="0062596B" w:rsidRDefault="00440656" w:rsidP="00440656">
      <w:pPr>
        <w:spacing w:after="0" w:line="240" w:lineRule="auto"/>
        <w:ind w:left="360"/>
      </w:pPr>
    </w:p>
    <w:p w14:paraId="5569A02A" w14:textId="1A980C0B" w:rsidR="0062596B" w:rsidRPr="0062596B" w:rsidRDefault="0062596B" w:rsidP="00DB4D80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DB4D80">
        <w:rPr>
          <w:u w:val="single"/>
        </w:rPr>
        <w:t>Stage One</w:t>
      </w:r>
      <w:r w:rsidRPr="00DB4D80">
        <w:t xml:space="preserve"> (complete March 2025) </w:t>
      </w:r>
      <w:r w:rsidR="003806C4" w:rsidRPr="00DB4D80">
        <w:t xml:space="preserve">is the </w:t>
      </w:r>
      <w:r w:rsidRPr="0062596B">
        <w:t>development and publication of practice delivery tools (coding rules, templates</w:t>
      </w:r>
      <w:r w:rsidR="00DB4D80">
        <w:t xml:space="preserve"> and</w:t>
      </w:r>
      <w:r w:rsidRPr="0062596B">
        <w:t xml:space="preserve"> reporting data items)</w:t>
      </w:r>
    </w:p>
    <w:p w14:paraId="50325535" w14:textId="460C702E" w:rsidR="0062596B" w:rsidRPr="00DB4D80" w:rsidRDefault="0062596B" w:rsidP="00DB4D80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DB4D80">
        <w:rPr>
          <w:u w:val="single"/>
        </w:rPr>
        <w:t>Stage Two</w:t>
      </w:r>
      <w:r w:rsidRPr="00DB4D80">
        <w:t xml:space="preserve"> (complete May 2025) </w:t>
      </w:r>
      <w:r w:rsidR="00DB4D80">
        <w:t xml:space="preserve">is </w:t>
      </w:r>
      <w:r w:rsidRPr="00DB4D80">
        <w:t>the development and publication of impact monitoring tools for place and place plus that will match specific LES activity to local NEL/OPA activity</w:t>
      </w:r>
    </w:p>
    <w:p w14:paraId="35FBA5F3" w14:textId="565666F2" w:rsidR="0062596B" w:rsidRPr="0062596B" w:rsidRDefault="0062596B" w:rsidP="00DB4D80">
      <w:pPr>
        <w:numPr>
          <w:ilvl w:val="0"/>
          <w:numId w:val="2"/>
        </w:numPr>
        <w:spacing w:after="0" w:line="240" w:lineRule="auto"/>
        <w:jc w:val="both"/>
      </w:pPr>
      <w:r w:rsidRPr="00DB4D80">
        <w:rPr>
          <w:u w:val="single"/>
        </w:rPr>
        <w:t>Stage Three</w:t>
      </w:r>
      <w:r w:rsidRPr="0062596B">
        <w:t xml:space="preserve"> (</w:t>
      </w:r>
      <w:r w:rsidR="00DB4D80">
        <w:t xml:space="preserve">to be completed </w:t>
      </w:r>
      <w:r w:rsidRPr="0062596B">
        <w:t xml:space="preserve">November 2025) </w:t>
      </w:r>
      <w:r w:rsidR="00DB4D80">
        <w:t xml:space="preserve">is the first LTC LES impact assessment report to inform </w:t>
      </w:r>
      <w:r w:rsidRPr="0062596B">
        <w:t xml:space="preserve">future commissioning planning for 2026/27 </w:t>
      </w:r>
    </w:p>
    <w:p w14:paraId="768787DB" w14:textId="77777777" w:rsidR="00440656" w:rsidRDefault="00440656" w:rsidP="00DB4D80">
      <w:pPr>
        <w:spacing w:after="0" w:line="240" w:lineRule="auto"/>
        <w:ind w:left="360"/>
        <w:jc w:val="both"/>
      </w:pPr>
    </w:p>
    <w:p w14:paraId="121A3100" w14:textId="7EAF9A37" w:rsidR="0062596B" w:rsidRPr="0062596B" w:rsidRDefault="0062596B" w:rsidP="00DB4D80">
      <w:pPr>
        <w:spacing w:after="0" w:line="240" w:lineRule="auto"/>
        <w:ind w:left="360"/>
        <w:jc w:val="both"/>
      </w:pPr>
      <w:r w:rsidRPr="0062596B">
        <w:t>Stage one was completed in April with practices now recording and reporting activity consistently across all commissioned LES.</w:t>
      </w:r>
    </w:p>
    <w:p w14:paraId="1FFFF58E" w14:textId="77777777" w:rsidR="00440656" w:rsidRDefault="00440656" w:rsidP="00440656">
      <w:pPr>
        <w:spacing w:after="0" w:line="240" w:lineRule="auto"/>
      </w:pPr>
    </w:p>
    <w:p w14:paraId="11D678B0" w14:textId="4873DD5C" w:rsidR="0062596B" w:rsidRDefault="0062596B" w:rsidP="00DB4D80">
      <w:pPr>
        <w:spacing w:after="0" w:line="240" w:lineRule="auto"/>
        <w:ind w:left="360"/>
        <w:jc w:val="both"/>
      </w:pPr>
      <w:r w:rsidRPr="0062596B">
        <w:lastRenderedPageBreak/>
        <w:t>The focus is now on Stage Two with effort being prioritised towards LES that evidence service shift and system impact.</w:t>
      </w:r>
    </w:p>
    <w:p w14:paraId="36EB2206" w14:textId="77777777" w:rsidR="00DB4D80" w:rsidRPr="0062596B" w:rsidRDefault="00DB4D80" w:rsidP="00440656">
      <w:pPr>
        <w:spacing w:after="0" w:line="240" w:lineRule="auto"/>
      </w:pPr>
    </w:p>
    <w:p w14:paraId="24847A09" w14:textId="77777777" w:rsidR="0062596B" w:rsidRPr="0062596B" w:rsidRDefault="0062596B" w:rsidP="00DB4D8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62596B">
        <w:rPr>
          <w:b/>
          <w:bCs/>
        </w:rPr>
        <w:t>Long Term Condition LES and System Impact:</w:t>
      </w:r>
    </w:p>
    <w:p w14:paraId="71548C05" w14:textId="77777777" w:rsidR="00DB4D80" w:rsidRDefault="00DB4D80" w:rsidP="00440656">
      <w:pPr>
        <w:spacing w:after="0" w:line="240" w:lineRule="auto"/>
      </w:pPr>
    </w:p>
    <w:p w14:paraId="094A78F9" w14:textId="1A3AD9EC" w:rsidR="0062596B" w:rsidRDefault="0062596B" w:rsidP="001568F2">
      <w:pPr>
        <w:spacing w:after="0" w:line="240" w:lineRule="auto"/>
        <w:ind w:left="360"/>
        <w:jc w:val="both"/>
      </w:pPr>
      <w:r w:rsidRPr="0062596B">
        <w:t>The delivery of the LTC LES is actively taking place over 11 months (April designated as planning).</w:t>
      </w:r>
      <w:r w:rsidR="00DB4D80">
        <w:t xml:space="preserve"> </w:t>
      </w:r>
      <w:r w:rsidRPr="0062596B">
        <w:t xml:space="preserve"> The expected spread of delivery across the period is as follows (based on modified GPQC delivery </w:t>
      </w:r>
      <w:r w:rsidR="00DB4D80">
        <w:t>20</w:t>
      </w:r>
      <w:r w:rsidRPr="0062596B">
        <w:t>24/25):</w:t>
      </w:r>
    </w:p>
    <w:p w14:paraId="52DD2DE9" w14:textId="77777777" w:rsidR="00DB4D80" w:rsidRPr="0062596B" w:rsidRDefault="00DB4D80" w:rsidP="00440656">
      <w:pPr>
        <w:spacing w:after="0" w:line="240" w:lineRule="auto"/>
      </w:pP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1586"/>
        <w:gridCol w:w="546"/>
        <w:gridCol w:w="606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233"/>
        <w:gridCol w:w="982"/>
      </w:tblGrid>
      <w:tr w:rsidR="0062596B" w:rsidRPr="0062596B" w14:paraId="6DA3A163" w14:textId="77777777" w:rsidTr="00F35FE0">
        <w:trPr>
          <w:trHeight w:val="290"/>
          <w:jc w:val="center"/>
        </w:trPr>
        <w:tc>
          <w:tcPr>
            <w:tcW w:w="1586" w:type="dxa"/>
            <w:noWrap/>
            <w:hideMark/>
          </w:tcPr>
          <w:p w14:paraId="090FA9CC" w14:textId="77777777" w:rsidR="0062596B" w:rsidRPr="0062596B" w:rsidRDefault="0062596B" w:rsidP="00440656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noWrap/>
            <w:hideMark/>
          </w:tcPr>
          <w:p w14:paraId="38F1B992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Apr-25</w:t>
            </w:r>
          </w:p>
        </w:tc>
        <w:tc>
          <w:tcPr>
            <w:tcW w:w="606" w:type="dxa"/>
            <w:noWrap/>
            <w:hideMark/>
          </w:tcPr>
          <w:p w14:paraId="2C68F44D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May-25</w:t>
            </w:r>
          </w:p>
        </w:tc>
        <w:tc>
          <w:tcPr>
            <w:tcW w:w="597" w:type="dxa"/>
            <w:noWrap/>
            <w:hideMark/>
          </w:tcPr>
          <w:p w14:paraId="5170F4C7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Jun-25</w:t>
            </w:r>
          </w:p>
        </w:tc>
        <w:tc>
          <w:tcPr>
            <w:tcW w:w="597" w:type="dxa"/>
            <w:noWrap/>
            <w:hideMark/>
          </w:tcPr>
          <w:p w14:paraId="756B6915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Jul-25</w:t>
            </w:r>
          </w:p>
        </w:tc>
        <w:tc>
          <w:tcPr>
            <w:tcW w:w="597" w:type="dxa"/>
            <w:noWrap/>
            <w:hideMark/>
          </w:tcPr>
          <w:p w14:paraId="34AB2EF5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Aug-25</w:t>
            </w:r>
          </w:p>
        </w:tc>
        <w:tc>
          <w:tcPr>
            <w:tcW w:w="597" w:type="dxa"/>
            <w:noWrap/>
            <w:hideMark/>
          </w:tcPr>
          <w:p w14:paraId="26354F3D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Sep-25</w:t>
            </w:r>
          </w:p>
        </w:tc>
        <w:tc>
          <w:tcPr>
            <w:tcW w:w="597" w:type="dxa"/>
            <w:noWrap/>
            <w:hideMark/>
          </w:tcPr>
          <w:p w14:paraId="662D8FA7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Oct-25</w:t>
            </w:r>
          </w:p>
        </w:tc>
        <w:tc>
          <w:tcPr>
            <w:tcW w:w="597" w:type="dxa"/>
            <w:noWrap/>
            <w:hideMark/>
          </w:tcPr>
          <w:p w14:paraId="7CECF838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Nov-25</w:t>
            </w:r>
          </w:p>
        </w:tc>
        <w:tc>
          <w:tcPr>
            <w:tcW w:w="597" w:type="dxa"/>
            <w:noWrap/>
            <w:hideMark/>
          </w:tcPr>
          <w:p w14:paraId="29FB7488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Dec-25</w:t>
            </w:r>
          </w:p>
        </w:tc>
        <w:tc>
          <w:tcPr>
            <w:tcW w:w="597" w:type="dxa"/>
            <w:noWrap/>
            <w:hideMark/>
          </w:tcPr>
          <w:p w14:paraId="2EB2465F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Jan-26</w:t>
            </w:r>
          </w:p>
        </w:tc>
        <w:tc>
          <w:tcPr>
            <w:tcW w:w="597" w:type="dxa"/>
            <w:noWrap/>
            <w:hideMark/>
          </w:tcPr>
          <w:p w14:paraId="08427080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Feb-26</w:t>
            </w:r>
          </w:p>
        </w:tc>
        <w:tc>
          <w:tcPr>
            <w:tcW w:w="597" w:type="dxa"/>
            <w:noWrap/>
            <w:hideMark/>
          </w:tcPr>
          <w:p w14:paraId="77E284A3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Mar-26</w:t>
            </w:r>
          </w:p>
        </w:tc>
        <w:tc>
          <w:tcPr>
            <w:tcW w:w="233" w:type="dxa"/>
            <w:noWrap/>
            <w:hideMark/>
          </w:tcPr>
          <w:p w14:paraId="48074C83" w14:textId="77777777" w:rsidR="0062596B" w:rsidRPr="0062596B" w:rsidRDefault="0062596B" w:rsidP="0044065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noWrap/>
            <w:hideMark/>
          </w:tcPr>
          <w:p w14:paraId="5B0F1BA0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Totals</w:t>
            </w:r>
          </w:p>
        </w:tc>
      </w:tr>
      <w:tr w:rsidR="0062596B" w:rsidRPr="0062596B" w14:paraId="53D01BD8" w14:textId="77777777" w:rsidTr="00F35FE0">
        <w:trPr>
          <w:trHeight w:val="290"/>
          <w:jc w:val="center"/>
        </w:trPr>
        <w:tc>
          <w:tcPr>
            <w:tcW w:w="1586" w:type="dxa"/>
            <w:noWrap/>
            <w:hideMark/>
          </w:tcPr>
          <w:p w14:paraId="3973521E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Percentage delivery</w:t>
            </w:r>
          </w:p>
        </w:tc>
        <w:tc>
          <w:tcPr>
            <w:tcW w:w="546" w:type="dxa"/>
            <w:noWrap/>
            <w:vAlign w:val="center"/>
            <w:hideMark/>
          </w:tcPr>
          <w:p w14:paraId="18222C2E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0%</w:t>
            </w:r>
          </w:p>
        </w:tc>
        <w:tc>
          <w:tcPr>
            <w:tcW w:w="606" w:type="dxa"/>
            <w:noWrap/>
            <w:vAlign w:val="center"/>
            <w:hideMark/>
          </w:tcPr>
          <w:p w14:paraId="7205AE09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3%</w:t>
            </w:r>
          </w:p>
        </w:tc>
        <w:tc>
          <w:tcPr>
            <w:tcW w:w="597" w:type="dxa"/>
            <w:noWrap/>
            <w:vAlign w:val="center"/>
            <w:hideMark/>
          </w:tcPr>
          <w:p w14:paraId="5EF27A7E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5%</w:t>
            </w:r>
          </w:p>
        </w:tc>
        <w:tc>
          <w:tcPr>
            <w:tcW w:w="597" w:type="dxa"/>
            <w:noWrap/>
            <w:vAlign w:val="center"/>
            <w:hideMark/>
          </w:tcPr>
          <w:p w14:paraId="17520AEB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8%</w:t>
            </w:r>
          </w:p>
        </w:tc>
        <w:tc>
          <w:tcPr>
            <w:tcW w:w="597" w:type="dxa"/>
            <w:noWrap/>
            <w:vAlign w:val="center"/>
            <w:hideMark/>
          </w:tcPr>
          <w:p w14:paraId="4179965D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8%</w:t>
            </w:r>
          </w:p>
        </w:tc>
        <w:tc>
          <w:tcPr>
            <w:tcW w:w="597" w:type="dxa"/>
            <w:noWrap/>
            <w:vAlign w:val="center"/>
            <w:hideMark/>
          </w:tcPr>
          <w:p w14:paraId="708A4214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10%</w:t>
            </w:r>
          </w:p>
        </w:tc>
        <w:tc>
          <w:tcPr>
            <w:tcW w:w="597" w:type="dxa"/>
            <w:noWrap/>
            <w:vAlign w:val="center"/>
            <w:hideMark/>
          </w:tcPr>
          <w:p w14:paraId="0315E05F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11%</w:t>
            </w:r>
          </w:p>
        </w:tc>
        <w:tc>
          <w:tcPr>
            <w:tcW w:w="597" w:type="dxa"/>
            <w:noWrap/>
            <w:vAlign w:val="center"/>
            <w:hideMark/>
          </w:tcPr>
          <w:p w14:paraId="794D4D96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11%</w:t>
            </w:r>
          </w:p>
        </w:tc>
        <w:tc>
          <w:tcPr>
            <w:tcW w:w="597" w:type="dxa"/>
            <w:noWrap/>
            <w:vAlign w:val="center"/>
            <w:hideMark/>
          </w:tcPr>
          <w:p w14:paraId="25A672BA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10%</w:t>
            </w:r>
          </w:p>
        </w:tc>
        <w:tc>
          <w:tcPr>
            <w:tcW w:w="597" w:type="dxa"/>
            <w:noWrap/>
            <w:vAlign w:val="center"/>
            <w:hideMark/>
          </w:tcPr>
          <w:p w14:paraId="7D8BFE17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11%</w:t>
            </w:r>
          </w:p>
        </w:tc>
        <w:tc>
          <w:tcPr>
            <w:tcW w:w="597" w:type="dxa"/>
            <w:noWrap/>
            <w:vAlign w:val="center"/>
            <w:hideMark/>
          </w:tcPr>
          <w:p w14:paraId="7E9FC538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11%</w:t>
            </w:r>
          </w:p>
        </w:tc>
        <w:tc>
          <w:tcPr>
            <w:tcW w:w="597" w:type="dxa"/>
            <w:noWrap/>
            <w:vAlign w:val="center"/>
            <w:hideMark/>
          </w:tcPr>
          <w:p w14:paraId="525DE1C4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12%</w:t>
            </w:r>
          </w:p>
        </w:tc>
        <w:tc>
          <w:tcPr>
            <w:tcW w:w="233" w:type="dxa"/>
            <w:noWrap/>
            <w:vAlign w:val="center"/>
            <w:hideMark/>
          </w:tcPr>
          <w:p w14:paraId="76AAEFBF" w14:textId="77777777" w:rsidR="0062596B" w:rsidRPr="0062596B" w:rsidRDefault="0062596B" w:rsidP="0044065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noWrap/>
            <w:vAlign w:val="center"/>
            <w:hideMark/>
          </w:tcPr>
          <w:p w14:paraId="16BC6089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100%</w:t>
            </w:r>
          </w:p>
        </w:tc>
      </w:tr>
      <w:tr w:rsidR="0062596B" w:rsidRPr="0062596B" w14:paraId="15826BAF" w14:textId="77777777" w:rsidTr="00F35FE0">
        <w:trPr>
          <w:trHeight w:val="290"/>
          <w:jc w:val="center"/>
        </w:trPr>
        <w:tc>
          <w:tcPr>
            <w:tcW w:w="1586" w:type="dxa"/>
            <w:noWrap/>
            <w:hideMark/>
          </w:tcPr>
          <w:p w14:paraId="71C91085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Number of assessments</w:t>
            </w:r>
          </w:p>
        </w:tc>
        <w:tc>
          <w:tcPr>
            <w:tcW w:w="546" w:type="dxa"/>
            <w:noWrap/>
            <w:vAlign w:val="center"/>
            <w:hideMark/>
          </w:tcPr>
          <w:p w14:paraId="498BC377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0</w:t>
            </w:r>
          </w:p>
        </w:tc>
        <w:tc>
          <w:tcPr>
            <w:tcW w:w="606" w:type="dxa"/>
            <w:noWrap/>
            <w:vAlign w:val="center"/>
            <w:hideMark/>
          </w:tcPr>
          <w:p w14:paraId="11D67D88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2299</w:t>
            </w:r>
          </w:p>
        </w:tc>
        <w:tc>
          <w:tcPr>
            <w:tcW w:w="597" w:type="dxa"/>
            <w:noWrap/>
            <w:vAlign w:val="center"/>
            <w:hideMark/>
          </w:tcPr>
          <w:p w14:paraId="6C9A80F4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3832</w:t>
            </w:r>
          </w:p>
        </w:tc>
        <w:tc>
          <w:tcPr>
            <w:tcW w:w="597" w:type="dxa"/>
            <w:noWrap/>
            <w:vAlign w:val="center"/>
            <w:hideMark/>
          </w:tcPr>
          <w:p w14:paraId="7E51F378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6131</w:t>
            </w:r>
          </w:p>
        </w:tc>
        <w:tc>
          <w:tcPr>
            <w:tcW w:w="597" w:type="dxa"/>
            <w:noWrap/>
            <w:vAlign w:val="center"/>
            <w:hideMark/>
          </w:tcPr>
          <w:p w14:paraId="28F632EA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6131</w:t>
            </w:r>
          </w:p>
        </w:tc>
        <w:tc>
          <w:tcPr>
            <w:tcW w:w="597" w:type="dxa"/>
            <w:noWrap/>
            <w:vAlign w:val="center"/>
            <w:hideMark/>
          </w:tcPr>
          <w:p w14:paraId="080BF947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7664</w:t>
            </w:r>
          </w:p>
        </w:tc>
        <w:tc>
          <w:tcPr>
            <w:tcW w:w="597" w:type="dxa"/>
            <w:noWrap/>
            <w:vAlign w:val="center"/>
            <w:hideMark/>
          </w:tcPr>
          <w:p w14:paraId="4E66CA18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8430</w:t>
            </w:r>
          </w:p>
        </w:tc>
        <w:tc>
          <w:tcPr>
            <w:tcW w:w="597" w:type="dxa"/>
            <w:noWrap/>
            <w:vAlign w:val="center"/>
            <w:hideMark/>
          </w:tcPr>
          <w:p w14:paraId="5863E87D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8430</w:t>
            </w:r>
          </w:p>
        </w:tc>
        <w:tc>
          <w:tcPr>
            <w:tcW w:w="597" w:type="dxa"/>
            <w:noWrap/>
            <w:vAlign w:val="center"/>
            <w:hideMark/>
          </w:tcPr>
          <w:p w14:paraId="0BDAE139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7664</w:t>
            </w:r>
          </w:p>
        </w:tc>
        <w:tc>
          <w:tcPr>
            <w:tcW w:w="597" w:type="dxa"/>
            <w:noWrap/>
            <w:vAlign w:val="center"/>
            <w:hideMark/>
          </w:tcPr>
          <w:p w14:paraId="66FF0B11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8430</w:t>
            </w:r>
          </w:p>
        </w:tc>
        <w:tc>
          <w:tcPr>
            <w:tcW w:w="597" w:type="dxa"/>
            <w:noWrap/>
            <w:vAlign w:val="center"/>
            <w:hideMark/>
          </w:tcPr>
          <w:p w14:paraId="61587054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8430</w:t>
            </w:r>
          </w:p>
        </w:tc>
        <w:tc>
          <w:tcPr>
            <w:tcW w:w="597" w:type="dxa"/>
            <w:noWrap/>
            <w:vAlign w:val="center"/>
            <w:hideMark/>
          </w:tcPr>
          <w:p w14:paraId="18DA2899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9196</w:t>
            </w:r>
          </w:p>
        </w:tc>
        <w:tc>
          <w:tcPr>
            <w:tcW w:w="233" w:type="dxa"/>
            <w:noWrap/>
            <w:vAlign w:val="center"/>
            <w:hideMark/>
          </w:tcPr>
          <w:p w14:paraId="04544682" w14:textId="77777777" w:rsidR="0062596B" w:rsidRPr="0062596B" w:rsidRDefault="0062596B" w:rsidP="0044065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noWrap/>
            <w:vAlign w:val="center"/>
            <w:hideMark/>
          </w:tcPr>
          <w:p w14:paraId="3021A34C" w14:textId="77777777" w:rsidR="0062596B" w:rsidRPr="0062596B" w:rsidRDefault="0062596B" w:rsidP="00440656">
            <w:pPr>
              <w:rPr>
                <w:sz w:val="18"/>
                <w:szCs w:val="18"/>
              </w:rPr>
            </w:pPr>
            <w:r w:rsidRPr="0062596B">
              <w:rPr>
                <w:sz w:val="18"/>
                <w:szCs w:val="18"/>
              </w:rPr>
              <w:t>76637</w:t>
            </w:r>
          </w:p>
        </w:tc>
      </w:tr>
    </w:tbl>
    <w:p w14:paraId="4769E095" w14:textId="77777777" w:rsidR="0062596B" w:rsidRPr="0062596B" w:rsidRDefault="0062596B" w:rsidP="00440656">
      <w:pPr>
        <w:spacing w:after="0" w:line="240" w:lineRule="auto"/>
      </w:pPr>
    </w:p>
    <w:p w14:paraId="099BB220" w14:textId="21BDA319" w:rsidR="0062596B" w:rsidRPr="0062596B" w:rsidRDefault="0062596B" w:rsidP="001568F2">
      <w:pPr>
        <w:spacing w:after="0" w:line="240" w:lineRule="auto"/>
        <w:ind w:left="360"/>
        <w:jc w:val="both"/>
      </w:pPr>
      <w:r w:rsidRPr="0062596B">
        <w:t xml:space="preserve">This activity data collation occurs monthly and </w:t>
      </w:r>
      <w:r w:rsidR="00DB4D80">
        <w:t xml:space="preserve">forms part of the monitoring and reporting arrangements outlined earlier.  Work is currently underway to </w:t>
      </w:r>
      <w:r w:rsidRPr="0062596B">
        <w:t>develop a systematic process to accurately and effectively monitor impact on system based outcomes:</w:t>
      </w:r>
    </w:p>
    <w:p w14:paraId="5713A36A" w14:textId="77777777" w:rsidR="0062596B" w:rsidRPr="0062596B" w:rsidRDefault="0062596B" w:rsidP="00440656">
      <w:pPr>
        <w:spacing w:after="0" w:line="240" w:lineRule="auto"/>
      </w:pPr>
    </w:p>
    <w:tbl>
      <w:tblPr>
        <w:tblStyle w:val="PlainTable2"/>
        <w:tblW w:w="9478" w:type="dxa"/>
        <w:tblLook w:val="04A0" w:firstRow="1" w:lastRow="0" w:firstColumn="1" w:lastColumn="0" w:noHBand="0" w:noVBand="1"/>
      </w:tblPr>
      <w:tblGrid>
        <w:gridCol w:w="4150"/>
        <w:gridCol w:w="2843"/>
        <w:gridCol w:w="2485"/>
      </w:tblGrid>
      <w:tr w:rsidR="0062596B" w:rsidRPr="0062596B" w14:paraId="32B20535" w14:textId="77777777" w:rsidTr="001D5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7710568" w14:textId="77777777" w:rsidR="0062596B" w:rsidRPr="0062596B" w:rsidRDefault="0062596B" w:rsidP="00440656">
            <w:pPr>
              <w:rPr>
                <w:sz w:val="20"/>
                <w:szCs w:val="20"/>
              </w:rPr>
            </w:pPr>
            <w:r w:rsidRPr="0062596B">
              <w:rPr>
                <w:sz w:val="20"/>
                <w:szCs w:val="20"/>
              </w:rPr>
              <w:t xml:space="preserve">Indicator </w:t>
            </w:r>
          </w:p>
        </w:tc>
        <w:tc>
          <w:tcPr>
            <w:tcW w:w="0" w:type="dxa"/>
          </w:tcPr>
          <w:p w14:paraId="35E92FD6" w14:textId="77777777" w:rsidR="0062596B" w:rsidRPr="0062596B" w:rsidRDefault="0062596B" w:rsidP="00440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96B">
              <w:rPr>
                <w:sz w:val="20"/>
                <w:szCs w:val="20"/>
              </w:rPr>
              <w:t>Metric</w:t>
            </w:r>
          </w:p>
        </w:tc>
        <w:tc>
          <w:tcPr>
            <w:tcW w:w="0" w:type="dxa"/>
          </w:tcPr>
          <w:p w14:paraId="4DDD0267" w14:textId="77777777" w:rsidR="0062596B" w:rsidRPr="0062596B" w:rsidRDefault="0062596B" w:rsidP="00440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96B">
              <w:rPr>
                <w:sz w:val="20"/>
                <w:szCs w:val="20"/>
              </w:rPr>
              <w:t>Update</w:t>
            </w:r>
          </w:p>
        </w:tc>
      </w:tr>
      <w:tr w:rsidR="0062596B" w:rsidRPr="0062596B" w14:paraId="08914520" w14:textId="77777777" w:rsidTr="001D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27E8948" w14:textId="77777777" w:rsidR="0062596B" w:rsidRPr="0062596B" w:rsidRDefault="0062596B" w:rsidP="00440656">
            <w:pPr>
              <w:rPr>
                <w:sz w:val="20"/>
                <w:szCs w:val="20"/>
              </w:rPr>
            </w:pPr>
            <w:r w:rsidRPr="0062596B">
              <w:rPr>
                <w:sz w:val="20"/>
                <w:szCs w:val="20"/>
              </w:rPr>
              <w:t>Non-elective Activity</w:t>
            </w:r>
          </w:p>
        </w:tc>
        <w:tc>
          <w:tcPr>
            <w:tcW w:w="0" w:type="dxa"/>
          </w:tcPr>
          <w:p w14:paraId="7B6596D9" w14:textId="77777777" w:rsidR="0062596B" w:rsidRPr="0062596B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96B">
              <w:rPr>
                <w:sz w:val="20"/>
                <w:szCs w:val="20"/>
              </w:rPr>
              <w:t>Hospital discharge as recorded in GP clinical system</w:t>
            </w:r>
          </w:p>
        </w:tc>
        <w:tc>
          <w:tcPr>
            <w:tcW w:w="0" w:type="dxa"/>
          </w:tcPr>
          <w:p w14:paraId="0359013D" w14:textId="4D47631F" w:rsidR="0062596B" w:rsidRPr="0062596B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96B">
              <w:rPr>
                <w:sz w:val="20"/>
                <w:szCs w:val="20"/>
              </w:rPr>
              <w:t xml:space="preserve">Proof of concept. </w:t>
            </w:r>
            <w:r w:rsidR="00DB4D80">
              <w:rPr>
                <w:sz w:val="20"/>
                <w:szCs w:val="20"/>
              </w:rPr>
              <w:t xml:space="preserve"> </w:t>
            </w:r>
            <w:r w:rsidRPr="0062596B">
              <w:rPr>
                <w:sz w:val="20"/>
                <w:szCs w:val="20"/>
              </w:rPr>
              <w:t xml:space="preserve">Model in testing with GPQC data from </w:t>
            </w:r>
            <w:r w:rsidR="00DB4D80">
              <w:rPr>
                <w:sz w:val="20"/>
                <w:szCs w:val="20"/>
              </w:rPr>
              <w:t>20</w:t>
            </w:r>
            <w:r w:rsidRPr="0062596B">
              <w:rPr>
                <w:sz w:val="20"/>
                <w:szCs w:val="20"/>
              </w:rPr>
              <w:t xml:space="preserve">24/25. </w:t>
            </w:r>
            <w:r w:rsidR="00DB4D80">
              <w:rPr>
                <w:sz w:val="20"/>
                <w:szCs w:val="20"/>
              </w:rPr>
              <w:t xml:space="preserve"> </w:t>
            </w:r>
            <w:r w:rsidRPr="0062596B">
              <w:rPr>
                <w:sz w:val="20"/>
                <w:szCs w:val="20"/>
              </w:rPr>
              <w:t>Expected completion June</w:t>
            </w:r>
          </w:p>
        </w:tc>
      </w:tr>
      <w:tr w:rsidR="0062596B" w:rsidRPr="0062596B" w14:paraId="6B26F1F3" w14:textId="77777777" w:rsidTr="001D5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815866F" w14:textId="77777777" w:rsidR="0062596B" w:rsidRPr="0062596B" w:rsidRDefault="0062596B" w:rsidP="00440656">
            <w:pPr>
              <w:rPr>
                <w:sz w:val="20"/>
                <w:szCs w:val="20"/>
              </w:rPr>
            </w:pPr>
            <w:r w:rsidRPr="0062596B">
              <w:rPr>
                <w:sz w:val="20"/>
                <w:szCs w:val="20"/>
              </w:rPr>
              <w:t>Inclusion Health</w:t>
            </w:r>
          </w:p>
        </w:tc>
        <w:tc>
          <w:tcPr>
            <w:tcW w:w="0" w:type="dxa"/>
          </w:tcPr>
          <w:p w14:paraId="7CD337CC" w14:textId="77777777" w:rsidR="0062596B" w:rsidRPr="0062596B" w:rsidRDefault="0062596B" w:rsidP="00440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96B">
              <w:rPr>
                <w:sz w:val="20"/>
                <w:szCs w:val="20"/>
              </w:rPr>
              <w:t>Improvement in LTC health check engagement in identified PHM cohort</w:t>
            </w:r>
          </w:p>
        </w:tc>
        <w:tc>
          <w:tcPr>
            <w:tcW w:w="0" w:type="dxa"/>
          </w:tcPr>
          <w:p w14:paraId="4E108764" w14:textId="77777777" w:rsidR="0062596B" w:rsidRPr="0062596B" w:rsidRDefault="0062596B" w:rsidP="00440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96B">
              <w:rPr>
                <w:sz w:val="20"/>
                <w:szCs w:val="20"/>
              </w:rPr>
              <w:t>Test searches written and undergoing initial testing</w:t>
            </w:r>
          </w:p>
        </w:tc>
      </w:tr>
      <w:tr w:rsidR="0062596B" w:rsidRPr="0062596B" w14:paraId="2BD3B664" w14:textId="77777777" w:rsidTr="001D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01CE353" w14:textId="77777777" w:rsidR="0062596B" w:rsidRPr="0062596B" w:rsidRDefault="0062596B" w:rsidP="00440656">
            <w:pPr>
              <w:rPr>
                <w:sz w:val="20"/>
                <w:szCs w:val="20"/>
              </w:rPr>
            </w:pPr>
            <w:r w:rsidRPr="0062596B">
              <w:rPr>
                <w:sz w:val="20"/>
                <w:szCs w:val="20"/>
              </w:rPr>
              <w:t>Sustainability/Green Agenda</w:t>
            </w:r>
          </w:p>
        </w:tc>
        <w:tc>
          <w:tcPr>
            <w:tcW w:w="0" w:type="dxa"/>
          </w:tcPr>
          <w:p w14:paraId="7F49BE4A" w14:textId="77777777" w:rsidR="0062596B" w:rsidRPr="0062596B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96B">
              <w:rPr>
                <w:sz w:val="20"/>
                <w:szCs w:val="20"/>
              </w:rPr>
              <w:t>Reduction in journey to hospital for receipt of care (also applicable to other LES)</w:t>
            </w:r>
          </w:p>
        </w:tc>
        <w:tc>
          <w:tcPr>
            <w:tcW w:w="0" w:type="dxa"/>
          </w:tcPr>
          <w:p w14:paraId="4B16269A" w14:textId="77777777" w:rsidR="0062596B" w:rsidRPr="0062596B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596B">
              <w:rPr>
                <w:sz w:val="20"/>
                <w:szCs w:val="20"/>
              </w:rPr>
              <w:t>Feasibility assessment</w:t>
            </w:r>
          </w:p>
        </w:tc>
      </w:tr>
    </w:tbl>
    <w:p w14:paraId="7408E900" w14:textId="77777777" w:rsidR="0062596B" w:rsidRPr="0062596B" w:rsidRDefault="0062596B" w:rsidP="00440656">
      <w:pPr>
        <w:spacing w:after="0" w:line="240" w:lineRule="auto"/>
      </w:pPr>
    </w:p>
    <w:p w14:paraId="61396000" w14:textId="48A29B5D" w:rsidR="0062596B" w:rsidRPr="0062596B" w:rsidRDefault="0062596B" w:rsidP="001568F2">
      <w:pPr>
        <w:spacing w:after="0" w:line="240" w:lineRule="auto"/>
        <w:ind w:left="360"/>
        <w:jc w:val="both"/>
      </w:pPr>
      <w:r w:rsidRPr="0062596B">
        <w:t xml:space="preserve">Previous analysis and assessment </w:t>
      </w:r>
      <w:proofErr w:type="gramStart"/>
      <w:r w:rsidRPr="0062596B">
        <w:t>has</w:t>
      </w:r>
      <w:proofErr w:type="gramEnd"/>
      <w:r w:rsidRPr="0062596B">
        <w:t xml:space="preserve"> demonstrated that evidence of impact can be effectively assessed three months following patient assessment.</w:t>
      </w:r>
      <w:r w:rsidR="00DB4D80">
        <w:t xml:space="preserve">  </w:t>
      </w:r>
      <w:r w:rsidRPr="0062596B">
        <w:t xml:space="preserve">Taken together with the estimated activity data it is expected that significant NEL impact will be demonstrable from October 2025. </w:t>
      </w:r>
    </w:p>
    <w:p w14:paraId="29D8AF44" w14:textId="77777777" w:rsidR="00DB4D80" w:rsidRDefault="00DB4D80" w:rsidP="001568F2">
      <w:pPr>
        <w:spacing w:after="0" w:line="240" w:lineRule="auto"/>
        <w:ind w:left="360"/>
        <w:jc w:val="both"/>
      </w:pPr>
    </w:p>
    <w:p w14:paraId="2B6A02B7" w14:textId="6F0EA567" w:rsidR="0062596B" w:rsidRPr="0062596B" w:rsidRDefault="0062596B" w:rsidP="001568F2">
      <w:pPr>
        <w:spacing w:after="0" w:line="240" w:lineRule="auto"/>
        <w:ind w:left="360"/>
        <w:jc w:val="both"/>
      </w:pPr>
      <w:r w:rsidRPr="0062596B">
        <w:t xml:space="preserve">Quality metrics including consent to record sharing, ethnicity and care of individuals </w:t>
      </w:r>
      <w:proofErr w:type="gramStart"/>
      <w:r w:rsidRPr="0062596B">
        <w:t>whom</w:t>
      </w:r>
      <w:proofErr w:type="gramEnd"/>
      <w:r w:rsidRPr="0062596B">
        <w:t xml:space="preserve"> fall is also being collated.</w:t>
      </w:r>
      <w:r w:rsidR="001568F2">
        <w:t xml:space="preserve">  </w:t>
      </w:r>
      <w:r w:rsidRPr="0062596B">
        <w:t xml:space="preserve">The intention </w:t>
      </w:r>
      <w:r w:rsidR="001568F2">
        <w:t xml:space="preserve">is </w:t>
      </w:r>
      <w:r w:rsidRPr="0062596B">
        <w:t xml:space="preserve">to provide monthly reporting of impact numbers for NEL and quality activity. </w:t>
      </w:r>
    </w:p>
    <w:p w14:paraId="1CF6F409" w14:textId="77777777" w:rsidR="0062596B" w:rsidRPr="0062596B" w:rsidRDefault="0062596B" w:rsidP="00440656">
      <w:pPr>
        <w:spacing w:after="0" w:line="240" w:lineRule="auto"/>
      </w:pPr>
    </w:p>
    <w:p w14:paraId="48FCB0AC" w14:textId="1E824E5D" w:rsidR="0062596B" w:rsidRDefault="0062596B" w:rsidP="001568F2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62596B">
        <w:rPr>
          <w:b/>
          <w:bCs/>
        </w:rPr>
        <w:t>Priority LES and Service Shift</w:t>
      </w:r>
    </w:p>
    <w:p w14:paraId="459E45B0" w14:textId="77777777" w:rsidR="001568F2" w:rsidRPr="0062596B" w:rsidRDefault="001568F2" w:rsidP="001568F2">
      <w:pPr>
        <w:pStyle w:val="ListParagraph"/>
        <w:spacing w:after="0" w:line="240" w:lineRule="auto"/>
        <w:ind w:left="360"/>
        <w:rPr>
          <w:b/>
          <w:bCs/>
        </w:rPr>
      </w:pPr>
    </w:p>
    <w:p w14:paraId="21128131" w14:textId="77777777" w:rsidR="0062596B" w:rsidRDefault="0062596B" w:rsidP="001568F2">
      <w:pPr>
        <w:spacing w:after="0" w:line="240" w:lineRule="auto"/>
        <w:ind w:left="360"/>
        <w:jc w:val="both"/>
      </w:pPr>
      <w:r w:rsidRPr="0062596B">
        <w:t>There are two mechanisms to assess shifts in service activity and evidence that activity has successfully and safely been transferred to General Practice:</w:t>
      </w:r>
    </w:p>
    <w:p w14:paraId="481865D6" w14:textId="77777777" w:rsidR="001568F2" w:rsidRPr="0062596B" w:rsidRDefault="001568F2" w:rsidP="001568F2">
      <w:pPr>
        <w:spacing w:after="0" w:line="240" w:lineRule="auto"/>
        <w:ind w:left="360"/>
        <w:jc w:val="both"/>
      </w:pPr>
    </w:p>
    <w:p w14:paraId="5DF2EBF2" w14:textId="77777777" w:rsidR="0062596B" w:rsidRPr="0062596B" w:rsidRDefault="0062596B" w:rsidP="001568F2">
      <w:pPr>
        <w:numPr>
          <w:ilvl w:val="0"/>
          <w:numId w:val="12"/>
        </w:numPr>
        <w:spacing w:after="0" w:line="240" w:lineRule="auto"/>
        <w:jc w:val="both"/>
      </w:pPr>
      <w:r w:rsidRPr="0062596B">
        <w:t>Active monitoring of specific General Practice activity that can directly demonstrate a reduction in activity in other providers (Active)</w:t>
      </w:r>
    </w:p>
    <w:p w14:paraId="4B529721" w14:textId="77777777" w:rsidR="0062596B" w:rsidRDefault="0062596B" w:rsidP="001568F2">
      <w:pPr>
        <w:numPr>
          <w:ilvl w:val="0"/>
          <w:numId w:val="12"/>
        </w:numPr>
        <w:spacing w:after="0" w:line="240" w:lineRule="auto"/>
        <w:jc w:val="both"/>
      </w:pPr>
      <w:r w:rsidRPr="0062596B">
        <w:t>Active monitoring of specific General Practice activity following the decommissioning of specified service (Passive)</w:t>
      </w:r>
    </w:p>
    <w:p w14:paraId="1D35BB9F" w14:textId="77777777" w:rsidR="001568F2" w:rsidRPr="0062596B" w:rsidRDefault="001568F2" w:rsidP="001568F2">
      <w:pPr>
        <w:spacing w:after="0" w:line="240" w:lineRule="auto"/>
        <w:jc w:val="both"/>
      </w:pPr>
    </w:p>
    <w:p w14:paraId="3A7C9C43" w14:textId="77777777" w:rsidR="0062596B" w:rsidRPr="0062596B" w:rsidRDefault="0062596B" w:rsidP="001568F2">
      <w:pPr>
        <w:spacing w:after="0" w:line="240" w:lineRule="auto"/>
        <w:ind w:left="360"/>
        <w:jc w:val="both"/>
      </w:pPr>
      <w:r w:rsidRPr="0062596B">
        <w:t>The following LES have been identified as those with significant service shift components and approaches to activity monitoring outlined:</w:t>
      </w:r>
    </w:p>
    <w:p w14:paraId="598396EC" w14:textId="77777777" w:rsidR="0062596B" w:rsidRPr="0062596B" w:rsidRDefault="0062596B" w:rsidP="00440656">
      <w:pPr>
        <w:spacing w:after="0" w:line="240" w:lineRule="auto"/>
      </w:pPr>
    </w:p>
    <w:tbl>
      <w:tblPr>
        <w:tblStyle w:val="PlainTable2"/>
        <w:tblW w:w="9795" w:type="dxa"/>
        <w:tblLook w:val="04A0" w:firstRow="1" w:lastRow="0" w:firstColumn="1" w:lastColumn="0" w:noHBand="0" w:noVBand="1"/>
      </w:tblPr>
      <w:tblGrid>
        <w:gridCol w:w="2151"/>
        <w:gridCol w:w="2073"/>
        <w:gridCol w:w="1995"/>
        <w:gridCol w:w="1948"/>
        <w:gridCol w:w="1628"/>
      </w:tblGrid>
      <w:tr w:rsidR="0062596B" w:rsidRPr="0062596B" w14:paraId="008FDE6D" w14:textId="77777777" w:rsidTr="001D5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</w:tcPr>
          <w:p w14:paraId="2841BABF" w14:textId="77777777" w:rsidR="0062596B" w:rsidRPr="001568F2" w:rsidRDefault="0062596B" w:rsidP="00440656">
            <w:pPr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Priority LES</w:t>
            </w:r>
          </w:p>
        </w:tc>
        <w:tc>
          <w:tcPr>
            <w:tcW w:w="2073" w:type="dxa"/>
          </w:tcPr>
          <w:p w14:paraId="7CA5F126" w14:textId="77777777" w:rsidR="0062596B" w:rsidRPr="001568F2" w:rsidRDefault="0062596B" w:rsidP="00440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Mechanism</w:t>
            </w:r>
          </w:p>
        </w:tc>
        <w:tc>
          <w:tcPr>
            <w:tcW w:w="1995" w:type="dxa"/>
          </w:tcPr>
          <w:p w14:paraId="05212EC0" w14:textId="77777777" w:rsidR="0062596B" w:rsidRPr="001568F2" w:rsidRDefault="0062596B" w:rsidP="00440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GP activity recorded</w:t>
            </w:r>
          </w:p>
        </w:tc>
        <w:tc>
          <w:tcPr>
            <w:tcW w:w="1948" w:type="dxa"/>
          </w:tcPr>
          <w:p w14:paraId="650B3D9C" w14:textId="77777777" w:rsidR="0062596B" w:rsidRPr="001568F2" w:rsidRDefault="0062596B" w:rsidP="00440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Stable activity data available (estimate)</w:t>
            </w:r>
          </w:p>
        </w:tc>
        <w:tc>
          <w:tcPr>
            <w:tcW w:w="1628" w:type="dxa"/>
          </w:tcPr>
          <w:p w14:paraId="7B477CE9" w14:textId="77777777" w:rsidR="0062596B" w:rsidRPr="001568F2" w:rsidRDefault="0062596B" w:rsidP="00440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Other Provider Data</w:t>
            </w:r>
          </w:p>
        </w:tc>
      </w:tr>
      <w:tr w:rsidR="0062596B" w:rsidRPr="0062596B" w14:paraId="236B1B28" w14:textId="77777777" w:rsidTr="001D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</w:tcPr>
          <w:p w14:paraId="2A549EBE" w14:textId="77777777" w:rsidR="0062596B" w:rsidRPr="001568F2" w:rsidRDefault="0062596B" w:rsidP="00440656">
            <w:pPr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Phlebotomy</w:t>
            </w:r>
          </w:p>
        </w:tc>
        <w:tc>
          <w:tcPr>
            <w:tcW w:w="2073" w:type="dxa"/>
          </w:tcPr>
          <w:p w14:paraId="0B5A99C6" w14:textId="77777777" w:rsidR="0062596B" w:rsidRPr="001568F2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Active + Passive</w:t>
            </w:r>
          </w:p>
        </w:tc>
        <w:tc>
          <w:tcPr>
            <w:tcW w:w="1995" w:type="dxa"/>
          </w:tcPr>
          <w:p w14:paraId="2DC9E921" w14:textId="77777777" w:rsidR="0062596B" w:rsidRPr="001568F2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Episodes of care</w:t>
            </w:r>
          </w:p>
        </w:tc>
        <w:tc>
          <w:tcPr>
            <w:tcW w:w="1948" w:type="dxa"/>
          </w:tcPr>
          <w:p w14:paraId="36016EEB" w14:textId="77777777" w:rsidR="0062596B" w:rsidRPr="001568F2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August</w:t>
            </w:r>
          </w:p>
        </w:tc>
        <w:tc>
          <w:tcPr>
            <w:tcW w:w="1628" w:type="dxa"/>
          </w:tcPr>
          <w:p w14:paraId="7008F9FC" w14:textId="77777777" w:rsidR="0062596B" w:rsidRPr="001568F2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Episodes of care</w:t>
            </w:r>
          </w:p>
        </w:tc>
      </w:tr>
      <w:tr w:rsidR="0062596B" w:rsidRPr="0062596B" w14:paraId="27122468" w14:textId="77777777" w:rsidTr="001D5B02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</w:tcPr>
          <w:p w14:paraId="5EFD8281" w14:textId="77777777" w:rsidR="0062596B" w:rsidRPr="001568F2" w:rsidRDefault="0062596B" w:rsidP="00440656">
            <w:pPr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Ring Pessary</w:t>
            </w:r>
          </w:p>
        </w:tc>
        <w:tc>
          <w:tcPr>
            <w:tcW w:w="2073" w:type="dxa"/>
          </w:tcPr>
          <w:p w14:paraId="3E8478D0" w14:textId="77777777" w:rsidR="0062596B" w:rsidRPr="001568F2" w:rsidRDefault="0062596B" w:rsidP="00440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Active</w:t>
            </w:r>
          </w:p>
        </w:tc>
        <w:tc>
          <w:tcPr>
            <w:tcW w:w="1995" w:type="dxa"/>
          </w:tcPr>
          <w:p w14:paraId="7B1B9741" w14:textId="77777777" w:rsidR="0062596B" w:rsidRPr="001568F2" w:rsidRDefault="0062596B" w:rsidP="00440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Episodes of care</w:t>
            </w:r>
          </w:p>
          <w:p w14:paraId="6C8694B1" w14:textId="77777777" w:rsidR="0062596B" w:rsidRPr="001568F2" w:rsidRDefault="0062596B" w:rsidP="00440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Referral Activity</w:t>
            </w:r>
          </w:p>
        </w:tc>
        <w:tc>
          <w:tcPr>
            <w:tcW w:w="1948" w:type="dxa"/>
          </w:tcPr>
          <w:p w14:paraId="020342B7" w14:textId="77777777" w:rsidR="0062596B" w:rsidRPr="001568F2" w:rsidRDefault="0062596B" w:rsidP="00440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August</w:t>
            </w:r>
          </w:p>
        </w:tc>
        <w:tc>
          <w:tcPr>
            <w:tcW w:w="1628" w:type="dxa"/>
          </w:tcPr>
          <w:p w14:paraId="5223160F" w14:textId="77777777" w:rsidR="0062596B" w:rsidRPr="001568F2" w:rsidRDefault="0062596B" w:rsidP="00440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OPA activity</w:t>
            </w:r>
          </w:p>
        </w:tc>
      </w:tr>
      <w:tr w:rsidR="0062596B" w:rsidRPr="0062596B" w14:paraId="3A1355FC" w14:textId="77777777" w:rsidTr="001D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</w:tcPr>
          <w:p w14:paraId="7E0B63EC" w14:textId="77777777" w:rsidR="0062596B" w:rsidRPr="001568F2" w:rsidRDefault="0062596B" w:rsidP="00440656">
            <w:pPr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Care Home</w:t>
            </w:r>
          </w:p>
        </w:tc>
        <w:tc>
          <w:tcPr>
            <w:tcW w:w="2073" w:type="dxa"/>
          </w:tcPr>
          <w:p w14:paraId="16055324" w14:textId="77777777" w:rsidR="0062596B" w:rsidRPr="001568F2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Passive</w:t>
            </w:r>
          </w:p>
        </w:tc>
        <w:tc>
          <w:tcPr>
            <w:tcW w:w="1995" w:type="dxa"/>
          </w:tcPr>
          <w:p w14:paraId="65535009" w14:textId="77777777" w:rsidR="0062596B" w:rsidRPr="001568F2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Care activity</w:t>
            </w:r>
          </w:p>
        </w:tc>
        <w:tc>
          <w:tcPr>
            <w:tcW w:w="1948" w:type="dxa"/>
          </w:tcPr>
          <w:p w14:paraId="48325FCE" w14:textId="77777777" w:rsidR="0062596B" w:rsidRPr="001568F2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July</w:t>
            </w:r>
          </w:p>
        </w:tc>
        <w:tc>
          <w:tcPr>
            <w:tcW w:w="1628" w:type="dxa"/>
          </w:tcPr>
          <w:p w14:paraId="4F924950" w14:textId="77777777" w:rsidR="0062596B" w:rsidRPr="001568F2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NEL activity</w:t>
            </w:r>
          </w:p>
        </w:tc>
      </w:tr>
      <w:tr w:rsidR="0062596B" w:rsidRPr="0062596B" w14:paraId="69FE659A" w14:textId="77777777" w:rsidTr="001D5B02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</w:tcPr>
          <w:p w14:paraId="12D668CF" w14:textId="77777777" w:rsidR="0062596B" w:rsidRPr="001568F2" w:rsidRDefault="0062596B" w:rsidP="00440656">
            <w:pPr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Shared Care</w:t>
            </w:r>
          </w:p>
        </w:tc>
        <w:tc>
          <w:tcPr>
            <w:tcW w:w="2073" w:type="dxa"/>
          </w:tcPr>
          <w:p w14:paraId="467F92E2" w14:textId="77777777" w:rsidR="0062596B" w:rsidRPr="001568F2" w:rsidRDefault="0062596B" w:rsidP="00440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Passive</w:t>
            </w:r>
          </w:p>
        </w:tc>
        <w:tc>
          <w:tcPr>
            <w:tcW w:w="1995" w:type="dxa"/>
          </w:tcPr>
          <w:p w14:paraId="2732BF18" w14:textId="77777777" w:rsidR="0062596B" w:rsidRPr="001568F2" w:rsidRDefault="0062596B" w:rsidP="00440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Medication Issues</w:t>
            </w:r>
          </w:p>
        </w:tc>
        <w:tc>
          <w:tcPr>
            <w:tcW w:w="1948" w:type="dxa"/>
          </w:tcPr>
          <w:p w14:paraId="60D9D123" w14:textId="77777777" w:rsidR="0062596B" w:rsidRPr="001568F2" w:rsidRDefault="0062596B" w:rsidP="00440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September</w:t>
            </w:r>
          </w:p>
        </w:tc>
        <w:tc>
          <w:tcPr>
            <w:tcW w:w="1628" w:type="dxa"/>
          </w:tcPr>
          <w:p w14:paraId="1F390841" w14:textId="77777777" w:rsidR="0062596B" w:rsidRPr="001568F2" w:rsidRDefault="0062596B" w:rsidP="00440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OPA activity</w:t>
            </w:r>
          </w:p>
        </w:tc>
      </w:tr>
      <w:tr w:rsidR="0062596B" w:rsidRPr="0062596B" w14:paraId="1588C54A" w14:textId="77777777" w:rsidTr="001D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</w:tcPr>
          <w:p w14:paraId="5F8CA36E" w14:textId="77777777" w:rsidR="0062596B" w:rsidRPr="001568F2" w:rsidRDefault="0062596B" w:rsidP="00440656">
            <w:pPr>
              <w:rPr>
                <w:sz w:val="20"/>
                <w:szCs w:val="20"/>
              </w:rPr>
            </w:pPr>
            <w:proofErr w:type="spellStart"/>
            <w:r w:rsidRPr="001568F2">
              <w:rPr>
                <w:sz w:val="20"/>
                <w:szCs w:val="20"/>
              </w:rPr>
              <w:t>Broomwell</w:t>
            </w:r>
            <w:proofErr w:type="spellEnd"/>
            <w:r w:rsidRPr="001568F2">
              <w:rPr>
                <w:sz w:val="20"/>
                <w:szCs w:val="20"/>
              </w:rPr>
              <w:t xml:space="preserve"> (ECG)</w:t>
            </w:r>
          </w:p>
        </w:tc>
        <w:tc>
          <w:tcPr>
            <w:tcW w:w="2073" w:type="dxa"/>
          </w:tcPr>
          <w:p w14:paraId="31668EAD" w14:textId="77777777" w:rsidR="0062596B" w:rsidRPr="001568F2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Active + Passive</w:t>
            </w:r>
          </w:p>
        </w:tc>
        <w:tc>
          <w:tcPr>
            <w:tcW w:w="1995" w:type="dxa"/>
          </w:tcPr>
          <w:p w14:paraId="467C42E9" w14:textId="77777777" w:rsidR="0062596B" w:rsidRPr="001568F2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Episodes of care</w:t>
            </w:r>
          </w:p>
        </w:tc>
        <w:tc>
          <w:tcPr>
            <w:tcW w:w="1948" w:type="dxa"/>
          </w:tcPr>
          <w:p w14:paraId="281FCA19" w14:textId="77777777" w:rsidR="0062596B" w:rsidRPr="001568F2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August</w:t>
            </w:r>
          </w:p>
        </w:tc>
        <w:tc>
          <w:tcPr>
            <w:tcW w:w="1628" w:type="dxa"/>
          </w:tcPr>
          <w:p w14:paraId="6698F8AC" w14:textId="77777777" w:rsidR="0062596B" w:rsidRPr="001568F2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Episodes of care</w:t>
            </w:r>
          </w:p>
        </w:tc>
      </w:tr>
      <w:tr w:rsidR="0062596B" w:rsidRPr="0062596B" w14:paraId="70155312" w14:textId="77777777" w:rsidTr="001D5B02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</w:tcPr>
          <w:p w14:paraId="3B056374" w14:textId="77777777" w:rsidR="0062596B" w:rsidRPr="001568F2" w:rsidRDefault="0062596B" w:rsidP="00440656">
            <w:pPr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Vasectomy</w:t>
            </w:r>
          </w:p>
        </w:tc>
        <w:tc>
          <w:tcPr>
            <w:tcW w:w="2073" w:type="dxa"/>
          </w:tcPr>
          <w:p w14:paraId="58C51C20" w14:textId="77777777" w:rsidR="0062596B" w:rsidRPr="001568F2" w:rsidRDefault="0062596B" w:rsidP="00440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Active</w:t>
            </w:r>
          </w:p>
        </w:tc>
        <w:tc>
          <w:tcPr>
            <w:tcW w:w="1995" w:type="dxa"/>
          </w:tcPr>
          <w:p w14:paraId="1CD4E04D" w14:textId="77777777" w:rsidR="0062596B" w:rsidRPr="001568F2" w:rsidRDefault="0062596B" w:rsidP="00440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Episodes of care</w:t>
            </w:r>
          </w:p>
        </w:tc>
        <w:tc>
          <w:tcPr>
            <w:tcW w:w="1948" w:type="dxa"/>
          </w:tcPr>
          <w:p w14:paraId="2DADBA4C" w14:textId="77777777" w:rsidR="0062596B" w:rsidRPr="001568F2" w:rsidRDefault="0062596B" w:rsidP="00440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July</w:t>
            </w:r>
          </w:p>
        </w:tc>
        <w:tc>
          <w:tcPr>
            <w:tcW w:w="1628" w:type="dxa"/>
          </w:tcPr>
          <w:p w14:paraId="7CD0C4A8" w14:textId="77777777" w:rsidR="0062596B" w:rsidRPr="001568F2" w:rsidRDefault="0062596B" w:rsidP="00440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Episodes of care</w:t>
            </w:r>
          </w:p>
        </w:tc>
      </w:tr>
      <w:tr w:rsidR="0062596B" w:rsidRPr="0062596B" w14:paraId="3C9CEBA6" w14:textId="77777777" w:rsidTr="001D5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</w:tcPr>
          <w:p w14:paraId="7D20C50F" w14:textId="77777777" w:rsidR="0062596B" w:rsidRPr="001568F2" w:rsidRDefault="0062596B" w:rsidP="00440656">
            <w:pPr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PSA testing</w:t>
            </w:r>
          </w:p>
        </w:tc>
        <w:tc>
          <w:tcPr>
            <w:tcW w:w="2073" w:type="dxa"/>
          </w:tcPr>
          <w:p w14:paraId="6D34C376" w14:textId="77777777" w:rsidR="0062596B" w:rsidRPr="001568F2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Active</w:t>
            </w:r>
          </w:p>
        </w:tc>
        <w:tc>
          <w:tcPr>
            <w:tcW w:w="1995" w:type="dxa"/>
          </w:tcPr>
          <w:p w14:paraId="1C3B7F2E" w14:textId="77777777" w:rsidR="0062596B" w:rsidRPr="001568F2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Register numbers</w:t>
            </w:r>
          </w:p>
          <w:p w14:paraId="318ABE2F" w14:textId="77777777" w:rsidR="0062596B" w:rsidRPr="001568F2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Referral activity</w:t>
            </w:r>
          </w:p>
        </w:tc>
        <w:tc>
          <w:tcPr>
            <w:tcW w:w="1948" w:type="dxa"/>
          </w:tcPr>
          <w:p w14:paraId="32AEECF0" w14:textId="77777777" w:rsidR="0062596B" w:rsidRPr="001568F2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August</w:t>
            </w:r>
          </w:p>
        </w:tc>
        <w:tc>
          <w:tcPr>
            <w:tcW w:w="1628" w:type="dxa"/>
          </w:tcPr>
          <w:p w14:paraId="7BC4812F" w14:textId="77777777" w:rsidR="0062596B" w:rsidRPr="001568F2" w:rsidRDefault="0062596B" w:rsidP="0044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568F2">
              <w:rPr>
                <w:sz w:val="20"/>
                <w:szCs w:val="20"/>
              </w:rPr>
              <w:t>OPA activity</w:t>
            </w:r>
          </w:p>
        </w:tc>
      </w:tr>
    </w:tbl>
    <w:p w14:paraId="5C8D0C4A" w14:textId="77777777" w:rsidR="0062596B" w:rsidRPr="0062596B" w:rsidRDefault="0062596B" w:rsidP="00440656">
      <w:pPr>
        <w:spacing w:after="0" w:line="240" w:lineRule="auto"/>
      </w:pPr>
    </w:p>
    <w:p w14:paraId="59812A41" w14:textId="77777777" w:rsidR="001568F2" w:rsidRDefault="0062596B" w:rsidP="001568F2">
      <w:pPr>
        <w:spacing w:after="0" w:line="240" w:lineRule="auto"/>
        <w:ind w:left="360"/>
        <w:jc w:val="both"/>
      </w:pPr>
      <w:r w:rsidRPr="0062596B">
        <w:t>Reporting will be on a hospital trust basis as service shifts will primarily occur at this level.</w:t>
      </w:r>
      <w:r w:rsidR="001568F2">
        <w:t xml:space="preserve">  </w:t>
      </w:r>
      <w:r w:rsidRPr="0062596B">
        <w:t>The stable activity data availability estimate is based upon practice service implementation timescales from 1</w:t>
      </w:r>
      <w:r w:rsidRPr="001568F2">
        <w:t>st</w:t>
      </w:r>
      <w:r w:rsidRPr="0062596B">
        <w:t xml:space="preserve"> of May; medicines data has an additional 2 month delay prior to publication.</w:t>
      </w:r>
    </w:p>
    <w:p w14:paraId="4103E7A8" w14:textId="0CB366F3" w:rsidR="0062596B" w:rsidRPr="0062596B" w:rsidRDefault="0062596B" w:rsidP="001568F2">
      <w:pPr>
        <w:spacing w:after="0" w:line="240" w:lineRule="auto"/>
        <w:ind w:left="360"/>
        <w:jc w:val="both"/>
      </w:pPr>
      <w:r w:rsidRPr="0062596B">
        <w:t xml:space="preserve"> </w:t>
      </w:r>
    </w:p>
    <w:p w14:paraId="616161FF" w14:textId="33CF1DCD" w:rsidR="0062596B" w:rsidRDefault="0062596B" w:rsidP="001568F2">
      <w:pPr>
        <w:spacing w:after="0" w:line="240" w:lineRule="auto"/>
        <w:ind w:left="360"/>
        <w:jc w:val="both"/>
      </w:pPr>
      <w:r w:rsidRPr="0062596B">
        <w:t>The current focus on the GP data is to identify and actively manage data quality issues following first month of delivery, assess stable baseline activity (where appropriate) and report monthly.</w:t>
      </w:r>
      <w:r w:rsidR="001568F2">
        <w:t xml:space="preserve">  </w:t>
      </w:r>
      <w:r w:rsidRPr="0062596B">
        <w:t>The next step will be to triangulate with suitable non-GP data to ensure service shift delivery and provide</w:t>
      </w:r>
      <w:r w:rsidR="00054AD9">
        <w:t xml:space="preserve"> an</w:t>
      </w:r>
      <w:r w:rsidRPr="0062596B">
        <w:t xml:space="preserve"> impact statement.</w:t>
      </w:r>
      <w:r w:rsidR="00054AD9">
        <w:t xml:space="preserve">  This will be complete no later than </w:t>
      </w:r>
      <w:r w:rsidRPr="0062596B">
        <w:t>September</w:t>
      </w:r>
      <w:r w:rsidR="001568F2">
        <w:t xml:space="preserve"> 2025</w:t>
      </w:r>
      <w:r w:rsidRPr="0062596B">
        <w:t>.</w:t>
      </w:r>
    </w:p>
    <w:p w14:paraId="32768520" w14:textId="77777777" w:rsidR="001568F2" w:rsidRPr="0062596B" w:rsidRDefault="001568F2" w:rsidP="001568F2">
      <w:pPr>
        <w:spacing w:after="0" w:line="240" w:lineRule="auto"/>
        <w:ind w:left="360"/>
        <w:jc w:val="both"/>
      </w:pPr>
    </w:p>
    <w:p w14:paraId="1426820C" w14:textId="3926C214" w:rsidR="0062596B" w:rsidRDefault="0062596B" w:rsidP="00054AD9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62596B">
        <w:rPr>
          <w:b/>
          <w:bCs/>
        </w:rPr>
        <w:t>Conclusion</w:t>
      </w:r>
    </w:p>
    <w:p w14:paraId="02DF596F" w14:textId="77777777" w:rsidR="00054AD9" w:rsidRPr="0062596B" w:rsidRDefault="00054AD9" w:rsidP="00054AD9">
      <w:pPr>
        <w:pStyle w:val="ListParagraph"/>
        <w:spacing w:after="0" w:line="240" w:lineRule="auto"/>
        <w:ind w:left="360"/>
        <w:rPr>
          <w:b/>
          <w:bCs/>
        </w:rPr>
      </w:pPr>
    </w:p>
    <w:p w14:paraId="30AC1B76" w14:textId="0A90FC69" w:rsidR="0062596B" w:rsidRPr="0062596B" w:rsidRDefault="0062596B" w:rsidP="00054AD9">
      <w:pPr>
        <w:spacing w:after="0" w:line="240" w:lineRule="auto"/>
        <w:jc w:val="both"/>
      </w:pPr>
      <w:r w:rsidRPr="0062596B">
        <w:t xml:space="preserve">The process outlined </w:t>
      </w:r>
      <w:r w:rsidR="00054AD9">
        <w:t xml:space="preserve">seeks to </w:t>
      </w:r>
      <w:r w:rsidRPr="0062596B">
        <w:t xml:space="preserve">actively and accurately monitor </w:t>
      </w:r>
      <w:r w:rsidR="00054AD9">
        <w:t xml:space="preserve">the </w:t>
      </w:r>
      <w:r w:rsidRPr="0062596B">
        <w:t>delivery and impact of the LES</w:t>
      </w:r>
      <w:r w:rsidR="00054AD9">
        <w:t xml:space="preserve">.   </w:t>
      </w:r>
      <w:r w:rsidRPr="0062596B">
        <w:t xml:space="preserve">The significant </w:t>
      </w:r>
      <w:r w:rsidR="00054AD9">
        <w:t xml:space="preserve">influencing </w:t>
      </w:r>
      <w:r w:rsidRPr="0062596B">
        <w:t>factor i</w:t>
      </w:r>
      <w:r w:rsidR="00054AD9">
        <w:t xml:space="preserve">s the availability of robust </w:t>
      </w:r>
      <w:r w:rsidRPr="0062596B">
        <w:t>data following service implementation</w:t>
      </w:r>
      <w:r w:rsidR="00054AD9">
        <w:t xml:space="preserve"> and relatedly business intelligence support.</w:t>
      </w:r>
    </w:p>
    <w:p w14:paraId="44BA29A7" w14:textId="77777777" w:rsidR="0062596B" w:rsidRPr="0062596B" w:rsidRDefault="0062596B" w:rsidP="00440656">
      <w:pPr>
        <w:spacing w:after="0" w:line="240" w:lineRule="auto"/>
      </w:pPr>
    </w:p>
    <w:p w14:paraId="34DCCB34" w14:textId="77777777" w:rsidR="0062596B" w:rsidRPr="0062596B" w:rsidRDefault="0062596B" w:rsidP="00054AD9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62596B">
        <w:rPr>
          <w:b/>
          <w:bCs/>
        </w:rPr>
        <w:t>Recommendations:</w:t>
      </w:r>
    </w:p>
    <w:p w14:paraId="6ABCEC1D" w14:textId="77777777" w:rsidR="00054AD9" w:rsidRDefault="00054AD9" w:rsidP="00440656">
      <w:pPr>
        <w:spacing w:after="0" w:line="240" w:lineRule="auto"/>
      </w:pPr>
    </w:p>
    <w:p w14:paraId="156C5413" w14:textId="14F617D9" w:rsidR="0062596B" w:rsidRDefault="0062596B" w:rsidP="00054AD9">
      <w:pPr>
        <w:spacing w:after="0" w:line="240" w:lineRule="auto"/>
        <w:ind w:left="360"/>
      </w:pPr>
      <w:r w:rsidRPr="0062596B">
        <w:t>It is recommended that</w:t>
      </w:r>
      <w:r w:rsidR="00054AD9">
        <w:t xml:space="preserve"> the Delivery Unit/Incident Management Team</w:t>
      </w:r>
      <w:r w:rsidRPr="0062596B">
        <w:t>:</w:t>
      </w:r>
    </w:p>
    <w:p w14:paraId="6EBBD511" w14:textId="77777777" w:rsidR="00054AD9" w:rsidRPr="0062596B" w:rsidRDefault="00054AD9" w:rsidP="00054AD9">
      <w:pPr>
        <w:spacing w:after="0" w:line="240" w:lineRule="auto"/>
        <w:ind w:left="360"/>
      </w:pPr>
    </w:p>
    <w:p w14:paraId="1765F9C5" w14:textId="345F7D9A" w:rsidR="00462D8F" w:rsidRDefault="0062596B" w:rsidP="00054AD9">
      <w:pPr>
        <w:numPr>
          <w:ilvl w:val="0"/>
          <w:numId w:val="13"/>
        </w:numPr>
        <w:spacing w:after="0" w:line="240" w:lineRule="auto"/>
        <w:jc w:val="both"/>
      </w:pPr>
      <w:r w:rsidRPr="0062596B">
        <w:t>Note and approve the</w:t>
      </w:r>
      <w:r w:rsidR="00054AD9">
        <w:t xml:space="preserve"> LES monitoring and reporting arrangements</w:t>
      </w:r>
      <w:r w:rsidRPr="0062596B">
        <w:t xml:space="preserve"> as outlined above.</w:t>
      </w:r>
    </w:p>
    <w:p w14:paraId="050CD75F" w14:textId="77777777" w:rsidR="00054AD9" w:rsidRDefault="00054AD9" w:rsidP="00054AD9">
      <w:pPr>
        <w:spacing w:after="0" w:line="240" w:lineRule="auto"/>
        <w:jc w:val="both"/>
      </w:pPr>
    </w:p>
    <w:p w14:paraId="749E30A2" w14:textId="77777777" w:rsidR="00054AD9" w:rsidRDefault="00054AD9" w:rsidP="00054AD9">
      <w:pPr>
        <w:spacing w:after="0" w:line="240" w:lineRule="auto"/>
        <w:jc w:val="both"/>
      </w:pPr>
    </w:p>
    <w:p w14:paraId="4D2E8A20" w14:textId="2FAC008F" w:rsidR="00054AD9" w:rsidRPr="00054AD9" w:rsidRDefault="00054AD9" w:rsidP="00054AD9">
      <w:pPr>
        <w:spacing w:after="0" w:line="240" w:lineRule="auto"/>
        <w:jc w:val="both"/>
        <w:rPr>
          <w:i/>
          <w:iCs/>
        </w:rPr>
      </w:pPr>
      <w:r w:rsidRPr="00054AD9">
        <w:rPr>
          <w:i/>
          <w:iCs/>
        </w:rPr>
        <w:t>Dr John Miles</w:t>
      </w:r>
    </w:p>
    <w:p w14:paraId="4950A70C" w14:textId="57B0AB64" w:rsidR="00054AD9" w:rsidRDefault="00054AD9" w:rsidP="00054AD9">
      <w:pPr>
        <w:spacing w:after="0" w:line="240" w:lineRule="auto"/>
        <w:jc w:val="both"/>
        <w:rPr>
          <w:i/>
          <w:iCs/>
        </w:rPr>
      </w:pPr>
      <w:r w:rsidRPr="00054AD9">
        <w:rPr>
          <w:i/>
          <w:iCs/>
        </w:rPr>
        <w:t>28 May 2025</w:t>
      </w:r>
    </w:p>
    <w:p w14:paraId="23F62D39" w14:textId="77777777" w:rsidR="00D4340C" w:rsidRDefault="00D4340C" w:rsidP="00054AD9">
      <w:pPr>
        <w:spacing w:after="0" w:line="240" w:lineRule="auto"/>
        <w:jc w:val="both"/>
        <w:rPr>
          <w:i/>
          <w:iCs/>
        </w:rPr>
      </w:pPr>
    </w:p>
    <w:p w14:paraId="2C162702" w14:textId="68E345F3" w:rsidR="00D4340C" w:rsidRDefault="00D4340C">
      <w:pPr>
        <w:rPr>
          <w:i/>
          <w:iCs/>
        </w:rPr>
      </w:pPr>
      <w:r>
        <w:rPr>
          <w:i/>
          <w:iCs/>
        </w:rPr>
        <w:br w:type="page"/>
      </w:r>
    </w:p>
    <w:p w14:paraId="71FF6D64" w14:textId="2648076F" w:rsidR="00D4340C" w:rsidRDefault="00D4340C" w:rsidP="00054AD9">
      <w:pPr>
        <w:spacing w:after="0" w:line="240" w:lineRule="auto"/>
        <w:jc w:val="both"/>
        <w:rPr>
          <w:i/>
          <w:iCs/>
        </w:rPr>
      </w:pPr>
      <w:r w:rsidRPr="00BC0F22">
        <w:rPr>
          <w:i/>
          <w:iCs/>
        </w:rPr>
        <w:t>Appendix 1 – Summary of LES and Metrics</w:t>
      </w:r>
    </w:p>
    <w:p w14:paraId="6FFC813F" w14:textId="77777777" w:rsidR="00BC0F22" w:rsidRDefault="00BC0F22" w:rsidP="00054AD9">
      <w:pPr>
        <w:spacing w:after="0" w:line="240" w:lineRule="auto"/>
        <w:jc w:val="both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7"/>
        <w:gridCol w:w="5369"/>
        <w:gridCol w:w="1640"/>
      </w:tblGrid>
      <w:tr w:rsidR="00315FB5" w14:paraId="232B61FC" w14:textId="77777777" w:rsidTr="00500A8A">
        <w:tc>
          <w:tcPr>
            <w:tcW w:w="2122" w:type="dxa"/>
            <w:shd w:val="clear" w:color="auto" w:fill="B7CFED" w:themeFill="text2" w:themeFillTint="40"/>
          </w:tcPr>
          <w:p w14:paraId="4034FF2B" w14:textId="77777777" w:rsidR="00315FB5" w:rsidRPr="00231F39" w:rsidRDefault="00315FB5" w:rsidP="00500A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 Specification</w:t>
            </w:r>
          </w:p>
        </w:tc>
        <w:tc>
          <w:tcPr>
            <w:tcW w:w="5953" w:type="dxa"/>
            <w:shd w:val="clear" w:color="auto" w:fill="B7CFED" w:themeFill="text2" w:themeFillTint="40"/>
          </w:tcPr>
          <w:p w14:paraId="4C2DFD38" w14:textId="77777777" w:rsidR="00315FB5" w:rsidRPr="00231F39" w:rsidRDefault="00315FB5" w:rsidP="00500A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701" w:type="dxa"/>
            <w:shd w:val="clear" w:color="auto" w:fill="B7CFED" w:themeFill="text2" w:themeFillTint="40"/>
          </w:tcPr>
          <w:p w14:paraId="1B583D10" w14:textId="77777777" w:rsidR="00315FB5" w:rsidRPr="00231F39" w:rsidRDefault="00315FB5" w:rsidP="00500A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Frequency of monitoring</w:t>
            </w:r>
          </w:p>
        </w:tc>
      </w:tr>
      <w:tr w:rsidR="00315FB5" w:rsidRPr="00231F39" w14:paraId="10551034" w14:textId="77777777" w:rsidTr="00500A8A">
        <w:tc>
          <w:tcPr>
            <w:tcW w:w="2122" w:type="dxa"/>
          </w:tcPr>
          <w:p w14:paraId="525ACBD9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Advice &amp; Guidance</w:t>
            </w:r>
          </w:p>
        </w:tc>
        <w:tc>
          <w:tcPr>
            <w:tcW w:w="5953" w:type="dxa"/>
          </w:tcPr>
          <w:p w14:paraId="004B32BB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advice and guidance requests</w:t>
            </w:r>
          </w:p>
        </w:tc>
        <w:tc>
          <w:tcPr>
            <w:tcW w:w="1701" w:type="dxa"/>
          </w:tcPr>
          <w:p w14:paraId="5FE5DCD0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</w:tr>
      <w:tr w:rsidR="00315FB5" w:rsidRPr="00231F39" w14:paraId="48A3C060" w14:textId="77777777" w:rsidTr="00500A8A">
        <w:tc>
          <w:tcPr>
            <w:tcW w:w="2122" w:type="dxa"/>
          </w:tcPr>
          <w:p w14:paraId="2A5B4753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Care Homes</w:t>
            </w:r>
          </w:p>
        </w:tc>
        <w:tc>
          <w:tcPr>
            <w:tcW w:w="5953" w:type="dxa"/>
          </w:tcPr>
          <w:p w14:paraId="0ACC09FB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care home beds per practice</w:t>
            </w:r>
          </w:p>
        </w:tc>
        <w:tc>
          <w:tcPr>
            <w:tcW w:w="1701" w:type="dxa"/>
          </w:tcPr>
          <w:p w14:paraId="50A798F5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</w:tr>
      <w:tr w:rsidR="00315FB5" w:rsidRPr="00231F39" w14:paraId="2DDB1E59" w14:textId="77777777" w:rsidTr="00500A8A">
        <w:tc>
          <w:tcPr>
            <w:tcW w:w="2122" w:type="dxa"/>
          </w:tcPr>
          <w:p w14:paraId="4D1806C1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Complex Injections</w:t>
            </w:r>
          </w:p>
        </w:tc>
        <w:tc>
          <w:tcPr>
            <w:tcW w:w="5953" w:type="dxa"/>
          </w:tcPr>
          <w:p w14:paraId="2DC7F8D3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patients who have been given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Denusomab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injection</w:t>
            </w:r>
          </w:p>
        </w:tc>
        <w:tc>
          <w:tcPr>
            <w:tcW w:w="1701" w:type="dxa"/>
          </w:tcPr>
          <w:p w14:paraId="6BA180E7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</w:tr>
      <w:tr w:rsidR="00315FB5" w:rsidRPr="00231F39" w14:paraId="0F318599" w14:textId="77777777" w:rsidTr="00500A8A">
        <w:tc>
          <w:tcPr>
            <w:tcW w:w="2122" w:type="dxa"/>
          </w:tcPr>
          <w:p w14:paraId="4A27FCB2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Dementia</w:t>
            </w:r>
          </w:p>
        </w:tc>
        <w:tc>
          <w:tcPr>
            <w:tcW w:w="5953" w:type="dxa"/>
          </w:tcPr>
          <w:p w14:paraId="7B1613A0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dementia reviews.  </w:t>
            </w:r>
          </w:p>
        </w:tc>
        <w:tc>
          <w:tcPr>
            <w:tcW w:w="1701" w:type="dxa"/>
          </w:tcPr>
          <w:p w14:paraId="18FBCE99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</w:tr>
      <w:tr w:rsidR="00315FB5" w:rsidRPr="00231F39" w14:paraId="5E7B30C4" w14:textId="77777777" w:rsidTr="00500A8A">
        <w:tc>
          <w:tcPr>
            <w:tcW w:w="2122" w:type="dxa"/>
          </w:tcPr>
          <w:p w14:paraId="79DEF307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Diabetes</w:t>
            </w:r>
          </w:p>
        </w:tc>
        <w:tc>
          <w:tcPr>
            <w:tcW w:w="5953" w:type="dxa"/>
          </w:tcPr>
          <w:p w14:paraId="791E5970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Initiation of Insulin</w:t>
            </w:r>
          </w:p>
          <w:p w14:paraId="1C5A0E4F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monitoring of Insulin</w:t>
            </w:r>
          </w:p>
          <w:p w14:paraId="45E3A07A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Initiation of GLP1</w:t>
            </w:r>
          </w:p>
        </w:tc>
        <w:tc>
          <w:tcPr>
            <w:tcW w:w="1701" w:type="dxa"/>
          </w:tcPr>
          <w:p w14:paraId="48902F81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</w:tr>
      <w:tr w:rsidR="00315FB5" w:rsidRPr="00231F39" w14:paraId="70E63D41" w14:textId="77777777" w:rsidTr="00500A8A">
        <w:tc>
          <w:tcPr>
            <w:tcW w:w="2122" w:type="dxa"/>
          </w:tcPr>
          <w:p w14:paraId="370AC54A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ECGs</w:t>
            </w:r>
          </w:p>
        </w:tc>
        <w:tc>
          <w:tcPr>
            <w:tcW w:w="5953" w:type="dxa"/>
          </w:tcPr>
          <w:p w14:paraId="333F8BEA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ECGs</w:t>
            </w:r>
          </w:p>
        </w:tc>
        <w:tc>
          <w:tcPr>
            <w:tcW w:w="1701" w:type="dxa"/>
          </w:tcPr>
          <w:p w14:paraId="27E7564B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</w:tr>
      <w:tr w:rsidR="00315FB5" w:rsidRPr="00231F39" w14:paraId="7A901877" w14:textId="77777777" w:rsidTr="00500A8A">
        <w:tc>
          <w:tcPr>
            <w:tcW w:w="2122" w:type="dxa"/>
          </w:tcPr>
          <w:p w14:paraId="4BC8E7CA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of Life</w:t>
            </w:r>
          </w:p>
        </w:tc>
        <w:tc>
          <w:tcPr>
            <w:tcW w:w="5953" w:type="dxa"/>
          </w:tcPr>
          <w:p w14:paraId="75710FEA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advance care planning conversations and their components.  </w:t>
            </w:r>
          </w:p>
        </w:tc>
        <w:tc>
          <w:tcPr>
            <w:tcW w:w="1701" w:type="dxa"/>
          </w:tcPr>
          <w:p w14:paraId="0D7C748E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</w:tr>
      <w:tr w:rsidR="00315FB5" w:rsidRPr="00231F39" w14:paraId="3CC1BE60" w14:textId="77777777" w:rsidTr="00500A8A">
        <w:tc>
          <w:tcPr>
            <w:tcW w:w="2122" w:type="dxa"/>
          </w:tcPr>
          <w:p w14:paraId="050785DE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LTC LES</w:t>
            </w:r>
          </w:p>
        </w:tc>
        <w:tc>
          <w:tcPr>
            <w:tcW w:w="5953" w:type="dxa"/>
          </w:tcPr>
          <w:p w14:paraId="0CA75A36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patients in each of the following categories:</w:t>
            </w:r>
          </w:p>
          <w:p w14:paraId="0B3C84D0" w14:textId="77777777" w:rsidR="00315FB5" w:rsidRPr="001F78C1" w:rsidRDefault="00315FB5" w:rsidP="00315FB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1F78C1">
              <w:rPr>
                <w:rFonts w:ascii="Arial" w:hAnsi="Arial" w:cs="Arial"/>
                <w:sz w:val="20"/>
                <w:szCs w:val="20"/>
              </w:rPr>
              <w:t>Population Health Management</w:t>
            </w:r>
          </w:p>
          <w:p w14:paraId="2BBFE612" w14:textId="77777777" w:rsidR="00315FB5" w:rsidRPr="001F78C1" w:rsidRDefault="00315FB5" w:rsidP="00315FB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1F78C1">
              <w:rPr>
                <w:rFonts w:ascii="Arial" w:hAnsi="Arial" w:cs="Arial"/>
                <w:sz w:val="20"/>
                <w:szCs w:val="20"/>
              </w:rPr>
              <w:t>Serious Mental Illness</w:t>
            </w:r>
          </w:p>
          <w:p w14:paraId="7BEA1774" w14:textId="77777777" w:rsidR="00315FB5" w:rsidRPr="001F78C1" w:rsidRDefault="00315FB5" w:rsidP="00315FB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1F78C1">
              <w:rPr>
                <w:rFonts w:ascii="Arial" w:hAnsi="Arial" w:cs="Arial"/>
                <w:sz w:val="20"/>
                <w:szCs w:val="20"/>
              </w:rPr>
              <w:t>Long Term Conditions (the 2 selected for each place)</w:t>
            </w:r>
          </w:p>
        </w:tc>
        <w:tc>
          <w:tcPr>
            <w:tcW w:w="1701" w:type="dxa"/>
          </w:tcPr>
          <w:p w14:paraId="5E92B1F4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</w:tr>
      <w:tr w:rsidR="00315FB5" w:rsidRPr="00231F39" w14:paraId="63E1B6ED" w14:textId="77777777" w:rsidTr="00500A8A">
        <w:tc>
          <w:tcPr>
            <w:tcW w:w="2122" w:type="dxa"/>
          </w:tcPr>
          <w:p w14:paraId="6FB12F74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Meds Optimisation</w:t>
            </w:r>
          </w:p>
        </w:tc>
        <w:tc>
          <w:tcPr>
            <w:tcW w:w="5953" w:type="dxa"/>
          </w:tcPr>
          <w:p w14:paraId="7B767963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following 4 areas:</w:t>
            </w:r>
          </w:p>
          <w:p w14:paraId="0B1BBBBC" w14:textId="77777777" w:rsidR="00315FB5" w:rsidRPr="00CC6BB2" w:rsidRDefault="00315FB5" w:rsidP="00315FB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C6BB2">
              <w:rPr>
                <w:rFonts w:ascii="Arial" w:hAnsi="Arial" w:cs="Arial"/>
                <w:sz w:val="20"/>
                <w:szCs w:val="20"/>
              </w:rPr>
              <w:t>Nine core activities to be monitored as per the spec</w:t>
            </w:r>
          </w:p>
          <w:p w14:paraId="41FDDD02" w14:textId="77777777" w:rsidR="00315FB5" w:rsidRPr="00CC6BB2" w:rsidRDefault="00315FB5" w:rsidP="00315FB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C6BB2">
              <w:rPr>
                <w:rFonts w:ascii="Arial" w:hAnsi="Arial" w:cs="Arial"/>
                <w:sz w:val="20"/>
                <w:szCs w:val="20"/>
              </w:rPr>
              <w:t xml:space="preserve">Minimisation of cost growth </w:t>
            </w:r>
          </w:p>
          <w:p w14:paraId="43147B08" w14:textId="77777777" w:rsidR="00315FB5" w:rsidRPr="00CC6BB2" w:rsidRDefault="00315FB5" w:rsidP="00315FB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C6BB2">
              <w:rPr>
                <w:rFonts w:ascii="Arial" w:hAnsi="Arial" w:cs="Arial"/>
                <w:sz w:val="20"/>
                <w:szCs w:val="20"/>
              </w:rPr>
              <w:t>Reduction in dependence forming medicines</w:t>
            </w:r>
          </w:p>
          <w:p w14:paraId="03C0AB91" w14:textId="77777777" w:rsidR="00315FB5" w:rsidRPr="00CC6BB2" w:rsidRDefault="00315FB5" w:rsidP="00315FB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C6BB2">
              <w:rPr>
                <w:rFonts w:ascii="Arial" w:hAnsi="Arial" w:cs="Arial"/>
                <w:sz w:val="20"/>
                <w:szCs w:val="20"/>
              </w:rPr>
              <w:t>Antimicrobial stewardship</w:t>
            </w:r>
          </w:p>
        </w:tc>
        <w:tc>
          <w:tcPr>
            <w:tcW w:w="1701" w:type="dxa"/>
          </w:tcPr>
          <w:p w14:paraId="11827BFF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  <w:p w14:paraId="55DBA074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Epact is reported 6-8 weeks behind</w:t>
            </w:r>
          </w:p>
          <w:p w14:paraId="65A77288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achievement in Q4</w:t>
            </w:r>
          </w:p>
        </w:tc>
      </w:tr>
      <w:tr w:rsidR="00315FB5" w:rsidRPr="00231F39" w14:paraId="1664966E" w14:textId="77777777" w:rsidTr="00500A8A">
        <w:tc>
          <w:tcPr>
            <w:tcW w:w="2122" w:type="dxa"/>
          </w:tcPr>
          <w:p w14:paraId="65339509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Phlebotomy</w:t>
            </w:r>
          </w:p>
        </w:tc>
        <w:tc>
          <w:tcPr>
            <w:tcW w:w="5953" w:type="dxa"/>
          </w:tcPr>
          <w:p w14:paraId="06E96C8A" w14:textId="77777777" w:rsidR="00315FB5" w:rsidRPr="007240CC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</w:t>
            </w:r>
            <w:r w:rsidRPr="007240CC">
              <w:rPr>
                <w:rFonts w:ascii="Arial" w:hAnsi="Arial" w:cs="Arial"/>
                <w:sz w:val="20"/>
                <w:szCs w:val="20"/>
              </w:rPr>
              <w:t xml:space="preserve"> blood samples taken</w:t>
            </w:r>
          </w:p>
          <w:p w14:paraId="43F59DAF" w14:textId="77777777" w:rsidR="00315FB5" w:rsidRPr="007240CC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</w:t>
            </w:r>
            <w:r w:rsidRPr="007240CC">
              <w:rPr>
                <w:rFonts w:ascii="Arial" w:hAnsi="Arial" w:cs="Arial"/>
                <w:sz w:val="20"/>
                <w:szCs w:val="20"/>
              </w:rPr>
              <w:t xml:space="preserve"> failed blood samples</w:t>
            </w:r>
          </w:p>
          <w:p w14:paraId="40AF1B37" w14:textId="77777777" w:rsidR="00315FB5" w:rsidRPr="007240CC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</w:t>
            </w:r>
            <w:r w:rsidRPr="007240CC">
              <w:rPr>
                <w:rFonts w:ascii="Arial" w:hAnsi="Arial" w:cs="Arial"/>
                <w:sz w:val="20"/>
                <w:szCs w:val="20"/>
              </w:rPr>
              <w:t xml:space="preserve"> phlebotomy domiciliary visits</w:t>
            </w:r>
          </w:p>
          <w:p w14:paraId="18B3E240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</w:t>
            </w:r>
            <w:r w:rsidRPr="007240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240CC">
              <w:rPr>
                <w:rFonts w:ascii="Arial" w:hAnsi="Arial" w:cs="Arial"/>
                <w:sz w:val="20"/>
                <w:szCs w:val="20"/>
              </w:rPr>
              <w:t>consultant</w:t>
            </w:r>
            <w:proofErr w:type="gramEnd"/>
            <w:r w:rsidRPr="007240CC">
              <w:rPr>
                <w:rFonts w:ascii="Arial" w:hAnsi="Arial" w:cs="Arial"/>
                <w:sz w:val="20"/>
                <w:szCs w:val="20"/>
              </w:rPr>
              <w:t xml:space="preserve"> requested phlebotomy tests done by practice</w:t>
            </w:r>
          </w:p>
        </w:tc>
        <w:tc>
          <w:tcPr>
            <w:tcW w:w="1701" w:type="dxa"/>
          </w:tcPr>
          <w:p w14:paraId="47FB7FDA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</w:tr>
      <w:tr w:rsidR="00315FB5" w:rsidRPr="00231F39" w14:paraId="30176955" w14:textId="77777777" w:rsidTr="00500A8A">
        <w:tc>
          <w:tcPr>
            <w:tcW w:w="2122" w:type="dxa"/>
          </w:tcPr>
          <w:p w14:paraId="2BEBB156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Bariatric Monitoring</w:t>
            </w:r>
          </w:p>
        </w:tc>
        <w:tc>
          <w:tcPr>
            <w:tcW w:w="5953" w:type="dxa"/>
          </w:tcPr>
          <w:p w14:paraId="0BFEECA3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patients who have had bariatric surgery held on the register</w:t>
            </w:r>
          </w:p>
        </w:tc>
        <w:tc>
          <w:tcPr>
            <w:tcW w:w="1701" w:type="dxa"/>
          </w:tcPr>
          <w:p w14:paraId="4DC8EC20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</w:tr>
      <w:tr w:rsidR="00315FB5" w:rsidRPr="00231F39" w14:paraId="15FA1799" w14:textId="77777777" w:rsidTr="00500A8A">
        <w:tc>
          <w:tcPr>
            <w:tcW w:w="2122" w:type="dxa"/>
          </w:tcPr>
          <w:p w14:paraId="0D30B654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PSA Testing</w:t>
            </w:r>
          </w:p>
        </w:tc>
        <w:tc>
          <w:tcPr>
            <w:tcW w:w="5953" w:type="dxa"/>
          </w:tcPr>
          <w:p w14:paraId="20CF5CD4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patients requiring PSA testing held on the</w:t>
            </w:r>
            <w:r w:rsidRPr="006314AD">
              <w:rPr>
                <w:rFonts w:ascii="Arial" w:hAnsi="Arial" w:cs="Arial"/>
                <w:sz w:val="20"/>
                <w:szCs w:val="20"/>
              </w:rPr>
              <w:t xml:space="preserve"> register </w:t>
            </w:r>
          </w:p>
        </w:tc>
        <w:tc>
          <w:tcPr>
            <w:tcW w:w="1701" w:type="dxa"/>
          </w:tcPr>
          <w:p w14:paraId="4E290037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</w:tr>
      <w:tr w:rsidR="00315FB5" w:rsidRPr="00231F39" w14:paraId="7E9EE8DC" w14:textId="77777777" w:rsidTr="00500A8A">
        <w:tc>
          <w:tcPr>
            <w:tcW w:w="2122" w:type="dxa"/>
          </w:tcPr>
          <w:p w14:paraId="3668055A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 Pessary</w:t>
            </w:r>
          </w:p>
        </w:tc>
        <w:tc>
          <w:tcPr>
            <w:tcW w:w="5953" w:type="dxa"/>
          </w:tcPr>
          <w:p w14:paraId="4FA20D16" w14:textId="77777777" w:rsidR="00315FB5" w:rsidRPr="005D23BB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f</w:t>
            </w:r>
            <w:r w:rsidRPr="005D23BB">
              <w:rPr>
                <w:rFonts w:ascii="Arial" w:hAnsi="Arial" w:cs="Arial"/>
                <w:sz w:val="20"/>
                <w:szCs w:val="20"/>
              </w:rPr>
              <w:t>irst fit</w:t>
            </w:r>
            <w:r>
              <w:rPr>
                <w:rFonts w:ascii="Arial" w:hAnsi="Arial" w:cs="Arial"/>
                <w:sz w:val="20"/>
                <w:szCs w:val="20"/>
              </w:rPr>
              <w:t xml:space="preserve"> of ring pessary</w:t>
            </w:r>
          </w:p>
          <w:p w14:paraId="16DCD219" w14:textId="77777777" w:rsidR="00315FB5" w:rsidRPr="005D23BB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r</w:t>
            </w:r>
            <w:r w:rsidRPr="005D23BB">
              <w:rPr>
                <w:rFonts w:ascii="Arial" w:hAnsi="Arial" w:cs="Arial"/>
                <w:sz w:val="20"/>
                <w:szCs w:val="20"/>
              </w:rPr>
              <w:t xml:space="preserve">emoval/changes </w:t>
            </w:r>
            <w:r>
              <w:rPr>
                <w:rFonts w:ascii="Arial" w:hAnsi="Arial" w:cs="Arial"/>
                <w:sz w:val="20"/>
                <w:szCs w:val="20"/>
              </w:rPr>
              <w:t xml:space="preserve">of ring pessary </w:t>
            </w:r>
            <w:r w:rsidRPr="005D23BB">
              <w:rPr>
                <w:rFonts w:ascii="Arial" w:hAnsi="Arial" w:cs="Arial"/>
                <w:sz w:val="20"/>
                <w:szCs w:val="20"/>
              </w:rPr>
              <w:t xml:space="preserve">(max of 4 visits per 12-month period).   </w:t>
            </w:r>
          </w:p>
          <w:p w14:paraId="3074B90A" w14:textId="77777777" w:rsidR="00315FB5" w:rsidRPr="005D23BB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 w:rsidRPr="005D23BB">
              <w:rPr>
                <w:rFonts w:ascii="Arial" w:hAnsi="Arial" w:cs="Arial"/>
                <w:sz w:val="20"/>
                <w:szCs w:val="20"/>
              </w:rPr>
              <w:t xml:space="preserve">Inter-practice patients  </w:t>
            </w:r>
          </w:p>
          <w:p w14:paraId="08EB71B4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 w:rsidRPr="005D23BB">
              <w:rPr>
                <w:rFonts w:ascii="Arial" w:hAnsi="Arial" w:cs="Arial"/>
                <w:sz w:val="20"/>
                <w:szCs w:val="20"/>
              </w:rPr>
              <w:t>Domiciliary visit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D23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B75BB4A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</w:tr>
      <w:tr w:rsidR="00315FB5" w:rsidRPr="00231F39" w14:paraId="405306C0" w14:textId="77777777" w:rsidTr="00500A8A">
        <w:tc>
          <w:tcPr>
            <w:tcW w:w="2122" w:type="dxa"/>
          </w:tcPr>
          <w:p w14:paraId="31583E1A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Shared Care</w:t>
            </w:r>
          </w:p>
        </w:tc>
        <w:tc>
          <w:tcPr>
            <w:tcW w:w="5953" w:type="dxa"/>
          </w:tcPr>
          <w:p w14:paraId="215340CA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patients receiving shared care monitoring for the agreed list of drugs</w:t>
            </w:r>
          </w:p>
        </w:tc>
        <w:tc>
          <w:tcPr>
            <w:tcW w:w="1701" w:type="dxa"/>
          </w:tcPr>
          <w:p w14:paraId="11E95AF4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Monthly.  </w:t>
            </w:r>
          </w:p>
        </w:tc>
      </w:tr>
      <w:tr w:rsidR="00315FB5" w:rsidRPr="00231F39" w14:paraId="67501341" w14:textId="77777777" w:rsidTr="00500A8A">
        <w:tc>
          <w:tcPr>
            <w:tcW w:w="2122" w:type="dxa"/>
          </w:tcPr>
          <w:p w14:paraId="4C36D1DC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Simple Injections</w:t>
            </w:r>
          </w:p>
        </w:tc>
        <w:tc>
          <w:tcPr>
            <w:tcW w:w="5953" w:type="dxa"/>
          </w:tcPr>
          <w:p w14:paraId="6E1DC427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number of patients who have received injections from the agreed list.</w:t>
            </w:r>
          </w:p>
        </w:tc>
        <w:tc>
          <w:tcPr>
            <w:tcW w:w="1701" w:type="dxa"/>
          </w:tcPr>
          <w:p w14:paraId="06FB0734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</w:tr>
      <w:tr w:rsidR="00315FB5" w:rsidRPr="00231F39" w14:paraId="59F428AD" w14:textId="77777777" w:rsidTr="00500A8A">
        <w:tc>
          <w:tcPr>
            <w:tcW w:w="2122" w:type="dxa"/>
          </w:tcPr>
          <w:p w14:paraId="05FF9BC1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Spiro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</w:t>
            </w:r>
            <w:proofErr w:type="spellEnd"/>
          </w:p>
        </w:tc>
        <w:tc>
          <w:tcPr>
            <w:tcW w:w="5953" w:type="dxa"/>
          </w:tcPr>
          <w:p w14:paraId="3A06E73F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patients given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test.  </w:t>
            </w:r>
          </w:p>
          <w:p w14:paraId="35E23534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patients given a Spiro test.  </w:t>
            </w:r>
          </w:p>
        </w:tc>
        <w:tc>
          <w:tcPr>
            <w:tcW w:w="1701" w:type="dxa"/>
          </w:tcPr>
          <w:p w14:paraId="421FD326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</w:tr>
      <w:tr w:rsidR="00315FB5" w:rsidRPr="00231F39" w14:paraId="5CA11E3B" w14:textId="77777777" w:rsidTr="00500A8A">
        <w:tc>
          <w:tcPr>
            <w:tcW w:w="2122" w:type="dxa"/>
          </w:tcPr>
          <w:p w14:paraId="06C966D1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Wound Care</w:t>
            </w:r>
          </w:p>
        </w:tc>
        <w:tc>
          <w:tcPr>
            <w:tcW w:w="5953" w:type="dxa"/>
          </w:tcPr>
          <w:p w14:paraId="777A1DF7" w14:textId="77777777" w:rsidR="00315FB5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patients recorded as receiving:</w:t>
            </w:r>
          </w:p>
          <w:p w14:paraId="22DC75DB" w14:textId="77777777" w:rsidR="00315FB5" w:rsidRPr="00787BC5" w:rsidRDefault="00315FB5" w:rsidP="00315FB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787BC5">
              <w:rPr>
                <w:rFonts w:ascii="Arial" w:hAnsi="Arial" w:cs="Arial"/>
                <w:sz w:val="20"/>
                <w:szCs w:val="20"/>
              </w:rPr>
              <w:t>Application of Dressings.</w:t>
            </w:r>
          </w:p>
          <w:p w14:paraId="7EA22666" w14:textId="77777777" w:rsidR="00315FB5" w:rsidRPr="00787BC5" w:rsidRDefault="00315FB5" w:rsidP="00315FB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787BC5">
              <w:rPr>
                <w:rFonts w:ascii="Arial" w:hAnsi="Arial" w:cs="Arial"/>
                <w:sz w:val="20"/>
                <w:szCs w:val="20"/>
              </w:rPr>
              <w:t>Removal of sutures/clips.</w:t>
            </w:r>
          </w:p>
          <w:p w14:paraId="2DA82113" w14:textId="77777777" w:rsidR="00315FB5" w:rsidRPr="00787BC5" w:rsidRDefault="00315FB5" w:rsidP="00315FB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787BC5">
              <w:rPr>
                <w:rFonts w:ascii="Arial" w:hAnsi="Arial" w:cs="Arial"/>
                <w:sz w:val="20"/>
                <w:szCs w:val="20"/>
              </w:rPr>
              <w:t xml:space="preserve">Application of dressing for burn </w:t>
            </w:r>
          </w:p>
          <w:p w14:paraId="26099FDC" w14:textId="77777777" w:rsidR="00315FB5" w:rsidRPr="00787BC5" w:rsidRDefault="00315FB5" w:rsidP="00315FB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787BC5">
              <w:rPr>
                <w:rFonts w:ascii="Arial" w:hAnsi="Arial" w:cs="Arial"/>
                <w:sz w:val="20"/>
                <w:szCs w:val="20"/>
              </w:rPr>
              <w:t>Primary/secondary suture of skin</w:t>
            </w:r>
          </w:p>
        </w:tc>
        <w:tc>
          <w:tcPr>
            <w:tcW w:w="1701" w:type="dxa"/>
          </w:tcPr>
          <w:p w14:paraId="5A46791C" w14:textId="77777777" w:rsidR="00315FB5" w:rsidRPr="00231F39" w:rsidRDefault="00315FB5" w:rsidP="00500A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</w:tr>
    </w:tbl>
    <w:p w14:paraId="5CE92C35" w14:textId="0EF8CA53" w:rsidR="00BC0F22" w:rsidRPr="00054AD9" w:rsidRDefault="00BC0F22" w:rsidP="00054AD9">
      <w:pPr>
        <w:spacing w:after="0" w:line="240" w:lineRule="auto"/>
        <w:jc w:val="both"/>
        <w:rPr>
          <w:i/>
          <w:iCs/>
        </w:rPr>
      </w:pPr>
    </w:p>
    <w:sectPr w:rsidR="00BC0F22" w:rsidRPr="00054AD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857E" w14:textId="77777777" w:rsidR="003806C4" w:rsidRDefault="003806C4" w:rsidP="003806C4">
      <w:pPr>
        <w:spacing w:after="0" w:line="240" w:lineRule="auto"/>
      </w:pPr>
      <w:r>
        <w:separator/>
      </w:r>
    </w:p>
  </w:endnote>
  <w:endnote w:type="continuationSeparator" w:id="0">
    <w:p w14:paraId="07A70113" w14:textId="77777777" w:rsidR="003806C4" w:rsidRDefault="003806C4" w:rsidP="0038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9619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6ABA14" w14:textId="320F6692" w:rsidR="003806C4" w:rsidRDefault="003806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89E821" w14:textId="77777777" w:rsidR="003806C4" w:rsidRDefault="00380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72FA" w14:textId="77777777" w:rsidR="003806C4" w:rsidRDefault="003806C4" w:rsidP="003806C4">
      <w:pPr>
        <w:spacing w:after="0" w:line="240" w:lineRule="auto"/>
      </w:pPr>
      <w:r>
        <w:separator/>
      </w:r>
    </w:p>
  </w:footnote>
  <w:footnote w:type="continuationSeparator" w:id="0">
    <w:p w14:paraId="0FAB0120" w14:textId="77777777" w:rsidR="003806C4" w:rsidRDefault="003806C4" w:rsidP="00380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94A"/>
    <w:multiLevelType w:val="hybridMultilevel"/>
    <w:tmpl w:val="1F86B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7D45"/>
    <w:multiLevelType w:val="hybridMultilevel"/>
    <w:tmpl w:val="C50854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E60A17"/>
    <w:multiLevelType w:val="hybridMultilevel"/>
    <w:tmpl w:val="89924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81D8E"/>
    <w:multiLevelType w:val="hybridMultilevel"/>
    <w:tmpl w:val="F3DCF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15F1A"/>
    <w:multiLevelType w:val="hybridMultilevel"/>
    <w:tmpl w:val="45681ED2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9D504AF"/>
    <w:multiLevelType w:val="hybridMultilevel"/>
    <w:tmpl w:val="9968906A"/>
    <w:lvl w:ilvl="0" w:tplc="08090011">
      <w:start w:val="1"/>
      <w:numFmt w:val="decimal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F252C3"/>
    <w:multiLevelType w:val="hybridMultilevel"/>
    <w:tmpl w:val="83387A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DA306D"/>
    <w:multiLevelType w:val="hybridMultilevel"/>
    <w:tmpl w:val="04B633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113226"/>
    <w:multiLevelType w:val="hybridMultilevel"/>
    <w:tmpl w:val="3444946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685640"/>
    <w:multiLevelType w:val="hybridMultilevel"/>
    <w:tmpl w:val="838AA7C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750A3F"/>
    <w:multiLevelType w:val="multilevel"/>
    <w:tmpl w:val="6CD0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BDF7AD8"/>
    <w:multiLevelType w:val="hybridMultilevel"/>
    <w:tmpl w:val="1C0C70F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2A53A94"/>
    <w:multiLevelType w:val="hybridMultilevel"/>
    <w:tmpl w:val="096A97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0F72A8"/>
    <w:multiLevelType w:val="hybridMultilevel"/>
    <w:tmpl w:val="3444946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FC0ACE"/>
    <w:multiLevelType w:val="hybridMultilevel"/>
    <w:tmpl w:val="5EC2C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A73D4"/>
    <w:multiLevelType w:val="multilevel"/>
    <w:tmpl w:val="3DAEB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4790281">
    <w:abstractNumId w:val="6"/>
  </w:num>
  <w:num w:numId="2" w16cid:durableId="1954752271">
    <w:abstractNumId w:val="7"/>
  </w:num>
  <w:num w:numId="3" w16cid:durableId="1293436069">
    <w:abstractNumId w:val="4"/>
  </w:num>
  <w:num w:numId="4" w16cid:durableId="1852135870">
    <w:abstractNumId w:val="3"/>
  </w:num>
  <w:num w:numId="5" w16cid:durableId="379743030">
    <w:abstractNumId w:val="10"/>
  </w:num>
  <w:num w:numId="6" w16cid:durableId="715350117">
    <w:abstractNumId w:val="12"/>
  </w:num>
  <w:num w:numId="7" w16cid:durableId="269435839">
    <w:abstractNumId w:val="9"/>
  </w:num>
  <w:num w:numId="8" w16cid:durableId="1097822257">
    <w:abstractNumId w:val="15"/>
  </w:num>
  <w:num w:numId="9" w16cid:durableId="1270965016">
    <w:abstractNumId w:val="11"/>
  </w:num>
  <w:num w:numId="10" w16cid:durableId="95562892">
    <w:abstractNumId w:val="5"/>
  </w:num>
  <w:num w:numId="11" w16cid:durableId="408428689">
    <w:abstractNumId w:val="1"/>
  </w:num>
  <w:num w:numId="12" w16cid:durableId="250430859">
    <w:abstractNumId w:val="8"/>
  </w:num>
  <w:num w:numId="13" w16cid:durableId="1535843826">
    <w:abstractNumId w:val="13"/>
  </w:num>
  <w:num w:numId="14" w16cid:durableId="461460888">
    <w:abstractNumId w:val="14"/>
  </w:num>
  <w:num w:numId="15" w16cid:durableId="379092980">
    <w:abstractNumId w:val="0"/>
  </w:num>
  <w:num w:numId="16" w16cid:durableId="1082140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6B"/>
    <w:rsid w:val="000366E9"/>
    <w:rsid w:val="00054AD9"/>
    <w:rsid w:val="000911F9"/>
    <w:rsid w:val="001568F2"/>
    <w:rsid w:val="001D5B02"/>
    <w:rsid w:val="00315FB5"/>
    <w:rsid w:val="003806C4"/>
    <w:rsid w:val="00440656"/>
    <w:rsid w:val="00462D8F"/>
    <w:rsid w:val="004C1FCE"/>
    <w:rsid w:val="005E1FE7"/>
    <w:rsid w:val="00601C01"/>
    <w:rsid w:val="0062596B"/>
    <w:rsid w:val="009224F5"/>
    <w:rsid w:val="00A247A3"/>
    <w:rsid w:val="00A4791D"/>
    <w:rsid w:val="00BC0F22"/>
    <w:rsid w:val="00D23D6B"/>
    <w:rsid w:val="00D4340C"/>
    <w:rsid w:val="00DB4D80"/>
    <w:rsid w:val="00F35FE0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6F8E7"/>
  <w15:chartTrackingRefBased/>
  <w15:docId w15:val="{21F4B853-94CC-4550-B4EE-1046C33D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96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96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9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96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96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96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9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9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96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9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96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96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62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259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6259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5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96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0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6C4"/>
  </w:style>
  <w:style w:type="paragraph" w:styleId="Footer">
    <w:name w:val="footer"/>
    <w:basedOn w:val="Normal"/>
    <w:link w:val="FooterChar"/>
    <w:uiPriority w:val="99"/>
    <w:unhideWhenUsed/>
    <w:rsid w:val="00380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109AFC2C6E043A4318249FC3EB332" ma:contentTypeVersion="3" ma:contentTypeDescription="Create a new document." ma:contentTypeScope="" ma:versionID="9d49254b577d94d2f00bf8058147b7c4">
  <xsd:schema xmlns:xsd="http://www.w3.org/2001/XMLSchema" xmlns:xs="http://www.w3.org/2001/XMLSchema" xmlns:p="http://schemas.microsoft.com/office/2006/metadata/properties" xmlns:ns2="d760762f-6d0f-47a6-8fb9-606f44da5725" targetNamespace="http://schemas.microsoft.com/office/2006/metadata/properties" ma:root="true" ma:fieldsID="aae14fa555eec77c6f384edf05dafd7c" ns2:_="">
    <xsd:import namespace="d760762f-6d0f-47a6-8fb9-606f44da5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0762f-6d0f-47a6-8fb9-606f44da5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1F2F8-6FA3-4A2B-8C5E-AF30FC4AD40B}"/>
</file>

<file path=customXml/itemProps2.xml><?xml version="1.0" encoding="utf-8"?>
<ds:datastoreItem xmlns:ds="http://schemas.openxmlformats.org/officeDocument/2006/customXml" ds:itemID="{E14A844E-318A-4D4F-9489-83DA1A498929}"/>
</file>

<file path=customXml/itemProps3.xml><?xml version="1.0" encoding="utf-8"?>
<ds:datastoreItem xmlns:ds="http://schemas.openxmlformats.org/officeDocument/2006/customXml" ds:itemID="{215F9C87-06BF-4B92-A2AD-25983E4B66D7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7317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John (NHS LANCASHIRE AND SOUTH CUMBRIA ICB - 02M)</dc:creator>
  <cp:keywords/>
  <dc:description/>
  <cp:lastModifiedBy>WRIGHT, Jennifer (NHS LANCASHIRE AND SOUTH CUMBRIA INTEGRATED CARE BOARD)</cp:lastModifiedBy>
  <cp:revision>2</cp:revision>
  <dcterms:created xsi:type="dcterms:W3CDTF">2025-06-05T11:51:00Z</dcterms:created>
  <dcterms:modified xsi:type="dcterms:W3CDTF">2025-06-05T11:51:00Z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0x0101000A4109AFC2C6E043A4318249FC3EB332</vt:lpwstr>
  </property>
</Properties>
</file>