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39803" w14:textId="77777777" w:rsidR="00993FBD" w:rsidRDefault="00F54041" w:rsidP="005A34F4">
      <w:pPr>
        <w:tabs>
          <w:tab w:val="left" w:pos="5985"/>
        </w:tabs>
        <w:spacing w:after="0" w:line="240" w:lineRule="auto"/>
        <w:jc w:val="center"/>
        <w:rPr>
          <w:rFonts w:ascii="Arial" w:hAnsi="Arial" w:cs="Arial"/>
          <w:b/>
          <w:sz w:val="28"/>
          <w:szCs w:val="28"/>
        </w:rPr>
      </w:pPr>
      <w:r>
        <w:rPr>
          <w:rFonts w:ascii="Arial" w:hAnsi="Arial" w:cs="Arial"/>
          <w:b/>
          <w:sz w:val="28"/>
          <w:szCs w:val="28"/>
        </w:rPr>
        <w:t xml:space="preserve">L &amp; SC Integrated Care Board </w:t>
      </w:r>
    </w:p>
    <w:p w14:paraId="073A0244" w14:textId="6D63B918" w:rsidR="005A34F4" w:rsidRDefault="00F54041" w:rsidP="005A34F4">
      <w:pPr>
        <w:tabs>
          <w:tab w:val="left" w:pos="5985"/>
        </w:tabs>
        <w:spacing w:after="0" w:line="240" w:lineRule="auto"/>
        <w:jc w:val="center"/>
        <w:rPr>
          <w:rFonts w:ascii="Arial" w:hAnsi="Arial" w:cs="Arial"/>
          <w:b/>
          <w:sz w:val="28"/>
          <w:szCs w:val="28"/>
        </w:rPr>
      </w:pPr>
      <w:r>
        <w:rPr>
          <w:rFonts w:ascii="Arial" w:hAnsi="Arial" w:cs="Arial"/>
          <w:b/>
          <w:sz w:val="28"/>
          <w:szCs w:val="28"/>
        </w:rPr>
        <w:t xml:space="preserve">Primary Care Contracts </w:t>
      </w:r>
      <w:r w:rsidR="00993FBD">
        <w:rPr>
          <w:rFonts w:ascii="Arial" w:hAnsi="Arial" w:cs="Arial"/>
          <w:b/>
          <w:sz w:val="28"/>
          <w:szCs w:val="28"/>
        </w:rPr>
        <w:t>S</w:t>
      </w:r>
      <w:r>
        <w:rPr>
          <w:rFonts w:ascii="Arial" w:hAnsi="Arial" w:cs="Arial"/>
          <w:b/>
          <w:sz w:val="28"/>
          <w:szCs w:val="28"/>
        </w:rPr>
        <w:t>ub</w:t>
      </w:r>
      <w:r w:rsidR="00993FBD">
        <w:rPr>
          <w:rFonts w:ascii="Arial" w:hAnsi="Arial" w:cs="Arial"/>
          <w:b/>
          <w:sz w:val="28"/>
          <w:szCs w:val="28"/>
        </w:rPr>
        <w:t>-</w:t>
      </w:r>
      <w:r w:rsidR="001B652B">
        <w:rPr>
          <w:rFonts w:ascii="Arial" w:hAnsi="Arial" w:cs="Arial"/>
          <w:b/>
          <w:sz w:val="28"/>
          <w:szCs w:val="28"/>
        </w:rPr>
        <w:t>c</w:t>
      </w:r>
      <w:r>
        <w:rPr>
          <w:rFonts w:ascii="Arial" w:hAnsi="Arial" w:cs="Arial"/>
          <w:b/>
          <w:sz w:val="28"/>
          <w:szCs w:val="28"/>
        </w:rPr>
        <w:t>ommittee</w:t>
      </w:r>
    </w:p>
    <w:p w14:paraId="06B5B19A" w14:textId="77777777" w:rsidR="00421548" w:rsidRDefault="00421548" w:rsidP="005A34F4">
      <w:pPr>
        <w:tabs>
          <w:tab w:val="left" w:pos="5985"/>
        </w:tabs>
        <w:spacing w:after="0" w:line="240" w:lineRule="auto"/>
        <w:jc w:val="center"/>
        <w:rPr>
          <w:rFonts w:ascii="Arial" w:hAnsi="Arial" w:cs="Arial"/>
          <w:b/>
          <w:sz w:val="28"/>
          <w:szCs w:val="28"/>
        </w:rPr>
      </w:pPr>
    </w:p>
    <w:p w14:paraId="65803246" w14:textId="476C9EFD" w:rsidR="00972DD7" w:rsidRPr="00421548" w:rsidRDefault="00972DD7" w:rsidP="00972DD7">
      <w:pPr>
        <w:tabs>
          <w:tab w:val="left" w:pos="5985"/>
        </w:tabs>
        <w:rPr>
          <w:rFonts w:cs="Arial"/>
          <w:bCs/>
          <w:color w:val="7F7F7F" w:themeColor="text1" w:themeTint="80"/>
        </w:rPr>
      </w:pPr>
    </w:p>
    <w:tbl>
      <w:tblPr>
        <w:tblStyle w:val="TableGrid1"/>
        <w:tblW w:w="9493" w:type="dxa"/>
        <w:tblLook w:val="04A0" w:firstRow="1" w:lastRow="0" w:firstColumn="1" w:lastColumn="0" w:noHBand="0" w:noVBand="1"/>
      </w:tblPr>
      <w:tblGrid>
        <w:gridCol w:w="2972"/>
        <w:gridCol w:w="740"/>
        <w:gridCol w:w="702"/>
        <w:gridCol w:w="704"/>
        <w:gridCol w:w="902"/>
        <w:gridCol w:w="3473"/>
      </w:tblGrid>
      <w:tr w:rsidR="00877C1C" w14:paraId="19FB1D52" w14:textId="77777777" w:rsidTr="00877C1C">
        <w:tc>
          <w:tcPr>
            <w:tcW w:w="297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79466F9" w14:textId="6C7A2FCC" w:rsidR="00877C1C" w:rsidRDefault="00877C1C">
            <w:pPr>
              <w:rPr>
                <w:b/>
                <w:sz w:val="24"/>
              </w:rPr>
            </w:pPr>
            <w:r>
              <w:rPr>
                <w:b/>
                <w:sz w:val="24"/>
              </w:rPr>
              <w:t>Date of meeting</w:t>
            </w:r>
          </w:p>
        </w:tc>
        <w:tc>
          <w:tcPr>
            <w:tcW w:w="6521" w:type="dxa"/>
            <w:gridSpan w:val="5"/>
            <w:tcBorders>
              <w:top w:val="single" w:sz="4" w:space="0" w:color="auto"/>
              <w:left w:val="single" w:sz="4" w:space="0" w:color="auto"/>
              <w:bottom w:val="single" w:sz="4" w:space="0" w:color="auto"/>
              <w:right w:val="single" w:sz="4" w:space="0" w:color="auto"/>
            </w:tcBorders>
          </w:tcPr>
          <w:p w14:paraId="333F2F02" w14:textId="1B4FF489" w:rsidR="00877C1C" w:rsidRPr="00827522" w:rsidRDefault="008353E9">
            <w:pPr>
              <w:rPr>
                <w:bCs/>
              </w:rPr>
            </w:pPr>
            <w:r w:rsidRPr="00827522">
              <w:rPr>
                <w:bCs/>
              </w:rPr>
              <w:t>Thursday 12</w:t>
            </w:r>
            <w:r w:rsidRPr="00827522">
              <w:rPr>
                <w:bCs/>
                <w:vertAlign w:val="superscript"/>
              </w:rPr>
              <w:t>th</w:t>
            </w:r>
            <w:r w:rsidRPr="00827522">
              <w:rPr>
                <w:bCs/>
              </w:rPr>
              <w:t xml:space="preserve"> June</w:t>
            </w:r>
          </w:p>
        </w:tc>
      </w:tr>
      <w:tr w:rsidR="00877C1C" w14:paraId="002F86FE" w14:textId="77777777" w:rsidTr="00877C1C">
        <w:tc>
          <w:tcPr>
            <w:tcW w:w="297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1A0921A" w14:textId="26889953" w:rsidR="00877C1C" w:rsidRDefault="00877C1C">
            <w:pPr>
              <w:rPr>
                <w:b/>
                <w:sz w:val="24"/>
              </w:rPr>
            </w:pPr>
            <w:r>
              <w:rPr>
                <w:b/>
                <w:sz w:val="24"/>
              </w:rPr>
              <w:t>Title of paper</w:t>
            </w:r>
          </w:p>
        </w:tc>
        <w:tc>
          <w:tcPr>
            <w:tcW w:w="6521" w:type="dxa"/>
            <w:gridSpan w:val="5"/>
            <w:tcBorders>
              <w:top w:val="single" w:sz="4" w:space="0" w:color="auto"/>
              <w:left w:val="single" w:sz="4" w:space="0" w:color="auto"/>
              <w:bottom w:val="single" w:sz="4" w:space="0" w:color="auto"/>
              <w:right w:val="single" w:sz="4" w:space="0" w:color="auto"/>
            </w:tcBorders>
          </w:tcPr>
          <w:p w14:paraId="1811DBF2" w14:textId="268465D2" w:rsidR="00877C1C" w:rsidRPr="00827522" w:rsidRDefault="008353E9">
            <w:pPr>
              <w:rPr>
                <w:bCs/>
              </w:rPr>
            </w:pPr>
            <w:r w:rsidRPr="00827522">
              <w:rPr>
                <w:bCs/>
              </w:rPr>
              <w:t>Integrated Primary Care Performance Report</w:t>
            </w:r>
            <w:r w:rsidR="0017152D" w:rsidRPr="00827522">
              <w:rPr>
                <w:bCs/>
              </w:rPr>
              <w:t xml:space="preserve"> (FINAL DRAFT)</w:t>
            </w:r>
          </w:p>
        </w:tc>
      </w:tr>
      <w:tr w:rsidR="007417E4" w14:paraId="06E78B91" w14:textId="77777777" w:rsidTr="00C748DA">
        <w:tc>
          <w:tcPr>
            <w:tcW w:w="297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A5A7AF7" w14:textId="616ED480" w:rsidR="007417E4" w:rsidRDefault="007417E4" w:rsidP="007417E4">
            <w:pPr>
              <w:rPr>
                <w:b/>
                <w:sz w:val="24"/>
              </w:rPr>
            </w:pPr>
            <w:r>
              <w:rPr>
                <w:b/>
                <w:sz w:val="24"/>
              </w:rPr>
              <w:t>Presented by</w:t>
            </w:r>
          </w:p>
        </w:tc>
        <w:tc>
          <w:tcPr>
            <w:tcW w:w="6521" w:type="dxa"/>
            <w:gridSpan w:val="5"/>
            <w:tcBorders>
              <w:bottom w:val="single" w:sz="4" w:space="0" w:color="auto"/>
            </w:tcBorders>
          </w:tcPr>
          <w:p w14:paraId="3C2C3484" w14:textId="068324AB" w:rsidR="007417E4" w:rsidRPr="00827522" w:rsidRDefault="007417E4" w:rsidP="007417E4">
            <w:pPr>
              <w:rPr>
                <w:bCs/>
              </w:rPr>
            </w:pPr>
            <w:r w:rsidRPr="00827522">
              <w:rPr>
                <w:bCs/>
              </w:rPr>
              <w:t>Peter Tinson – Director of Primary and Community Commissioning</w:t>
            </w:r>
          </w:p>
        </w:tc>
      </w:tr>
      <w:tr w:rsidR="007417E4" w14:paraId="217E9054" w14:textId="77777777" w:rsidTr="00B4172D">
        <w:trPr>
          <w:trHeight w:val="575"/>
        </w:trPr>
        <w:tc>
          <w:tcPr>
            <w:tcW w:w="297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BE1E475" w14:textId="77777777" w:rsidR="007417E4" w:rsidRDefault="007417E4" w:rsidP="007417E4">
            <w:pPr>
              <w:rPr>
                <w:b/>
                <w:sz w:val="24"/>
              </w:rPr>
            </w:pPr>
            <w:r>
              <w:rPr>
                <w:b/>
                <w:sz w:val="24"/>
              </w:rPr>
              <w:t>Author</w:t>
            </w:r>
          </w:p>
        </w:tc>
        <w:tc>
          <w:tcPr>
            <w:tcW w:w="6521" w:type="dxa"/>
            <w:gridSpan w:val="5"/>
            <w:tcBorders>
              <w:bottom w:val="single" w:sz="4" w:space="0" w:color="auto"/>
            </w:tcBorders>
          </w:tcPr>
          <w:p w14:paraId="70225F6D" w14:textId="77777777" w:rsidR="007417E4" w:rsidRPr="00827522" w:rsidRDefault="007417E4" w:rsidP="007417E4">
            <w:pPr>
              <w:pStyle w:val="Numberlist"/>
              <w:numPr>
                <w:ilvl w:val="0"/>
                <w:numId w:val="0"/>
              </w:numPr>
              <w:rPr>
                <w:bCs/>
                <w:sz w:val="22"/>
              </w:rPr>
            </w:pPr>
            <w:r w:rsidRPr="00827522">
              <w:rPr>
                <w:bCs/>
                <w:sz w:val="22"/>
              </w:rPr>
              <w:t>Sarah Squires, Senior Delivery Manager – Primary Care</w:t>
            </w:r>
          </w:p>
          <w:p w14:paraId="240651D8" w14:textId="279E095F" w:rsidR="007417E4" w:rsidRPr="00827522" w:rsidRDefault="007417E4" w:rsidP="007417E4">
            <w:pPr>
              <w:rPr>
                <w:bCs/>
              </w:rPr>
            </w:pPr>
            <w:r w:rsidRPr="00827522">
              <w:rPr>
                <w:bCs/>
              </w:rPr>
              <w:t>Jennifer Wright, Senior Delivery Officer</w:t>
            </w:r>
            <w:r w:rsidR="00ED2EAD" w:rsidRPr="00827522">
              <w:rPr>
                <w:bCs/>
              </w:rPr>
              <w:t xml:space="preserve"> – Primary Care</w:t>
            </w:r>
          </w:p>
        </w:tc>
      </w:tr>
      <w:tr w:rsidR="007417E4" w14:paraId="4771755E" w14:textId="77777777" w:rsidTr="00C748DA">
        <w:tc>
          <w:tcPr>
            <w:tcW w:w="297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F73BD96" w14:textId="77777777" w:rsidR="007417E4" w:rsidRDefault="007417E4" w:rsidP="007417E4">
            <w:pPr>
              <w:rPr>
                <w:b/>
                <w:sz w:val="24"/>
              </w:rPr>
            </w:pPr>
            <w:r>
              <w:rPr>
                <w:b/>
                <w:sz w:val="24"/>
              </w:rPr>
              <w:t>Agenda Item</w:t>
            </w:r>
          </w:p>
        </w:tc>
        <w:tc>
          <w:tcPr>
            <w:tcW w:w="6521" w:type="dxa"/>
            <w:gridSpan w:val="5"/>
            <w:tcBorders>
              <w:bottom w:val="single" w:sz="4" w:space="0" w:color="auto"/>
            </w:tcBorders>
            <w:shd w:val="clear" w:color="auto" w:fill="auto"/>
          </w:tcPr>
          <w:p w14:paraId="663CD983" w14:textId="18366D1C" w:rsidR="007417E4" w:rsidRPr="00827522" w:rsidRDefault="00276483" w:rsidP="007417E4">
            <w:pPr>
              <w:rPr>
                <w:bCs/>
              </w:rPr>
            </w:pPr>
            <w:r>
              <w:rPr>
                <w:bCs/>
              </w:rPr>
              <w:t>7</w:t>
            </w:r>
          </w:p>
        </w:tc>
      </w:tr>
      <w:tr w:rsidR="007417E4" w14:paraId="0EDA31B7" w14:textId="77777777" w:rsidTr="00C748DA">
        <w:tc>
          <w:tcPr>
            <w:tcW w:w="297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6B07DE0" w14:textId="77777777" w:rsidR="007417E4" w:rsidRDefault="007417E4" w:rsidP="007417E4">
            <w:pPr>
              <w:rPr>
                <w:b/>
                <w:sz w:val="24"/>
              </w:rPr>
            </w:pPr>
            <w:r>
              <w:rPr>
                <w:b/>
                <w:sz w:val="24"/>
              </w:rPr>
              <w:t>Confidential</w:t>
            </w:r>
          </w:p>
        </w:tc>
        <w:tc>
          <w:tcPr>
            <w:tcW w:w="6521" w:type="dxa"/>
            <w:gridSpan w:val="5"/>
            <w:tcBorders>
              <w:bottom w:val="single" w:sz="4" w:space="0" w:color="auto"/>
            </w:tcBorders>
            <w:shd w:val="clear" w:color="auto" w:fill="auto"/>
          </w:tcPr>
          <w:p w14:paraId="1BD9D557" w14:textId="0F688370" w:rsidR="007417E4" w:rsidRPr="00827522" w:rsidRDefault="007417E4" w:rsidP="007417E4">
            <w:pPr>
              <w:rPr>
                <w:bCs/>
              </w:rPr>
            </w:pPr>
            <w:r w:rsidRPr="00827522">
              <w:rPr>
                <w:bCs/>
              </w:rPr>
              <w:t>No</w:t>
            </w:r>
          </w:p>
        </w:tc>
      </w:tr>
      <w:tr w:rsidR="007417E4" w14:paraId="2F594F23" w14:textId="77777777" w:rsidTr="00877C1C">
        <w:tc>
          <w:tcPr>
            <w:tcW w:w="2972" w:type="dxa"/>
            <w:tcBorders>
              <w:top w:val="single" w:sz="4" w:space="0" w:color="auto"/>
              <w:left w:val="nil"/>
              <w:bottom w:val="single" w:sz="4" w:space="0" w:color="auto"/>
              <w:right w:val="nil"/>
            </w:tcBorders>
          </w:tcPr>
          <w:p w14:paraId="63B1FB6A" w14:textId="77777777" w:rsidR="007417E4" w:rsidRDefault="007417E4" w:rsidP="007417E4">
            <w:pPr>
              <w:rPr>
                <w:b/>
                <w:sz w:val="24"/>
              </w:rPr>
            </w:pPr>
          </w:p>
        </w:tc>
        <w:tc>
          <w:tcPr>
            <w:tcW w:w="6521" w:type="dxa"/>
            <w:gridSpan w:val="5"/>
            <w:tcBorders>
              <w:top w:val="single" w:sz="4" w:space="0" w:color="auto"/>
              <w:left w:val="nil"/>
              <w:bottom w:val="single" w:sz="4" w:space="0" w:color="auto"/>
              <w:right w:val="nil"/>
            </w:tcBorders>
          </w:tcPr>
          <w:p w14:paraId="3E070BB7" w14:textId="77777777" w:rsidR="007417E4" w:rsidRDefault="007417E4" w:rsidP="007417E4">
            <w:pPr>
              <w:rPr>
                <w:bCs/>
                <w:sz w:val="24"/>
              </w:rPr>
            </w:pPr>
          </w:p>
        </w:tc>
      </w:tr>
      <w:tr w:rsidR="007417E4" w14:paraId="2B4FB3EF" w14:textId="77777777" w:rsidTr="00877C1C">
        <w:tc>
          <w:tcPr>
            <w:tcW w:w="9493"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03DBB86" w14:textId="73DB1A0C" w:rsidR="007417E4" w:rsidRDefault="007417E4" w:rsidP="007417E4">
            <w:pPr>
              <w:rPr>
                <w:b/>
                <w:sz w:val="24"/>
              </w:rPr>
            </w:pPr>
            <w:r>
              <w:rPr>
                <w:b/>
                <w:sz w:val="24"/>
              </w:rPr>
              <w:t>Purpose of the paper</w:t>
            </w:r>
          </w:p>
        </w:tc>
      </w:tr>
      <w:tr w:rsidR="007417E4" w14:paraId="1AA819FC" w14:textId="77777777" w:rsidTr="00877C1C">
        <w:tc>
          <w:tcPr>
            <w:tcW w:w="9493" w:type="dxa"/>
            <w:gridSpan w:val="6"/>
            <w:tcBorders>
              <w:top w:val="single" w:sz="4" w:space="0" w:color="auto"/>
              <w:left w:val="single" w:sz="4" w:space="0" w:color="auto"/>
              <w:bottom w:val="single" w:sz="4" w:space="0" w:color="auto"/>
              <w:right w:val="single" w:sz="4" w:space="0" w:color="auto"/>
            </w:tcBorders>
          </w:tcPr>
          <w:p w14:paraId="0F768365" w14:textId="3E5FA2A9" w:rsidR="007417E4" w:rsidRPr="00827522" w:rsidRDefault="00DC561E" w:rsidP="00DC561E">
            <w:pPr>
              <w:ind w:left="30" w:hanging="30"/>
              <w:contextualSpacing/>
            </w:pPr>
            <w:r w:rsidRPr="00827522">
              <w:t xml:space="preserve">The purpose of the paper is to </w:t>
            </w:r>
            <w:r w:rsidRPr="00827522">
              <w:rPr>
                <w:b/>
                <w:bCs/>
              </w:rPr>
              <w:t>advise</w:t>
            </w:r>
            <w:r w:rsidRPr="00827522">
              <w:t xml:space="preserve"> the Committee with the latest position against key strategic primary care published performance metrics.</w:t>
            </w:r>
          </w:p>
          <w:p w14:paraId="2BB6B0C4" w14:textId="2DA69901" w:rsidR="007417E4" w:rsidRDefault="007417E4" w:rsidP="007417E4">
            <w:pPr>
              <w:rPr>
                <w:bCs/>
                <w:sz w:val="24"/>
              </w:rPr>
            </w:pPr>
          </w:p>
        </w:tc>
      </w:tr>
      <w:tr w:rsidR="007417E4" w14:paraId="2B15C17D" w14:textId="77777777" w:rsidTr="00877C1C">
        <w:tc>
          <w:tcPr>
            <w:tcW w:w="9493"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DF996AA" w14:textId="77777777" w:rsidR="007417E4" w:rsidRDefault="007417E4" w:rsidP="007417E4">
            <w:pPr>
              <w:rPr>
                <w:b/>
                <w:sz w:val="24"/>
              </w:rPr>
            </w:pPr>
            <w:r>
              <w:rPr>
                <w:b/>
                <w:sz w:val="24"/>
              </w:rPr>
              <w:t>Executive Summary</w:t>
            </w:r>
          </w:p>
        </w:tc>
      </w:tr>
      <w:tr w:rsidR="00AB2343" w14:paraId="06B82484" w14:textId="77777777" w:rsidTr="00877C1C">
        <w:tc>
          <w:tcPr>
            <w:tcW w:w="9493" w:type="dxa"/>
            <w:gridSpan w:val="6"/>
            <w:tcBorders>
              <w:top w:val="single" w:sz="4" w:space="0" w:color="auto"/>
              <w:left w:val="single" w:sz="4" w:space="0" w:color="auto"/>
              <w:bottom w:val="single" w:sz="4" w:space="0" w:color="auto"/>
              <w:right w:val="single" w:sz="4" w:space="0" w:color="auto"/>
            </w:tcBorders>
          </w:tcPr>
          <w:p w14:paraId="340A566A" w14:textId="77777777" w:rsidR="00AB2343" w:rsidRPr="00827522" w:rsidRDefault="00AB2343" w:rsidP="00AB2343">
            <w:pPr>
              <w:spacing w:after="200" w:line="276" w:lineRule="auto"/>
              <w:jc w:val="both"/>
              <w:rPr>
                <w:bCs/>
              </w:rPr>
            </w:pPr>
            <w:r w:rsidRPr="00827522">
              <w:rPr>
                <w:bCs/>
              </w:rPr>
              <w:t>The May 2025 Integrated Primary Care Performance Report contains the most current performance metric data available at the time of publication.</w:t>
            </w:r>
          </w:p>
          <w:p w14:paraId="0BA1EF90" w14:textId="77777777" w:rsidR="00AB2343" w:rsidRPr="00827522" w:rsidRDefault="00AB2343" w:rsidP="00AB2343">
            <w:pPr>
              <w:spacing w:after="200" w:line="276" w:lineRule="auto"/>
              <w:jc w:val="both"/>
              <w:rPr>
                <w:bCs/>
              </w:rPr>
            </w:pPr>
            <w:r w:rsidRPr="00827522">
              <w:rPr>
                <w:bCs/>
              </w:rPr>
              <w:t>The report consists of a Summary and Benchmarking table on page 3, that provides a ‘snapshot’ overview of the ICBs current performance for the metrics, followed by a more detailed overview of each metric displayed on separate pages (page 4 onwards).</w:t>
            </w:r>
          </w:p>
          <w:p w14:paraId="5E700CA0" w14:textId="77777777" w:rsidR="00AB2343" w:rsidRPr="00827522" w:rsidRDefault="00AB2343" w:rsidP="00AB2343">
            <w:pPr>
              <w:spacing w:after="200" w:line="276" w:lineRule="auto"/>
              <w:jc w:val="both"/>
              <w:rPr>
                <w:bCs/>
              </w:rPr>
            </w:pPr>
            <w:r w:rsidRPr="00827522">
              <w:rPr>
                <w:bCs/>
              </w:rPr>
              <w:t xml:space="preserve">Due to resource pressures and sickness within the Primary Care Team it was not possible to provide an April report, hence this report focusing on two months data to include the missing month’s data.  It should be noted that despite the lack of an April 2025 report all performance data was reviewed to ensure no significant or unwarranted deterioration of performance had occurred. </w:t>
            </w:r>
          </w:p>
          <w:p w14:paraId="0BA14180" w14:textId="77777777" w:rsidR="00AB2343" w:rsidRPr="00827522" w:rsidRDefault="00AB2343" w:rsidP="00AB2343">
            <w:pPr>
              <w:pStyle w:val="Numberlist"/>
              <w:numPr>
                <w:ilvl w:val="0"/>
                <w:numId w:val="0"/>
              </w:numPr>
              <w:jc w:val="both"/>
              <w:rPr>
                <w:bCs/>
                <w:sz w:val="22"/>
              </w:rPr>
            </w:pPr>
            <w:r w:rsidRPr="00827522">
              <w:rPr>
                <w:bCs/>
                <w:sz w:val="22"/>
              </w:rPr>
              <w:t>May 2025 report, points of note:</w:t>
            </w:r>
          </w:p>
          <w:p w14:paraId="445A8A24" w14:textId="77777777" w:rsidR="00AB2343" w:rsidRPr="00827522" w:rsidRDefault="00AB2343" w:rsidP="0095231A">
            <w:pPr>
              <w:pStyle w:val="Numberlist"/>
              <w:numPr>
                <w:ilvl w:val="0"/>
                <w:numId w:val="10"/>
              </w:numPr>
              <w:spacing w:after="0" w:line="240" w:lineRule="auto"/>
              <w:jc w:val="both"/>
              <w:rPr>
                <w:bCs/>
                <w:sz w:val="22"/>
              </w:rPr>
            </w:pPr>
            <w:r w:rsidRPr="00827522">
              <w:rPr>
                <w:bCs/>
                <w:sz w:val="22"/>
              </w:rPr>
              <w:t>The number of general practice appointments increased in February by 27,825 and LSC’s cumulative total from April 2024 – February 2025 is now 191,243 above plan.</w:t>
            </w:r>
          </w:p>
          <w:p w14:paraId="60725B39" w14:textId="77777777" w:rsidR="00AB2343" w:rsidRPr="00827522" w:rsidRDefault="00AB2343" w:rsidP="0095231A">
            <w:pPr>
              <w:pStyle w:val="Numberlist"/>
              <w:numPr>
                <w:ilvl w:val="0"/>
                <w:numId w:val="10"/>
              </w:numPr>
              <w:spacing w:after="0" w:line="240" w:lineRule="auto"/>
              <w:jc w:val="both"/>
              <w:rPr>
                <w:bCs/>
                <w:sz w:val="22"/>
              </w:rPr>
            </w:pPr>
            <w:r w:rsidRPr="00827522">
              <w:rPr>
                <w:bCs/>
                <w:sz w:val="22"/>
              </w:rPr>
              <w:t>The Acute Respiratory Infection (ARI) Hub scheme ceased at the end of March delivering a total of 82,400 appointments (94% of its planned activity) and achieving its objectives of increasing capacity in the System, treating individuals with mild to moderate chest infections and reducing attendance at Accident &amp; Emergency departments.</w:t>
            </w:r>
          </w:p>
          <w:p w14:paraId="1E2272E0" w14:textId="77777777" w:rsidR="00AB2343" w:rsidRPr="00827522" w:rsidRDefault="00AB2343" w:rsidP="0095231A">
            <w:pPr>
              <w:pStyle w:val="Numberlist"/>
              <w:numPr>
                <w:ilvl w:val="0"/>
                <w:numId w:val="10"/>
              </w:numPr>
              <w:spacing w:after="0" w:line="240" w:lineRule="auto"/>
              <w:jc w:val="both"/>
              <w:rPr>
                <w:bCs/>
                <w:sz w:val="22"/>
              </w:rPr>
            </w:pPr>
            <w:r w:rsidRPr="00827522">
              <w:rPr>
                <w:bCs/>
                <w:sz w:val="22"/>
              </w:rPr>
              <w:t xml:space="preserve">Following a CQC review of quality at a practice within Chorley &amp; South Ribble, the practice has been upgraded to requires improvement from inadequate. </w:t>
            </w:r>
          </w:p>
          <w:p w14:paraId="2A9DB4B2" w14:textId="77777777" w:rsidR="00AB2343" w:rsidRPr="00827522" w:rsidRDefault="00AB2343" w:rsidP="0095231A">
            <w:pPr>
              <w:pStyle w:val="Numberlist"/>
              <w:numPr>
                <w:ilvl w:val="0"/>
                <w:numId w:val="10"/>
              </w:numPr>
              <w:spacing w:after="0" w:line="240" w:lineRule="auto"/>
              <w:jc w:val="both"/>
              <w:rPr>
                <w:bCs/>
                <w:sz w:val="22"/>
              </w:rPr>
            </w:pPr>
            <w:r w:rsidRPr="00827522">
              <w:rPr>
                <w:bCs/>
                <w:sz w:val="22"/>
              </w:rPr>
              <w:t xml:space="preserve">The units of dental activity delivered as a proportion of UDA’s reduced in January and February below planned levels. The cause of this is unclear but will be reviewed in greater detail when the finalised March activity data is available. </w:t>
            </w:r>
          </w:p>
          <w:p w14:paraId="7F29E8C7" w14:textId="77777777" w:rsidR="00AB2343" w:rsidRPr="00827522" w:rsidRDefault="00AB2343" w:rsidP="0095231A">
            <w:pPr>
              <w:pStyle w:val="Numberlist"/>
              <w:numPr>
                <w:ilvl w:val="0"/>
                <w:numId w:val="10"/>
              </w:numPr>
              <w:spacing w:after="0" w:line="240" w:lineRule="auto"/>
              <w:jc w:val="both"/>
              <w:rPr>
                <w:bCs/>
                <w:sz w:val="22"/>
              </w:rPr>
            </w:pPr>
            <w:r w:rsidRPr="00827522">
              <w:rPr>
                <w:bCs/>
                <w:sz w:val="22"/>
              </w:rPr>
              <w:t>January 2025 saw the highest number of Community Pharmacy clinical pathway consultations (8,966) delivered in LSC since the start of the service in January 2024, it is noted that activity levels have been starting to increase since November.</w:t>
            </w:r>
          </w:p>
          <w:p w14:paraId="26081746" w14:textId="77777777" w:rsidR="00827522" w:rsidRPr="00827522" w:rsidRDefault="00827522" w:rsidP="00AB2343">
            <w:pPr>
              <w:spacing w:after="200" w:line="276" w:lineRule="auto"/>
              <w:jc w:val="both"/>
              <w:rPr>
                <w:bCs/>
              </w:rPr>
            </w:pPr>
          </w:p>
          <w:p w14:paraId="32CA65C0" w14:textId="34EDE8C8" w:rsidR="00AB2343" w:rsidRPr="00827522" w:rsidRDefault="00AB2343" w:rsidP="00AB2343">
            <w:pPr>
              <w:spacing w:after="200" w:line="276" w:lineRule="auto"/>
              <w:jc w:val="both"/>
              <w:rPr>
                <w:bCs/>
              </w:rPr>
            </w:pPr>
            <w:r w:rsidRPr="00827522">
              <w:rPr>
                <w:bCs/>
              </w:rPr>
              <w:lastRenderedPageBreak/>
              <w:t>Over the coming months the reported metrics and content of the IPCPR report will change to ensure:</w:t>
            </w:r>
          </w:p>
          <w:p w14:paraId="2880D363" w14:textId="77777777" w:rsidR="0095231A" w:rsidRPr="00827522" w:rsidRDefault="0095231A" w:rsidP="0095231A">
            <w:pPr>
              <w:numPr>
                <w:ilvl w:val="0"/>
                <w:numId w:val="10"/>
              </w:numPr>
              <w:rPr>
                <w:rFonts w:eastAsia="Times New Roman"/>
              </w:rPr>
            </w:pPr>
            <w:r w:rsidRPr="00827522">
              <w:rPr>
                <w:rFonts w:eastAsia="Times New Roman"/>
                <w:lang w:val="en-US"/>
              </w:rPr>
              <w:t>inclusion and oversight of the ICB's new general practice Local Enhanced Services (LES) delivery data from July 2025.  The inclusion of the LES data will evolve over the next few months; further details of the monitoring and reporting arrangements are outlined in the appended paper “</w:t>
            </w:r>
            <w:r w:rsidRPr="00827522">
              <w:rPr>
                <w:rFonts w:eastAsia="Times New Roman"/>
              </w:rPr>
              <w:t>Local Enhanced Service Delivery Monitoring and Reporting Arrangements” which has been received by the Primary Care Delivery Unit and subsequently the Incident Management Team (IMT) on 3 June 2025.</w:t>
            </w:r>
          </w:p>
          <w:p w14:paraId="63EA7741" w14:textId="77777777" w:rsidR="00827522" w:rsidRPr="00827522" w:rsidRDefault="00827522" w:rsidP="00827522">
            <w:pPr>
              <w:ind w:left="720"/>
              <w:rPr>
                <w:rFonts w:eastAsia="Times New Roman"/>
              </w:rPr>
            </w:pPr>
          </w:p>
          <w:p w14:paraId="1C6767F9" w14:textId="77777777" w:rsidR="00527734" w:rsidRPr="00827522" w:rsidRDefault="00AB2343" w:rsidP="0095231A">
            <w:pPr>
              <w:numPr>
                <w:ilvl w:val="0"/>
                <w:numId w:val="10"/>
              </w:numPr>
              <w:spacing w:after="200" w:line="276" w:lineRule="auto"/>
              <w:jc w:val="both"/>
              <w:rPr>
                <w:bCs/>
              </w:rPr>
            </w:pPr>
            <w:r w:rsidRPr="00827522">
              <w:rPr>
                <w:bCs/>
              </w:rPr>
              <w:t xml:space="preserve">alignment to new ICB governance arrangements. </w:t>
            </w:r>
          </w:p>
          <w:p w14:paraId="7CACA80E" w14:textId="731C3698" w:rsidR="00AB2343" w:rsidRPr="00827522" w:rsidRDefault="00AB2343" w:rsidP="0095231A">
            <w:pPr>
              <w:numPr>
                <w:ilvl w:val="0"/>
                <w:numId w:val="10"/>
              </w:numPr>
              <w:spacing w:after="200" w:line="276" w:lineRule="auto"/>
              <w:jc w:val="both"/>
              <w:rPr>
                <w:bCs/>
              </w:rPr>
            </w:pPr>
            <w:r w:rsidRPr="00827522">
              <w:rPr>
                <w:bCs/>
                <w:lang w:val="en-US"/>
              </w:rPr>
              <w:t>alignment and consideration of the new national GP Dashboard, increased national focus for ICB's to reduce variation, and a review of the primary care strategic metrics.</w:t>
            </w:r>
          </w:p>
        </w:tc>
      </w:tr>
      <w:tr w:rsidR="00AB2343" w14:paraId="5B09DB04" w14:textId="77777777" w:rsidTr="00877C1C">
        <w:tc>
          <w:tcPr>
            <w:tcW w:w="9493"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15D8024" w14:textId="37833F9D" w:rsidR="00AB2343" w:rsidRDefault="00AB2343" w:rsidP="00AB2343">
            <w:pPr>
              <w:rPr>
                <w:b/>
                <w:sz w:val="24"/>
              </w:rPr>
            </w:pPr>
            <w:r>
              <w:rPr>
                <w:b/>
                <w:sz w:val="24"/>
              </w:rPr>
              <w:lastRenderedPageBreak/>
              <w:t>Recommendations</w:t>
            </w:r>
          </w:p>
        </w:tc>
      </w:tr>
      <w:tr w:rsidR="00AB2343" w14:paraId="13E90F63" w14:textId="77777777" w:rsidTr="00877C1C">
        <w:tc>
          <w:tcPr>
            <w:tcW w:w="9493" w:type="dxa"/>
            <w:gridSpan w:val="6"/>
            <w:tcBorders>
              <w:top w:val="single" w:sz="4" w:space="0" w:color="auto"/>
              <w:left w:val="single" w:sz="4" w:space="0" w:color="auto"/>
              <w:bottom w:val="single" w:sz="4" w:space="0" w:color="auto"/>
              <w:right w:val="single" w:sz="4" w:space="0" w:color="auto"/>
            </w:tcBorders>
          </w:tcPr>
          <w:p w14:paraId="76A47D30" w14:textId="77777777" w:rsidR="00AB2343" w:rsidRPr="00827522" w:rsidRDefault="00AB2343" w:rsidP="00AB2343">
            <w:r w:rsidRPr="00827522">
              <w:t>The Committee is asked to:</w:t>
            </w:r>
          </w:p>
          <w:p w14:paraId="1F638C55" w14:textId="77777777" w:rsidR="00AB2343" w:rsidRPr="00827522" w:rsidRDefault="00AB2343" w:rsidP="00AB2343">
            <w:pPr>
              <w:ind w:left="425" w:hanging="425"/>
            </w:pPr>
            <w:r w:rsidRPr="00827522">
              <w:t>•</w:t>
            </w:r>
            <w:r w:rsidRPr="00827522">
              <w:rPr>
                <w:szCs w:val="20"/>
              </w:rPr>
              <w:t xml:space="preserve">     </w:t>
            </w:r>
            <w:r w:rsidRPr="00827522">
              <w:t>Note achievement against key performance indicators for Lancashire and South Cumbria.</w:t>
            </w:r>
          </w:p>
          <w:p w14:paraId="2CA93219" w14:textId="3512A9F3" w:rsidR="00AB2343" w:rsidRPr="00827522" w:rsidRDefault="00AB2343" w:rsidP="00AB2343">
            <w:pPr>
              <w:ind w:left="425" w:hanging="425"/>
            </w:pPr>
            <w:r w:rsidRPr="00827522">
              <w:t>•</w:t>
            </w:r>
            <w:r w:rsidRPr="00827522">
              <w:tab/>
              <w:t>Review and support the actions being undertaken to improve performance against metrics in this report.</w:t>
            </w:r>
          </w:p>
          <w:p w14:paraId="2423FE8C" w14:textId="77777777" w:rsidR="00AB2343" w:rsidRDefault="00AB2343" w:rsidP="00AB2343">
            <w:pPr>
              <w:rPr>
                <w:bCs/>
                <w:sz w:val="24"/>
              </w:rPr>
            </w:pPr>
          </w:p>
        </w:tc>
      </w:tr>
      <w:tr w:rsidR="00AB2343" w14:paraId="6F9534ED" w14:textId="77777777" w:rsidTr="00877C1C">
        <w:tc>
          <w:tcPr>
            <w:tcW w:w="9493"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F000A3A" w14:textId="5669ED3D" w:rsidR="00AB2343" w:rsidRDefault="00AB2343" w:rsidP="00AB2343">
            <w:pPr>
              <w:rPr>
                <w:b/>
                <w:sz w:val="24"/>
              </w:rPr>
            </w:pPr>
            <w:r>
              <w:rPr>
                <w:b/>
                <w:sz w:val="24"/>
              </w:rPr>
              <w:t xml:space="preserve">Governance and reporting* </w:t>
            </w:r>
            <w:r>
              <w:rPr>
                <w:sz w:val="24"/>
              </w:rPr>
              <w:t>(list other forums that have discussed this paper and any other engagement that has taken place)</w:t>
            </w:r>
          </w:p>
        </w:tc>
      </w:tr>
      <w:tr w:rsidR="00AB2343" w14:paraId="61E8C6B3" w14:textId="77777777" w:rsidTr="00877C1C">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1C4AA1" w14:textId="77777777" w:rsidR="00AB2343" w:rsidRDefault="00AB2343" w:rsidP="00AB2343">
            <w:pPr>
              <w:rPr>
                <w:b/>
                <w:sz w:val="24"/>
              </w:rPr>
            </w:pPr>
            <w:r>
              <w:rPr>
                <w:b/>
                <w:sz w:val="24"/>
              </w:rPr>
              <w:t>Meeting</w:t>
            </w:r>
          </w:p>
        </w:tc>
        <w:tc>
          <w:tcPr>
            <w:tcW w:w="3048"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3A67D6EF" w14:textId="77777777" w:rsidR="00AB2343" w:rsidRDefault="00AB2343" w:rsidP="00AB2343">
            <w:pPr>
              <w:rPr>
                <w:b/>
                <w:sz w:val="24"/>
              </w:rPr>
            </w:pPr>
            <w:r>
              <w:rPr>
                <w:b/>
                <w:sz w:val="24"/>
              </w:rPr>
              <w:t>Date</w:t>
            </w:r>
          </w:p>
        </w:tc>
        <w:tc>
          <w:tcPr>
            <w:tcW w:w="34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AD5D80" w14:textId="77777777" w:rsidR="00AB2343" w:rsidRDefault="00AB2343" w:rsidP="00AB2343">
            <w:pPr>
              <w:rPr>
                <w:b/>
                <w:sz w:val="24"/>
              </w:rPr>
            </w:pPr>
            <w:r>
              <w:rPr>
                <w:b/>
                <w:sz w:val="24"/>
              </w:rPr>
              <w:t>Outcomes</w:t>
            </w:r>
          </w:p>
        </w:tc>
      </w:tr>
      <w:tr w:rsidR="00AB2343" w14:paraId="0CC9C155" w14:textId="77777777" w:rsidTr="00877C1C">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tcPr>
          <w:p w14:paraId="3A1B9AA4" w14:textId="11A68F53" w:rsidR="00AB2343" w:rsidRPr="00827522" w:rsidRDefault="00AB2343" w:rsidP="00AB2343">
            <w:pPr>
              <w:rPr>
                <w:bCs/>
                <w:szCs w:val="20"/>
              </w:rPr>
            </w:pPr>
            <w:r w:rsidRPr="00827522">
              <w:rPr>
                <w:bCs/>
                <w:szCs w:val="20"/>
              </w:rPr>
              <w:t xml:space="preserve">Primary Care </w:t>
            </w:r>
            <w:r w:rsidR="00FF064C" w:rsidRPr="00827522">
              <w:rPr>
                <w:bCs/>
                <w:szCs w:val="20"/>
              </w:rPr>
              <w:t>O</w:t>
            </w:r>
            <w:r w:rsidRPr="00827522">
              <w:rPr>
                <w:bCs/>
                <w:szCs w:val="20"/>
              </w:rPr>
              <w:t>perational</w:t>
            </w:r>
            <w:r w:rsidR="00FF064C" w:rsidRPr="00827522">
              <w:rPr>
                <w:bCs/>
                <w:szCs w:val="20"/>
              </w:rPr>
              <w:t xml:space="preserve"> Services</w:t>
            </w:r>
            <w:r w:rsidRPr="00827522">
              <w:rPr>
                <w:bCs/>
                <w:szCs w:val="20"/>
              </w:rPr>
              <w:t xml:space="preserve"> Group</w:t>
            </w:r>
          </w:p>
        </w:tc>
        <w:tc>
          <w:tcPr>
            <w:tcW w:w="304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00868B5" w14:textId="24FCD4E7" w:rsidR="00AB2343" w:rsidRPr="00827522" w:rsidRDefault="00FF064C" w:rsidP="00AB2343">
            <w:pPr>
              <w:rPr>
                <w:bCs/>
                <w:szCs w:val="20"/>
              </w:rPr>
            </w:pPr>
            <w:r w:rsidRPr="00827522">
              <w:rPr>
                <w:bCs/>
                <w:szCs w:val="20"/>
              </w:rPr>
              <w:t>29.05.25</w:t>
            </w:r>
          </w:p>
        </w:tc>
        <w:tc>
          <w:tcPr>
            <w:tcW w:w="3473" w:type="dxa"/>
            <w:tcBorders>
              <w:top w:val="single" w:sz="4" w:space="0" w:color="auto"/>
              <w:left w:val="single" w:sz="4" w:space="0" w:color="auto"/>
              <w:bottom w:val="single" w:sz="4" w:space="0" w:color="auto"/>
              <w:right w:val="single" w:sz="4" w:space="0" w:color="auto"/>
            </w:tcBorders>
            <w:shd w:val="clear" w:color="auto" w:fill="FFFFFF" w:themeFill="background1"/>
          </w:tcPr>
          <w:p w14:paraId="6DA5CD81" w14:textId="71BC3A58" w:rsidR="00AB2343" w:rsidRPr="00827522" w:rsidRDefault="009F5840" w:rsidP="00AB2343">
            <w:pPr>
              <w:rPr>
                <w:bCs/>
                <w:szCs w:val="20"/>
              </w:rPr>
            </w:pPr>
            <w:r w:rsidRPr="00827522">
              <w:rPr>
                <w:bCs/>
                <w:szCs w:val="20"/>
              </w:rPr>
              <w:t xml:space="preserve">Paper was </w:t>
            </w:r>
            <w:r w:rsidR="005822EA" w:rsidRPr="00827522">
              <w:rPr>
                <w:bCs/>
                <w:szCs w:val="20"/>
              </w:rPr>
              <w:t>reviewed.</w:t>
            </w:r>
          </w:p>
        </w:tc>
      </w:tr>
      <w:tr w:rsidR="00AB2343" w14:paraId="365973AE" w14:textId="77777777" w:rsidTr="00877C1C">
        <w:tc>
          <w:tcPr>
            <w:tcW w:w="9493"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30A89E9" w14:textId="77777777" w:rsidR="00AB2343" w:rsidRDefault="00AB2343" w:rsidP="00AB2343">
            <w:pPr>
              <w:rPr>
                <w:b/>
                <w:sz w:val="24"/>
              </w:rPr>
            </w:pPr>
            <w:r>
              <w:rPr>
                <w:b/>
                <w:sz w:val="24"/>
              </w:rPr>
              <w:t>Conflicts of interest identified</w:t>
            </w:r>
          </w:p>
        </w:tc>
      </w:tr>
      <w:tr w:rsidR="00AB2343" w14:paraId="421BAD0D" w14:textId="77777777" w:rsidTr="00877C1C">
        <w:tc>
          <w:tcPr>
            <w:tcW w:w="949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0B7B15B" w14:textId="77777777" w:rsidR="00AB2343" w:rsidRDefault="00AB2343" w:rsidP="00AB2343">
            <w:pPr>
              <w:rPr>
                <w:b/>
                <w:sz w:val="24"/>
              </w:rPr>
            </w:pPr>
          </w:p>
        </w:tc>
      </w:tr>
      <w:tr w:rsidR="00AB2343" w14:paraId="0A69A08F" w14:textId="77777777" w:rsidTr="00877C1C">
        <w:tc>
          <w:tcPr>
            <w:tcW w:w="9493"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ACAA005" w14:textId="77777777" w:rsidR="00AB2343" w:rsidRDefault="00AB2343" w:rsidP="00AB2343">
            <w:pPr>
              <w:rPr>
                <w:b/>
                <w:sz w:val="24"/>
              </w:rPr>
            </w:pPr>
            <w:r>
              <w:rPr>
                <w:b/>
                <w:sz w:val="24"/>
              </w:rPr>
              <w:t xml:space="preserve">Implications </w:t>
            </w:r>
          </w:p>
        </w:tc>
      </w:tr>
      <w:tr w:rsidR="00AB2343" w14:paraId="5B1F35E8" w14:textId="77777777" w:rsidTr="00877C1C">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413F08" w14:textId="77777777" w:rsidR="00AB2343" w:rsidRDefault="00AB2343" w:rsidP="00AB2343">
            <w:pPr>
              <w:rPr>
                <w:b/>
                <w:i/>
                <w:sz w:val="24"/>
              </w:rPr>
            </w:pPr>
            <w:r>
              <w:rPr>
                <w:i/>
                <w:sz w:val="24"/>
              </w:rPr>
              <w:t>If yes, please provide a brief risk description and reference number</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1BC869" w14:textId="77777777" w:rsidR="00AB2343" w:rsidRDefault="00AB2343" w:rsidP="00AB2343">
            <w:pPr>
              <w:rPr>
                <w:b/>
                <w:sz w:val="24"/>
              </w:rPr>
            </w:pPr>
            <w:r>
              <w:rPr>
                <w:b/>
                <w:sz w:val="24"/>
              </w:rPr>
              <w:t>YES</w:t>
            </w: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E427F5" w14:textId="77777777" w:rsidR="00AB2343" w:rsidRDefault="00AB2343" w:rsidP="00AB2343">
            <w:pPr>
              <w:rPr>
                <w:b/>
                <w:sz w:val="24"/>
              </w:rPr>
            </w:pPr>
            <w:r>
              <w:rPr>
                <w:b/>
                <w:sz w:val="24"/>
              </w:rPr>
              <w:t>NO</w:t>
            </w: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DDA43E" w14:textId="77777777" w:rsidR="00AB2343" w:rsidRDefault="00AB2343" w:rsidP="00AB2343">
            <w:pPr>
              <w:rPr>
                <w:b/>
                <w:sz w:val="24"/>
              </w:rPr>
            </w:pPr>
            <w:r>
              <w:rPr>
                <w:b/>
                <w:sz w:val="24"/>
              </w:rPr>
              <w:t>N/A</w:t>
            </w:r>
          </w:p>
        </w:tc>
        <w:tc>
          <w:tcPr>
            <w:tcW w:w="437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FF2A7E1" w14:textId="77777777" w:rsidR="00AB2343" w:rsidRDefault="00AB2343" w:rsidP="00AB2343">
            <w:pPr>
              <w:rPr>
                <w:b/>
                <w:sz w:val="24"/>
              </w:rPr>
            </w:pPr>
            <w:r>
              <w:rPr>
                <w:b/>
                <w:sz w:val="24"/>
              </w:rPr>
              <w:t>Comments</w:t>
            </w:r>
          </w:p>
        </w:tc>
      </w:tr>
      <w:tr w:rsidR="00E4149B" w14:paraId="11C564F5" w14:textId="77777777" w:rsidTr="00877C1C">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63F6F2" w14:textId="77777777" w:rsidR="00E4149B" w:rsidRDefault="00E4149B" w:rsidP="00E4149B">
            <w:pPr>
              <w:shd w:val="clear" w:color="auto" w:fill="FFFFFF" w:themeFill="background1"/>
              <w:rPr>
                <w:sz w:val="24"/>
              </w:rPr>
            </w:pPr>
            <w:r>
              <w:rPr>
                <w:sz w:val="24"/>
              </w:rPr>
              <w:t>Quality impact assessment completed</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310590CF" w14:textId="24FFF432" w:rsidR="00E4149B" w:rsidRDefault="00E4149B" w:rsidP="00E4149B">
            <w:pPr>
              <w:shd w:val="clear" w:color="auto" w:fill="FFFFFF" w:themeFill="background1"/>
              <w:rPr>
                <w:sz w:val="24"/>
              </w:rPr>
            </w:pPr>
            <w:r w:rsidRPr="001B7502">
              <w:rPr>
                <w:b/>
                <w:szCs w:val="24"/>
              </w:rPr>
              <w:sym w:font="Wingdings 2" w:char="F050"/>
            </w: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3D912872" w14:textId="77777777" w:rsidR="00E4149B" w:rsidRDefault="00E4149B" w:rsidP="00E4149B">
            <w:pPr>
              <w:shd w:val="clear" w:color="auto" w:fill="FFFFFF" w:themeFill="background1"/>
              <w:rPr>
                <w:sz w:val="24"/>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04C96FB0" w14:textId="71F3AB2B" w:rsidR="00E4149B" w:rsidRDefault="00E4149B" w:rsidP="00E4149B">
            <w:pPr>
              <w:shd w:val="clear" w:color="auto" w:fill="FFFFFF" w:themeFill="background1"/>
              <w:rPr>
                <w:sz w:val="24"/>
              </w:rPr>
            </w:pPr>
          </w:p>
        </w:tc>
        <w:tc>
          <w:tcPr>
            <w:tcW w:w="43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CE7759" w14:textId="77777777" w:rsidR="00E4149B" w:rsidRDefault="00E4149B" w:rsidP="00E4149B">
            <w:pPr>
              <w:shd w:val="clear" w:color="auto" w:fill="FFFFFF" w:themeFill="background1"/>
              <w:rPr>
                <w:sz w:val="24"/>
              </w:rPr>
            </w:pPr>
          </w:p>
        </w:tc>
      </w:tr>
      <w:tr w:rsidR="00E4149B" w14:paraId="254FF2B9" w14:textId="77777777" w:rsidTr="00877C1C">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BEB364" w14:textId="77777777" w:rsidR="00E4149B" w:rsidRDefault="00E4149B" w:rsidP="00E4149B">
            <w:pPr>
              <w:shd w:val="clear" w:color="auto" w:fill="FFFFFF" w:themeFill="background1"/>
              <w:rPr>
                <w:sz w:val="24"/>
              </w:rPr>
            </w:pPr>
            <w:r>
              <w:rPr>
                <w:sz w:val="24"/>
              </w:rPr>
              <w:t>Equality impact assessment completed</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1AF4D980" w14:textId="0A47D9B1" w:rsidR="00E4149B" w:rsidRDefault="00E4149B" w:rsidP="00E4149B">
            <w:pPr>
              <w:shd w:val="clear" w:color="auto" w:fill="FFFFFF" w:themeFill="background1"/>
              <w:rPr>
                <w:sz w:val="24"/>
              </w:rPr>
            </w:pPr>
            <w:r w:rsidRPr="001B7502">
              <w:rPr>
                <w:b/>
                <w:szCs w:val="24"/>
              </w:rPr>
              <w:sym w:font="Wingdings 2" w:char="F050"/>
            </w: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3E48B2A1" w14:textId="77777777" w:rsidR="00E4149B" w:rsidRDefault="00E4149B" w:rsidP="00E4149B">
            <w:pPr>
              <w:shd w:val="clear" w:color="auto" w:fill="FFFFFF" w:themeFill="background1"/>
              <w:rPr>
                <w:sz w:val="24"/>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05F9ADFF" w14:textId="2BFA7267" w:rsidR="00E4149B" w:rsidRDefault="00E4149B" w:rsidP="00E4149B">
            <w:pPr>
              <w:shd w:val="clear" w:color="auto" w:fill="FFFFFF" w:themeFill="background1"/>
              <w:rPr>
                <w:sz w:val="24"/>
              </w:rPr>
            </w:pPr>
          </w:p>
        </w:tc>
        <w:tc>
          <w:tcPr>
            <w:tcW w:w="43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94CB81" w14:textId="77777777" w:rsidR="00E4149B" w:rsidRDefault="00E4149B" w:rsidP="00E4149B">
            <w:pPr>
              <w:shd w:val="clear" w:color="auto" w:fill="FFFFFF" w:themeFill="background1"/>
              <w:rPr>
                <w:sz w:val="24"/>
              </w:rPr>
            </w:pPr>
          </w:p>
        </w:tc>
      </w:tr>
      <w:tr w:rsidR="00E4149B" w14:paraId="66B5C93F" w14:textId="77777777" w:rsidTr="00877C1C">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1F7B67" w14:textId="77777777" w:rsidR="00E4149B" w:rsidRDefault="00E4149B" w:rsidP="00E4149B">
            <w:pPr>
              <w:shd w:val="clear" w:color="auto" w:fill="FFFFFF" w:themeFill="background1"/>
              <w:rPr>
                <w:sz w:val="24"/>
              </w:rPr>
            </w:pPr>
            <w:r>
              <w:rPr>
                <w:sz w:val="24"/>
              </w:rPr>
              <w:t>Privacy impact assessment completed</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5DCDC9E0" w14:textId="77777777" w:rsidR="00E4149B" w:rsidRDefault="00E4149B" w:rsidP="00E4149B">
            <w:pPr>
              <w:shd w:val="clear" w:color="auto" w:fill="FFFFFF" w:themeFill="background1"/>
              <w:rPr>
                <w:sz w:val="24"/>
              </w:rPr>
            </w:pP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3AC67DB4" w14:textId="77777777" w:rsidR="00E4149B" w:rsidRDefault="00E4149B" w:rsidP="00E4149B">
            <w:pPr>
              <w:shd w:val="clear" w:color="auto" w:fill="FFFFFF" w:themeFill="background1"/>
              <w:rPr>
                <w:sz w:val="24"/>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6BD1285F" w14:textId="22C5AA89" w:rsidR="00E4149B" w:rsidRDefault="00E4149B" w:rsidP="00E4149B">
            <w:pPr>
              <w:shd w:val="clear" w:color="auto" w:fill="FFFFFF" w:themeFill="background1"/>
              <w:rPr>
                <w:sz w:val="24"/>
              </w:rPr>
            </w:pPr>
            <w:r w:rsidRPr="008E3A0A">
              <w:rPr>
                <w:b/>
                <w:szCs w:val="24"/>
              </w:rPr>
              <w:sym w:font="Wingdings 2" w:char="F050"/>
            </w:r>
          </w:p>
        </w:tc>
        <w:tc>
          <w:tcPr>
            <w:tcW w:w="43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06B760" w14:textId="77777777" w:rsidR="00E4149B" w:rsidRDefault="00E4149B" w:rsidP="00E4149B">
            <w:pPr>
              <w:shd w:val="clear" w:color="auto" w:fill="FFFFFF" w:themeFill="background1"/>
              <w:rPr>
                <w:sz w:val="24"/>
              </w:rPr>
            </w:pPr>
          </w:p>
        </w:tc>
      </w:tr>
      <w:tr w:rsidR="00E4149B" w14:paraId="1FE14D43" w14:textId="77777777" w:rsidTr="00877C1C">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F65AE3" w14:textId="77777777" w:rsidR="00E4149B" w:rsidRDefault="00E4149B" w:rsidP="00E4149B">
            <w:pPr>
              <w:shd w:val="clear" w:color="auto" w:fill="FFFFFF" w:themeFill="background1"/>
              <w:rPr>
                <w:sz w:val="24"/>
              </w:rPr>
            </w:pPr>
            <w:r>
              <w:rPr>
                <w:sz w:val="24"/>
              </w:rPr>
              <w:t>Financial impact assessment completed</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1409B0FA" w14:textId="77777777" w:rsidR="00E4149B" w:rsidRDefault="00E4149B" w:rsidP="00E4149B">
            <w:pPr>
              <w:shd w:val="clear" w:color="auto" w:fill="FFFFFF" w:themeFill="background1"/>
              <w:rPr>
                <w:sz w:val="24"/>
              </w:rPr>
            </w:pP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52D7199F" w14:textId="77777777" w:rsidR="00E4149B" w:rsidRDefault="00E4149B" w:rsidP="00E4149B">
            <w:pPr>
              <w:shd w:val="clear" w:color="auto" w:fill="FFFFFF" w:themeFill="background1"/>
              <w:rPr>
                <w:sz w:val="24"/>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20FEC873" w14:textId="142C0C3C" w:rsidR="00E4149B" w:rsidRDefault="00E4149B" w:rsidP="00E4149B">
            <w:pPr>
              <w:shd w:val="clear" w:color="auto" w:fill="FFFFFF" w:themeFill="background1"/>
              <w:rPr>
                <w:sz w:val="24"/>
              </w:rPr>
            </w:pPr>
            <w:r w:rsidRPr="008E3A0A">
              <w:rPr>
                <w:b/>
                <w:szCs w:val="24"/>
              </w:rPr>
              <w:sym w:font="Wingdings 2" w:char="F050"/>
            </w:r>
          </w:p>
        </w:tc>
        <w:tc>
          <w:tcPr>
            <w:tcW w:w="43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5C9587" w14:textId="77777777" w:rsidR="00E4149B" w:rsidRDefault="00E4149B" w:rsidP="00E4149B">
            <w:pPr>
              <w:shd w:val="clear" w:color="auto" w:fill="FFFFFF" w:themeFill="background1"/>
              <w:rPr>
                <w:sz w:val="24"/>
              </w:rPr>
            </w:pPr>
          </w:p>
        </w:tc>
      </w:tr>
      <w:tr w:rsidR="004163ED" w14:paraId="5C4FFB60" w14:textId="77777777" w:rsidTr="00904156">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5DC86D" w14:textId="77777777" w:rsidR="004163ED" w:rsidRDefault="004163ED" w:rsidP="004163ED">
            <w:pPr>
              <w:shd w:val="clear" w:color="auto" w:fill="FFFFFF" w:themeFill="background1"/>
              <w:rPr>
                <w:sz w:val="24"/>
              </w:rPr>
            </w:pPr>
            <w:r>
              <w:rPr>
                <w:sz w:val="24"/>
              </w:rPr>
              <w:t>Associated risks</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25DEC335" w14:textId="788BE759" w:rsidR="004163ED" w:rsidRDefault="004163ED" w:rsidP="004163ED">
            <w:pPr>
              <w:shd w:val="clear" w:color="auto" w:fill="FFFFFF" w:themeFill="background1"/>
              <w:rPr>
                <w:sz w:val="24"/>
              </w:rPr>
            </w:pPr>
            <w:r w:rsidRPr="00076B90">
              <w:rPr>
                <w:b/>
                <w:szCs w:val="24"/>
              </w:rPr>
              <w:sym w:font="Wingdings 2" w:char="F050"/>
            </w: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6DF39846" w14:textId="77777777" w:rsidR="004163ED" w:rsidRDefault="004163ED" w:rsidP="004163ED">
            <w:pPr>
              <w:shd w:val="clear" w:color="auto" w:fill="FFFFFF" w:themeFill="background1"/>
              <w:rPr>
                <w:sz w:val="24"/>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3525B555" w14:textId="685F1F49" w:rsidR="004163ED" w:rsidRDefault="004163ED" w:rsidP="004163ED">
            <w:pPr>
              <w:shd w:val="clear" w:color="auto" w:fill="FFFFFF" w:themeFill="background1"/>
              <w:rPr>
                <w:sz w:val="24"/>
              </w:rPr>
            </w:pPr>
          </w:p>
        </w:tc>
        <w:tc>
          <w:tcPr>
            <w:tcW w:w="4375" w:type="dxa"/>
            <w:gridSpan w:val="2"/>
            <w:shd w:val="clear" w:color="auto" w:fill="FFFFFF" w:themeFill="background1"/>
          </w:tcPr>
          <w:p w14:paraId="02AA5A1F" w14:textId="41E6D249" w:rsidR="004163ED" w:rsidRDefault="004163ED" w:rsidP="004163ED">
            <w:pPr>
              <w:shd w:val="clear" w:color="auto" w:fill="FFFFFF" w:themeFill="background1"/>
              <w:rPr>
                <w:sz w:val="24"/>
              </w:rPr>
            </w:pPr>
            <w:r w:rsidRPr="00C605E6">
              <w:rPr>
                <w:szCs w:val="24"/>
              </w:rPr>
              <w:t>The risks which could affect metric performance and delivery are detailed within the report</w:t>
            </w:r>
            <w:r>
              <w:rPr>
                <w:szCs w:val="24"/>
              </w:rPr>
              <w:t>.</w:t>
            </w:r>
          </w:p>
        </w:tc>
      </w:tr>
      <w:tr w:rsidR="004163ED" w14:paraId="4BD30B52" w14:textId="77777777" w:rsidTr="00904156">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6B80DA" w14:textId="77777777" w:rsidR="004163ED" w:rsidRDefault="004163ED" w:rsidP="004163ED">
            <w:pPr>
              <w:shd w:val="clear" w:color="auto" w:fill="FFFFFF" w:themeFill="background1"/>
              <w:rPr>
                <w:sz w:val="24"/>
              </w:rPr>
            </w:pPr>
            <w:r>
              <w:rPr>
                <w:sz w:val="24"/>
              </w:rPr>
              <w:t>Are associated risks detailed on the ICS Risk Register?</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4E3ACFAF" w14:textId="2A37444F" w:rsidR="004163ED" w:rsidRDefault="004163ED" w:rsidP="004163ED">
            <w:pPr>
              <w:shd w:val="clear" w:color="auto" w:fill="FFFFFF" w:themeFill="background1"/>
              <w:rPr>
                <w:sz w:val="24"/>
              </w:rPr>
            </w:pPr>
            <w:r w:rsidRPr="00076B90">
              <w:rPr>
                <w:b/>
                <w:szCs w:val="24"/>
              </w:rPr>
              <w:sym w:font="Wingdings 2" w:char="F050"/>
            </w: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413E5806" w14:textId="77777777" w:rsidR="004163ED" w:rsidRDefault="004163ED" w:rsidP="004163ED">
            <w:pPr>
              <w:shd w:val="clear" w:color="auto" w:fill="FFFFFF" w:themeFill="background1"/>
              <w:rPr>
                <w:sz w:val="24"/>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0FC3A3CB" w14:textId="2440305A" w:rsidR="004163ED" w:rsidRDefault="004163ED" w:rsidP="004163ED">
            <w:pPr>
              <w:shd w:val="clear" w:color="auto" w:fill="FFFFFF" w:themeFill="background1"/>
              <w:rPr>
                <w:sz w:val="24"/>
              </w:rPr>
            </w:pPr>
          </w:p>
        </w:tc>
        <w:tc>
          <w:tcPr>
            <w:tcW w:w="4375" w:type="dxa"/>
            <w:gridSpan w:val="2"/>
            <w:shd w:val="clear" w:color="auto" w:fill="FFFFFF" w:themeFill="background1"/>
          </w:tcPr>
          <w:p w14:paraId="5F6F4C68" w14:textId="4F1E1A6D" w:rsidR="004163ED" w:rsidRDefault="004163ED" w:rsidP="004163ED">
            <w:pPr>
              <w:shd w:val="clear" w:color="auto" w:fill="FFFFFF" w:themeFill="background1"/>
              <w:rPr>
                <w:sz w:val="24"/>
              </w:rPr>
            </w:pPr>
            <w:r>
              <w:rPr>
                <w:szCs w:val="24"/>
              </w:rPr>
              <w:t>Where applicable.</w:t>
            </w:r>
          </w:p>
        </w:tc>
      </w:tr>
      <w:tr w:rsidR="004163ED" w14:paraId="2D3C6CF9" w14:textId="77777777" w:rsidTr="00877C1C">
        <w:tc>
          <w:tcPr>
            <w:tcW w:w="2972" w:type="dxa"/>
            <w:tcBorders>
              <w:top w:val="single" w:sz="4" w:space="0" w:color="auto"/>
              <w:left w:val="nil"/>
              <w:bottom w:val="single" w:sz="4" w:space="0" w:color="auto"/>
              <w:right w:val="nil"/>
            </w:tcBorders>
            <w:shd w:val="clear" w:color="auto" w:fill="FFFFFF" w:themeFill="background1"/>
          </w:tcPr>
          <w:p w14:paraId="7A6624F3" w14:textId="77777777" w:rsidR="004163ED" w:rsidRDefault="004163ED" w:rsidP="004163ED">
            <w:pPr>
              <w:rPr>
                <w:b/>
                <w:sz w:val="24"/>
              </w:rPr>
            </w:pPr>
          </w:p>
        </w:tc>
        <w:tc>
          <w:tcPr>
            <w:tcW w:w="6521" w:type="dxa"/>
            <w:gridSpan w:val="5"/>
            <w:tcBorders>
              <w:top w:val="single" w:sz="4" w:space="0" w:color="auto"/>
              <w:left w:val="nil"/>
              <w:bottom w:val="single" w:sz="4" w:space="0" w:color="auto"/>
              <w:right w:val="nil"/>
            </w:tcBorders>
          </w:tcPr>
          <w:p w14:paraId="3BA46827" w14:textId="77777777" w:rsidR="004163ED" w:rsidRDefault="004163ED" w:rsidP="004163ED">
            <w:pPr>
              <w:rPr>
                <w:bCs/>
                <w:sz w:val="24"/>
              </w:rPr>
            </w:pPr>
          </w:p>
        </w:tc>
      </w:tr>
      <w:tr w:rsidR="004163ED" w14:paraId="6174AA5C" w14:textId="77777777" w:rsidTr="00877C1C">
        <w:tc>
          <w:tcPr>
            <w:tcW w:w="297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22D46E8" w14:textId="77777777" w:rsidR="004163ED" w:rsidRDefault="004163ED" w:rsidP="004163ED">
            <w:pPr>
              <w:rPr>
                <w:b/>
                <w:sz w:val="24"/>
              </w:rPr>
            </w:pPr>
            <w:r>
              <w:rPr>
                <w:b/>
                <w:sz w:val="24"/>
              </w:rPr>
              <w:t>Report authorised by</w:t>
            </w:r>
          </w:p>
        </w:tc>
        <w:tc>
          <w:tcPr>
            <w:tcW w:w="6521" w:type="dxa"/>
            <w:gridSpan w:val="5"/>
            <w:tcBorders>
              <w:top w:val="single" w:sz="4" w:space="0" w:color="auto"/>
              <w:left w:val="single" w:sz="4" w:space="0" w:color="auto"/>
              <w:bottom w:val="single" w:sz="4" w:space="0" w:color="auto"/>
              <w:right w:val="single" w:sz="4" w:space="0" w:color="auto"/>
            </w:tcBorders>
          </w:tcPr>
          <w:p w14:paraId="1E05D979" w14:textId="4C763758" w:rsidR="004163ED" w:rsidRPr="005416FF" w:rsidRDefault="005822EA" w:rsidP="004163ED">
            <w:pPr>
              <w:rPr>
                <w:bCs/>
                <w:sz w:val="24"/>
              </w:rPr>
            </w:pPr>
            <w:r w:rsidRPr="005416FF">
              <w:rPr>
                <w:szCs w:val="24"/>
              </w:rPr>
              <w:t>Craig Harris, Chief Operating Officer</w:t>
            </w:r>
          </w:p>
        </w:tc>
      </w:tr>
    </w:tbl>
    <w:p w14:paraId="6D3F4169" w14:textId="77777777" w:rsidR="00DE649C" w:rsidRDefault="00DE649C" w:rsidP="00DE649C">
      <w:pPr>
        <w:rPr>
          <w:rFonts w:ascii="Arial" w:hAnsi="Arial" w:cs="Arial"/>
          <w:sz w:val="24"/>
          <w:szCs w:val="24"/>
        </w:rPr>
      </w:pPr>
    </w:p>
    <w:p w14:paraId="04F1D68D" w14:textId="782341A7" w:rsidR="00BB4E3C" w:rsidRPr="00A40FB6" w:rsidRDefault="00BB4E3C" w:rsidP="00F12955">
      <w:pPr>
        <w:rPr>
          <w:rFonts w:ascii="Arial" w:hAnsi="Arial" w:cs="Arial"/>
        </w:rPr>
      </w:pPr>
    </w:p>
    <w:sectPr w:rsidR="00BB4E3C" w:rsidRPr="00A40FB6" w:rsidSect="00757B55">
      <w:footerReference w:type="default" r:id="rId11"/>
      <w:headerReference w:type="first" r:id="rId12"/>
      <w:footerReference w:type="first" r:id="rId13"/>
      <w:pgSz w:w="11906" w:h="16838"/>
      <w:pgMar w:top="1440" w:right="1440" w:bottom="1440" w:left="1440" w:header="708" w:footer="2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B2274" w14:textId="77777777" w:rsidR="000D49D7" w:rsidRDefault="000D49D7" w:rsidP="00DE649C">
      <w:pPr>
        <w:spacing w:after="0" w:line="240" w:lineRule="auto"/>
      </w:pPr>
      <w:r>
        <w:separator/>
      </w:r>
    </w:p>
  </w:endnote>
  <w:endnote w:type="continuationSeparator" w:id="0">
    <w:p w14:paraId="7F058361" w14:textId="77777777" w:rsidR="000D49D7" w:rsidRDefault="000D49D7" w:rsidP="00DE6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4171" w14:textId="168EC51E" w:rsidR="009708F9" w:rsidRPr="00157E91" w:rsidRDefault="009708F9" w:rsidP="00270B1A">
    <w:pPr>
      <w:tabs>
        <w:tab w:val="center" w:pos="4153"/>
        <w:tab w:val="right" w:pos="8306"/>
      </w:tabs>
      <w:rPr>
        <w:rFonts w:ascii="Arial" w:hAnsi="Arial" w:cs="Arial"/>
        <w:b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4178" w14:textId="38EA2C20" w:rsidR="00570210" w:rsidRDefault="00037CB6" w:rsidP="00270B1A">
    <w:pPr>
      <w:pStyle w:val="NoSpacing"/>
    </w:pP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2D154" w14:textId="77777777" w:rsidR="000D49D7" w:rsidRDefault="000D49D7" w:rsidP="00DE649C">
      <w:pPr>
        <w:spacing w:after="0" w:line="240" w:lineRule="auto"/>
      </w:pPr>
      <w:r>
        <w:separator/>
      </w:r>
    </w:p>
  </w:footnote>
  <w:footnote w:type="continuationSeparator" w:id="0">
    <w:p w14:paraId="413758CD" w14:textId="77777777" w:rsidR="000D49D7" w:rsidRDefault="000D49D7" w:rsidP="00DE6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31" w:type="dxa"/>
      <w:tblLook w:val="04A0" w:firstRow="1" w:lastRow="0" w:firstColumn="1" w:lastColumn="0" w:noHBand="0" w:noVBand="1"/>
    </w:tblPr>
    <w:tblGrid>
      <w:gridCol w:w="9747"/>
      <w:gridCol w:w="4784"/>
    </w:tblGrid>
    <w:tr w:rsidR="00A1353A" w14:paraId="6D3F4174" w14:textId="77777777" w:rsidTr="00254CD5">
      <w:tc>
        <w:tcPr>
          <w:tcW w:w="9747" w:type="dxa"/>
          <w:shd w:val="clear" w:color="auto" w:fill="auto"/>
        </w:tcPr>
        <w:p w14:paraId="6D3F4172" w14:textId="12AD4363" w:rsidR="00A1353A" w:rsidRDefault="00A1353A" w:rsidP="00D0743C">
          <w:pPr>
            <w:pStyle w:val="Header"/>
            <w:ind w:right="-4785"/>
            <w:jc w:val="center"/>
          </w:pPr>
        </w:p>
      </w:tc>
      <w:tc>
        <w:tcPr>
          <w:tcW w:w="4784" w:type="dxa"/>
          <w:shd w:val="clear" w:color="auto" w:fill="auto"/>
        </w:tcPr>
        <w:p w14:paraId="6D3F4173" w14:textId="77777777" w:rsidR="00A1353A" w:rsidRDefault="00A1353A" w:rsidP="00254CD5">
          <w:pPr>
            <w:pStyle w:val="Header"/>
            <w:ind w:left="-4361"/>
          </w:pPr>
        </w:p>
      </w:tc>
    </w:tr>
  </w:tbl>
  <w:p w14:paraId="6D3F4175" w14:textId="1BFEEE01" w:rsidR="00757B55" w:rsidRDefault="00E70044" w:rsidP="00A1353A">
    <w:pPr>
      <w:pStyle w:val="Header"/>
      <w:tabs>
        <w:tab w:val="clear" w:pos="4513"/>
      </w:tabs>
    </w:pPr>
    <w:r w:rsidRPr="003E2A5C">
      <w:rPr>
        <w:noProof/>
        <w:sz w:val="20"/>
        <w:szCs w:val="20"/>
      </w:rPr>
      <w:drawing>
        <wp:anchor distT="0" distB="0" distL="114300" distR="114300" simplePos="0" relativeHeight="251658240" behindDoc="1" locked="0" layoutInCell="1" allowOverlap="1" wp14:anchorId="3E7C873E" wp14:editId="2154E5C8">
          <wp:simplePos x="0" y="0"/>
          <wp:positionH relativeFrom="column">
            <wp:posOffset>4946650</wp:posOffset>
          </wp:positionH>
          <wp:positionV relativeFrom="paragraph">
            <wp:posOffset>-531495</wp:posOffset>
          </wp:positionV>
          <wp:extent cx="1219835" cy="768350"/>
          <wp:effectExtent l="0" t="0" r="0" b="0"/>
          <wp:wrapTight wrapText="bothSides">
            <wp:wrapPolygon edited="0">
              <wp:start x="9782" y="0"/>
              <wp:lineTo x="0" y="8033"/>
              <wp:lineTo x="0" y="20886"/>
              <wp:lineTo x="21251" y="20886"/>
              <wp:lineTo x="21251" y="0"/>
              <wp:lineTo x="9782"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83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27F81"/>
    <w:multiLevelType w:val="hybridMultilevel"/>
    <w:tmpl w:val="B434A7D6"/>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26484C2D"/>
    <w:multiLevelType w:val="hybridMultilevel"/>
    <w:tmpl w:val="4A82CE9A"/>
    <w:lvl w:ilvl="0" w:tplc="7542F6B4">
      <w:start w:val="1"/>
      <w:numFmt w:val="bullet"/>
      <w:lvlText w:val="•"/>
      <w:lvlJc w:val="left"/>
      <w:pPr>
        <w:tabs>
          <w:tab w:val="num" w:pos="720"/>
        </w:tabs>
        <w:ind w:left="720" w:hanging="360"/>
      </w:pPr>
      <w:rPr>
        <w:rFonts w:ascii="Arial" w:hAnsi="Arial" w:hint="default"/>
      </w:rPr>
    </w:lvl>
    <w:lvl w:ilvl="1" w:tplc="1D0221CA" w:tentative="1">
      <w:start w:val="1"/>
      <w:numFmt w:val="bullet"/>
      <w:lvlText w:val="•"/>
      <w:lvlJc w:val="left"/>
      <w:pPr>
        <w:tabs>
          <w:tab w:val="num" w:pos="1440"/>
        </w:tabs>
        <w:ind w:left="1440" w:hanging="360"/>
      </w:pPr>
      <w:rPr>
        <w:rFonts w:ascii="Arial" w:hAnsi="Arial" w:hint="default"/>
      </w:rPr>
    </w:lvl>
    <w:lvl w:ilvl="2" w:tplc="CBBA1EE2" w:tentative="1">
      <w:start w:val="1"/>
      <w:numFmt w:val="bullet"/>
      <w:lvlText w:val="•"/>
      <w:lvlJc w:val="left"/>
      <w:pPr>
        <w:tabs>
          <w:tab w:val="num" w:pos="2160"/>
        </w:tabs>
        <w:ind w:left="2160" w:hanging="360"/>
      </w:pPr>
      <w:rPr>
        <w:rFonts w:ascii="Arial" w:hAnsi="Arial" w:hint="default"/>
      </w:rPr>
    </w:lvl>
    <w:lvl w:ilvl="3" w:tplc="4DB0EF54" w:tentative="1">
      <w:start w:val="1"/>
      <w:numFmt w:val="bullet"/>
      <w:lvlText w:val="•"/>
      <w:lvlJc w:val="left"/>
      <w:pPr>
        <w:tabs>
          <w:tab w:val="num" w:pos="2880"/>
        </w:tabs>
        <w:ind w:left="2880" w:hanging="360"/>
      </w:pPr>
      <w:rPr>
        <w:rFonts w:ascii="Arial" w:hAnsi="Arial" w:hint="default"/>
      </w:rPr>
    </w:lvl>
    <w:lvl w:ilvl="4" w:tplc="2C729842" w:tentative="1">
      <w:start w:val="1"/>
      <w:numFmt w:val="bullet"/>
      <w:lvlText w:val="•"/>
      <w:lvlJc w:val="left"/>
      <w:pPr>
        <w:tabs>
          <w:tab w:val="num" w:pos="3600"/>
        </w:tabs>
        <w:ind w:left="3600" w:hanging="360"/>
      </w:pPr>
      <w:rPr>
        <w:rFonts w:ascii="Arial" w:hAnsi="Arial" w:hint="default"/>
      </w:rPr>
    </w:lvl>
    <w:lvl w:ilvl="5" w:tplc="A8CC4350" w:tentative="1">
      <w:start w:val="1"/>
      <w:numFmt w:val="bullet"/>
      <w:lvlText w:val="•"/>
      <w:lvlJc w:val="left"/>
      <w:pPr>
        <w:tabs>
          <w:tab w:val="num" w:pos="4320"/>
        </w:tabs>
        <w:ind w:left="4320" w:hanging="360"/>
      </w:pPr>
      <w:rPr>
        <w:rFonts w:ascii="Arial" w:hAnsi="Arial" w:hint="default"/>
      </w:rPr>
    </w:lvl>
    <w:lvl w:ilvl="6" w:tplc="DE96C00C" w:tentative="1">
      <w:start w:val="1"/>
      <w:numFmt w:val="bullet"/>
      <w:lvlText w:val="•"/>
      <w:lvlJc w:val="left"/>
      <w:pPr>
        <w:tabs>
          <w:tab w:val="num" w:pos="5040"/>
        </w:tabs>
        <w:ind w:left="5040" w:hanging="360"/>
      </w:pPr>
      <w:rPr>
        <w:rFonts w:ascii="Arial" w:hAnsi="Arial" w:hint="default"/>
      </w:rPr>
    </w:lvl>
    <w:lvl w:ilvl="7" w:tplc="36501F94" w:tentative="1">
      <w:start w:val="1"/>
      <w:numFmt w:val="bullet"/>
      <w:lvlText w:val="•"/>
      <w:lvlJc w:val="left"/>
      <w:pPr>
        <w:tabs>
          <w:tab w:val="num" w:pos="5760"/>
        </w:tabs>
        <w:ind w:left="5760" w:hanging="360"/>
      </w:pPr>
      <w:rPr>
        <w:rFonts w:ascii="Arial" w:hAnsi="Arial" w:hint="default"/>
      </w:rPr>
    </w:lvl>
    <w:lvl w:ilvl="8" w:tplc="F882430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6704C26"/>
    <w:multiLevelType w:val="hybridMultilevel"/>
    <w:tmpl w:val="92DC6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460D61"/>
    <w:multiLevelType w:val="hybridMultilevel"/>
    <w:tmpl w:val="DF5A4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7A05C7"/>
    <w:multiLevelType w:val="hybridMultilevel"/>
    <w:tmpl w:val="AFDE4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776FD1"/>
    <w:multiLevelType w:val="hybridMultilevel"/>
    <w:tmpl w:val="3A7C02AE"/>
    <w:lvl w:ilvl="0" w:tplc="26B0B18E">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9E6B82"/>
    <w:multiLevelType w:val="hybridMultilevel"/>
    <w:tmpl w:val="54FCB1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5C37CA"/>
    <w:multiLevelType w:val="hybridMultilevel"/>
    <w:tmpl w:val="2BCC9EFE"/>
    <w:lvl w:ilvl="0" w:tplc="011AC35C">
      <w:start w:val="1"/>
      <w:numFmt w:val="bullet"/>
      <w:lvlText w:val="•"/>
      <w:lvlJc w:val="left"/>
      <w:pPr>
        <w:tabs>
          <w:tab w:val="num" w:pos="720"/>
        </w:tabs>
        <w:ind w:left="720" w:hanging="360"/>
      </w:pPr>
      <w:rPr>
        <w:rFonts w:ascii="Arial" w:hAnsi="Arial" w:cs="Times New Roman" w:hint="default"/>
        <w:color w:val="auto"/>
      </w:rPr>
    </w:lvl>
    <w:lvl w:ilvl="1" w:tplc="5CEC2F32">
      <w:start w:val="1"/>
      <w:numFmt w:val="bullet"/>
      <w:lvlText w:val="•"/>
      <w:lvlJc w:val="left"/>
      <w:pPr>
        <w:tabs>
          <w:tab w:val="num" w:pos="1440"/>
        </w:tabs>
        <w:ind w:left="1440" w:hanging="360"/>
      </w:pPr>
      <w:rPr>
        <w:rFonts w:ascii="Arial" w:hAnsi="Arial" w:cs="Times New Roman" w:hint="default"/>
      </w:rPr>
    </w:lvl>
    <w:lvl w:ilvl="2" w:tplc="04B61FEE">
      <w:start w:val="1"/>
      <w:numFmt w:val="bullet"/>
      <w:lvlText w:val="•"/>
      <w:lvlJc w:val="left"/>
      <w:pPr>
        <w:tabs>
          <w:tab w:val="num" w:pos="2160"/>
        </w:tabs>
        <w:ind w:left="2160" w:hanging="360"/>
      </w:pPr>
      <w:rPr>
        <w:rFonts w:ascii="Arial" w:hAnsi="Arial" w:cs="Times New Roman" w:hint="default"/>
      </w:rPr>
    </w:lvl>
    <w:lvl w:ilvl="3" w:tplc="76E6E874">
      <w:start w:val="1"/>
      <w:numFmt w:val="bullet"/>
      <w:lvlText w:val="•"/>
      <w:lvlJc w:val="left"/>
      <w:pPr>
        <w:tabs>
          <w:tab w:val="num" w:pos="2880"/>
        </w:tabs>
        <w:ind w:left="2880" w:hanging="360"/>
      </w:pPr>
      <w:rPr>
        <w:rFonts w:ascii="Arial" w:hAnsi="Arial" w:cs="Times New Roman" w:hint="default"/>
      </w:rPr>
    </w:lvl>
    <w:lvl w:ilvl="4" w:tplc="60981EC4">
      <w:start w:val="1"/>
      <w:numFmt w:val="bullet"/>
      <w:lvlText w:val="•"/>
      <w:lvlJc w:val="left"/>
      <w:pPr>
        <w:tabs>
          <w:tab w:val="num" w:pos="3600"/>
        </w:tabs>
        <w:ind w:left="3600" w:hanging="360"/>
      </w:pPr>
      <w:rPr>
        <w:rFonts w:ascii="Arial" w:hAnsi="Arial" w:cs="Times New Roman" w:hint="default"/>
      </w:rPr>
    </w:lvl>
    <w:lvl w:ilvl="5" w:tplc="BF8280F0">
      <w:start w:val="1"/>
      <w:numFmt w:val="bullet"/>
      <w:lvlText w:val="•"/>
      <w:lvlJc w:val="left"/>
      <w:pPr>
        <w:tabs>
          <w:tab w:val="num" w:pos="4320"/>
        </w:tabs>
        <w:ind w:left="4320" w:hanging="360"/>
      </w:pPr>
      <w:rPr>
        <w:rFonts w:ascii="Arial" w:hAnsi="Arial" w:cs="Times New Roman" w:hint="default"/>
      </w:rPr>
    </w:lvl>
    <w:lvl w:ilvl="6" w:tplc="EEEA1178">
      <w:start w:val="1"/>
      <w:numFmt w:val="bullet"/>
      <w:lvlText w:val="•"/>
      <w:lvlJc w:val="left"/>
      <w:pPr>
        <w:tabs>
          <w:tab w:val="num" w:pos="5040"/>
        </w:tabs>
        <w:ind w:left="5040" w:hanging="360"/>
      </w:pPr>
      <w:rPr>
        <w:rFonts w:ascii="Arial" w:hAnsi="Arial" w:cs="Times New Roman" w:hint="default"/>
      </w:rPr>
    </w:lvl>
    <w:lvl w:ilvl="7" w:tplc="96A60BDA">
      <w:start w:val="1"/>
      <w:numFmt w:val="bullet"/>
      <w:lvlText w:val="•"/>
      <w:lvlJc w:val="left"/>
      <w:pPr>
        <w:tabs>
          <w:tab w:val="num" w:pos="5760"/>
        </w:tabs>
        <w:ind w:left="5760" w:hanging="360"/>
      </w:pPr>
      <w:rPr>
        <w:rFonts w:ascii="Arial" w:hAnsi="Arial" w:cs="Times New Roman" w:hint="default"/>
      </w:rPr>
    </w:lvl>
    <w:lvl w:ilvl="8" w:tplc="FAF090BE">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6BB31322"/>
    <w:multiLevelType w:val="hybridMultilevel"/>
    <w:tmpl w:val="7E2A9AD6"/>
    <w:lvl w:ilvl="0" w:tplc="6ADCF32A">
      <w:start w:val="1"/>
      <w:numFmt w:val="bullet"/>
      <w:lvlText w:val="•"/>
      <w:lvlJc w:val="left"/>
      <w:pPr>
        <w:tabs>
          <w:tab w:val="num" w:pos="720"/>
        </w:tabs>
        <w:ind w:left="720" w:hanging="360"/>
      </w:pPr>
      <w:rPr>
        <w:rFonts w:ascii="Arial" w:hAnsi="Arial" w:hint="default"/>
      </w:rPr>
    </w:lvl>
    <w:lvl w:ilvl="1" w:tplc="11D8CB9E" w:tentative="1">
      <w:start w:val="1"/>
      <w:numFmt w:val="bullet"/>
      <w:lvlText w:val="•"/>
      <w:lvlJc w:val="left"/>
      <w:pPr>
        <w:tabs>
          <w:tab w:val="num" w:pos="1440"/>
        </w:tabs>
        <w:ind w:left="1440" w:hanging="360"/>
      </w:pPr>
      <w:rPr>
        <w:rFonts w:ascii="Arial" w:hAnsi="Arial" w:hint="default"/>
      </w:rPr>
    </w:lvl>
    <w:lvl w:ilvl="2" w:tplc="FCA4EBA8" w:tentative="1">
      <w:start w:val="1"/>
      <w:numFmt w:val="bullet"/>
      <w:lvlText w:val="•"/>
      <w:lvlJc w:val="left"/>
      <w:pPr>
        <w:tabs>
          <w:tab w:val="num" w:pos="2160"/>
        </w:tabs>
        <w:ind w:left="2160" w:hanging="360"/>
      </w:pPr>
      <w:rPr>
        <w:rFonts w:ascii="Arial" w:hAnsi="Arial" w:hint="default"/>
      </w:rPr>
    </w:lvl>
    <w:lvl w:ilvl="3" w:tplc="282A607E" w:tentative="1">
      <w:start w:val="1"/>
      <w:numFmt w:val="bullet"/>
      <w:lvlText w:val="•"/>
      <w:lvlJc w:val="left"/>
      <w:pPr>
        <w:tabs>
          <w:tab w:val="num" w:pos="2880"/>
        </w:tabs>
        <w:ind w:left="2880" w:hanging="360"/>
      </w:pPr>
      <w:rPr>
        <w:rFonts w:ascii="Arial" w:hAnsi="Arial" w:hint="default"/>
      </w:rPr>
    </w:lvl>
    <w:lvl w:ilvl="4" w:tplc="16E24344" w:tentative="1">
      <w:start w:val="1"/>
      <w:numFmt w:val="bullet"/>
      <w:lvlText w:val="•"/>
      <w:lvlJc w:val="left"/>
      <w:pPr>
        <w:tabs>
          <w:tab w:val="num" w:pos="3600"/>
        </w:tabs>
        <w:ind w:left="3600" w:hanging="360"/>
      </w:pPr>
      <w:rPr>
        <w:rFonts w:ascii="Arial" w:hAnsi="Arial" w:hint="default"/>
      </w:rPr>
    </w:lvl>
    <w:lvl w:ilvl="5" w:tplc="DD28D662" w:tentative="1">
      <w:start w:val="1"/>
      <w:numFmt w:val="bullet"/>
      <w:lvlText w:val="•"/>
      <w:lvlJc w:val="left"/>
      <w:pPr>
        <w:tabs>
          <w:tab w:val="num" w:pos="4320"/>
        </w:tabs>
        <w:ind w:left="4320" w:hanging="360"/>
      </w:pPr>
      <w:rPr>
        <w:rFonts w:ascii="Arial" w:hAnsi="Arial" w:hint="default"/>
      </w:rPr>
    </w:lvl>
    <w:lvl w:ilvl="6" w:tplc="0922A884" w:tentative="1">
      <w:start w:val="1"/>
      <w:numFmt w:val="bullet"/>
      <w:lvlText w:val="•"/>
      <w:lvlJc w:val="left"/>
      <w:pPr>
        <w:tabs>
          <w:tab w:val="num" w:pos="5040"/>
        </w:tabs>
        <w:ind w:left="5040" w:hanging="360"/>
      </w:pPr>
      <w:rPr>
        <w:rFonts w:ascii="Arial" w:hAnsi="Arial" w:hint="default"/>
      </w:rPr>
    </w:lvl>
    <w:lvl w:ilvl="7" w:tplc="692C5AA2" w:tentative="1">
      <w:start w:val="1"/>
      <w:numFmt w:val="bullet"/>
      <w:lvlText w:val="•"/>
      <w:lvlJc w:val="left"/>
      <w:pPr>
        <w:tabs>
          <w:tab w:val="num" w:pos="5760"/>
        </w:tabs>
        <w:ind w:left="5760" w:hanging="360"/>
      </w:pPr>
      <w:rPr>
        <w:rFonts w:ascii="Arial" w:hAnsi="Arial" w:hint="default"/>
      </w:rPr>
    </w:lvl>
    <w:lvl w:ilvl="8" w:tplc="51EE72B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90A565F"/>
    <w:multiLevelType w:val="hybridMultilevel"/>
    <w:tmpl w:val="B9EABBA8"/>
    <w:lvl w:ilvl="0" w:tplc="EBCA68C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9277824">
    <w:abstractNumId w:val="3"/>
  </w:num>
  <w:num w:numId="2" w16cid:durableId="2119912075">
    <w:abstractNumId w:val="0"/>
  </w:num>
  <w:num w:numId="3" w16cid:durableId="1001086666">
    <w:abstractNumId w:val="2"/>
  </w:num>
  <w:num w:numId="4" w16cid:durableId="1718435551">
    <w:abstractNumId w:val="4"/>
  </w:num>
  <w:num w:numId="5" w16cid:durableId="1829125225">
    <w:abstractNumId w:val="7"/>
  </w:num>
  <w:num w:numId="6" w16cid:durableId="758215152">
    <w:abstractNumId w:val="6"/>
  </w:num>
  <w:num w:numId="7" w16cid:durableId="2122457536">
    <w:abstractNumId w:val="9"/>
  </w:num>
  <w:num w:numId="8" w16cid:durableId="1782187604">
    <w:abstractNumId w:val="5"/>
  </w:num>
  <w:num w:numId="9" w16cid:durableId="950403460">
    <w:abstractNumId w:val="1"/>
  </w:num>
  <w:num w:numId="10" w16cid:durableId="1365667509">
    <w:abstractNumId w:val="8"/>
  </w:num>
  <w:num w:numId="11" w16cid:durableId="9512034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49C"/>
    <w:rsid w:val="000366E9"/>
    <w:rsid w:val="00037CB6"/>
    <w:rsid w:val="00040383"/>
    <w:rsid w:val="00045C46"/>
    <w:rsid w:val="00047E49"/>
    <w:rsid w:val="00053F31"/>
    <w:rsid w:val="00084E77"/>
    <w:rsid w:val="000D0CCE"/>
    <w:rsid w:val="000D49D7"/>
    <w:rsid w:val="000E5FF4"/>
    <w:rsid w:val="000F504A"/>
    <w:rsid w:val="000F5721"/>
    <w:rsid w:val="0011256B"/>
    <w:rsid w:val="00124701"/>
    <w:rsid w:val="00132F72"/>
    <w:rsid w:val="0013511B"/>
    <w:rsid w:val="00135210"/>
    <w:rsid w:val="0013603E"/>
    <w:rsid w:val="001405C8"/>
    <w:rsid w:val="0015746D"/>
    <w:rsid w:val="00157E91"/>
    <w:rsid w:val="0017152D"/>
    <w:rsid w:val="001B652B"/>
    <w:rsid w:val="001E50C7"/>
    <w:rsid w:val="001F7556"/>
    <w:rsid w:val="00213975"/>
    <w:rsid w:val="00255A4F"/>
    <w:rsid w:val="00270B1A"/>
    <w:rsid w:val="00276483"/>
    <w:rsid w:val="0028012B"/>
    <w:rsid w:val="00294EE0"/>
    <w:rsid w:val="002F247D"/>
    <w:rsid w:val="002F3802"/>
    <w:rsid w:val="0030311C"/>
    <w:rsid w:val="0034671F"/>
    <w:rsid w:val="00347557"/>
    <w:rsid w:val="00350667"/>
    <w:rsid w:val="003848AE"/>
    <w:rsid w:val="003B2514"/>
    <w:rsid w:val="003B2A82"/>
    <w:rsid w:val="003D641E"/>
    <w:rsid w:val="003F578C"/>
    <w:rsid w:val="00401943"/>
    <w:rsid w:val="004163ED"/>
    <w:rsid w:val="00421548"/>
    <w:rsid w:val="00463916"/>
    <w:rsid w:val="00470FB6"/>
    <w:rsid w:val="00486E23"/>
    <w:rsid w:val="004908A8"/>
    <w:rsid w:val="004B1C91"/>
    <w:rsid w:val="005247B2"/>
    <w:rsid w:val="00527734"/>
    <w:rsid w:val="005416FF"/>
    <w:rsid w:val="00570210"/>
    <w:rsid w:val="00570CFA"/>
    <w:rsid w:val="005822EA"/>
    <w:rsid w:val="00590598"/>
    <w:rsid w:val="005A34F4"/>
    <w:rsid w:val="005C468F"/>
    <w:rsid w:val="005E0F45"/>
    <w:rsid w:val="006022B9"/>
    <w:rsid w:val="00642A84"/>
    <w:rsid w:val="00684A16"/>
    <w:rsid w:val="006970B4"/>
    <w:rsid w:val="006B24F7"/>
    <w:rsid w:val="006D0691"/>
    <w:rsid w:val="006D1E3A"/>
    <w:rsid w:val="006D7EA1"/>
    <w:rsid w:val="006E4589"/>
    <w:rsid w:val="0070168A"/>
    <w:rsid w:val="007417E4"/>
    <w:rsid w:val="00754A82"/>
    <w:rsid w:val="00757B55"/>
    <w:rsid w:val="007833A5"/>
    <w:rsid w:val="00785A35"/>
    <w:rsid w:val="007D5659"/>
    <w:rsid w:val="007E7BDC"/>
    <w:rsid w:val="00827522"/>
    <w:rsid w:val="00834B04"/>
    <w:rsid w:val="008353E9"/>
    <w:rsid w:val="00861B8C"/>
    <w:rsid w:val="00877C1C"/>
    <w:rsid w:val="008B3D73"/>
    <w:rsid w:val="008F2DD1"/>
    <w:rsid w:val="0090401A"/>
    <w:rsid w:val="00916B5D"/>
    <w:rsid w:val="00943787"/>
    <w:rsid w:val="00946F1E"/>
    <w:rsid w:val="0095231A"/>
    <w:rsid w:val="009546A0"/>
    <w:rsid w:val="009708F9"/>
    <w:rsid w:val="00972DD7"/>
    <w:rsid w:val="0097737F"/>
    <w:rsid w:val="00993FBD"/>
    <w:rsid w:val="009B7CDD"/>
    <w:rsid w:val="009C1EB3"/>
    <w:rsid w:val="009E0F75"/>
    <w:rsid w:val="009F5840"/>
    <w:rsid w:val="00A05427"/>
    <w:rsid w:val="00A10103"/>
    <w:rsid w:val="00A101A1"/>
    <w:rsid w:val="00A1353A"/>
    <w:rsid w:val="00A40FB6"/>
    <w:rsid w:val="00A52317"/>
    <w:rsid w:val="00A67A41"/>
    <w:rsid w:val="00AA5BD4"/>
    <w:rsid w:val="00AB2343"/>
    <w:rsid w:val="00B172B3"/>
    <w:rsid w:val="00B20CCB"/>
    <w:rsid w:val="00B37FA3"/>
    <w:rsid w:val="00B4172D"/>
    <w:rsid w:val="00B41EE5"/>
    <w:rsid w:val="00B66CC2"/>
    <w:rsid w:val="00B77496"/>
    <w:rsid w:val="00BB4E3C"/>
    <w:rsid w:val="00BB59BD"/>
    <w:rsid w:val="00BE0122"/>
    <w:rsid w:val="00C50BF3"/>
    <w:rsid w:val="00C876D6"/>
    <w:rsid w:val="00CD1E33"/>
    <w:rsid w:val="00CE2542"/>
    <w:rsid w:val="00CF73E7"/>
    <w:rsid w:val="00D0743C"/>
    <w:rsid w:val="00D14013"/>
    <w:rsid w:val="00D159E0"/>
    <w:rsid w:val="00D35BB6"/>
    <w:rsid w:val="00D4414B"/>
    <w:rsid w:val="00DA2115"/>
    <w:rsid w:val="00DB75C9"/>
    <w:rsid w:val="00DC561E"/>
    <w:rsid w:val="00DE30F4"/>
    <w:rsid w:val="00DE649C"/>
    <w:rsid w:val="00E262DA"/>
    <w:rsid w:val="00E4149B"/>
    <w:rsid w:val="00E70044"/>
    <w:rsid w:val="00E90BF5"/>
    <w:rsid w:val="00E96888"/>
    <w:rsid w:val="00EA457B"/>
    <w:rsid w:val="00EA56D4"/>
    <w:rsid w:val="00ED2EAD"/>
    <w:rsid w:val="00F12955"/>
    <w:rsid w:val="00F3088B"/>
    <w:rsid w:val="00F4758F"/>
    <w:rsid w:val="00F50764"/>
    <w:rsid w:val="00F54041"/>
    <w:rsid w:val="00F62E90"/>
    <w:rsid w:val="00FE30BA"/>
    <w:rsid w:val="00FE4AAC"/>
    <w:rsid w:val="00FF064C"/>
    <w:rsid w:val="00FF4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F40C4"/>
  <w15:docId w15:val="{B877359C-D493-41B1-8E38-5EA76A77A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59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6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49C"/>
    <w:rPr>
      <w:rFonts w:ascii="Tahoma" w:hAnsi="Tahoma" w:cs="Tahoma"/>
      <w:sz w:val="16"/>
      <w:szCs w:val="16"/>
    </w:rPr>
  </w:style>
  <w:style w:type="table" w:styleId="TableGrid">
    <w:name w:val="Table Grid"/>
    <w:basedOn w:val="TableNormal"/>
    <w:uiPriority w:val="59"/>
    <w:rsid w:val="00DE6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649C"/>
    <w:pPr>
      <w:spacing w:after="0" w:line="240" w:lineRule="auto"/>
      <w:ind w:left="720"/>
      <w:contextualSpacing/>
    </w:pPr>
    <w:rPr>
      <w:rFonts w:ascii="Arial" w:eastAsia="Times New Roman" w:hAnsi="Arial" w:cs="Times New Roman"/>
      <w:szCs w:val="24"/>
      <w:lang w:eastAsia="en-GB"/>
    </w:rPr>
  </w:style>
  <w:style w:type="paragraph" w:styleId="FootnoteText">
    <w:name w:val="footnote text"/>
    <w:basedOn w:val="Normal"/>
    <w:link w:val="FootnoteTextChar"/>
    <w:uiPriority w:val="99"/>
    <w:semiHidden/>
    <w:unhideWhenUsed/>
    <w:rsid w:val="00DE64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649C"/>
    <w:rPr>
      <w:sz w:val="20"/>
      <w:szCs w:val="20"/>
    </w:rPr>
  </w:style>
  <w:style w:type="character" w:styleId="FootnoteReference">
    <w:name w:val="footnote reference"/>
    <w:basedOn w:val="DefaultParagraphFont"/>
    <w:uiPriority w:val="99"/>
    <w:semiHidden/>
    <w:unhideWhenUsed/>
    <w:rsid w:val="00DE649C"/>
    <w:rPr>
      <w:vertAlign w:val="superscript"/>
    </w:rPr>
  </w:style>
  <w:style w:type="paragraph" w:styleId="Header">
    <w:name w:val="header"/>
    <w:basedOn w:val="Normal"/>
    <w:link w:val="HeaderChar"/>
    <w:uiPriority w:val="99"/>
    <w:unhideWhenUsed/>
    <w:rsid w:val="00DE64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49C"/>
  </w:style>
  <w:style w:type="paragraph" w:styleId="Footer">
    <w:name w:val="footer"/>
    <w:basedOn w:val="Normal"/>
    <w:link w:val="FooterChar"/>
    <w:uiPriority w:val="99"/>
    <w:unhideWhenUsed/>
    <w:rsid w:val="00DE64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49C"/>
  </w:style>
  <w:style w:type="paragraph" w:customStyle="1" w:styleId="stp">
    <w:name w:val="stp"/>
    <w:rsid w:val="006022B9"/>
  </w:style>
  <w:style w:type="character" w:customStyle="1" w:styleId="Heading1Char">
    <w:name w:val="Heading 1 Char"/>
    <w:basedOn w:val="DefaultParagraphFont"/>
    <w:link w:val="Heading1"/>
    <w:uiPriority w:val="9"/>
    <w:rsid w:val="00BB59B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BB59BD"/>
    <w:pPr>
      <w:spacing w:after="0" w:line="240" w:lineRule="auto"/>
    </w:pPr>
  </w:style>
  <w:style w:type="table" w:customStyle="1" w:styleId="TableGrid1">
    <w:name w:val="Table Grid1"/>
    <w:basedOn w:val="TableNormal"/>
    <w:next w:val="TableGrid"/>
    <w:uiPriority w:val="59"/>
    <w:rsid w:val="005A34F4"/>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list">
    <w:name w:val="Number list"/>
    <w:basedOn w:val="ListParagraph"/>
    <w:link w:val="NumberlistChar"/>
    <w:qFormat/>
    <w:rsid w:val="007417E4"/>
    <w:pPr>
      <w:numPr>
        <w:numId w:val="8"/>
      </w:numPr>
      <w:spacing w:after="200" w:line="276" w:lineRule="auto"/>
    </w:pPr>
    <w:rPr>
      <w:rFonts w:eastAsiaTheme="minorHAnsi" w:cs="Arial"/>
      <w:sz w:val="24"/>
      <w:szCs w:val="22"/>
      <w:lang w:eastAsia="en-US"/>
    </w:rPr>
  </w:style>
  <w:style w:type="character" w:customStyle="1" w:styleId="NumberlistChar">
    <w:name w:val="Number list Char"/>
    <w:basedOn w:val="DefaultParagraphFont"/>
    <w:link w:val="Numberlist"/>
    <w:rsid w:val="007417E4"/>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96511">
      <w:bodyDiv w:val="1"/>
      <w:marLeft w:val="0"/>
      <w:marRight w:val="0"/>
      <w:marTop w:val="0"/>
      <w:marBottom w:val="0"/>
      <w:divBdr>
        <w:top w:val="none" w:sz="0" w:space="0" w:color="auto"/>
        <w:left w:val="none" w:sz="0" w:space="0" w:color="auto"/>
        <w:bottom w:val="none" w:sz="0" w:space="0" w:color="auto"/>
        <w:right w:val="none" w:sz="0" w:space="0" w:color="auto"/>
      </w:divBdr>
    </w:div>
    <w:div w:id="437919681">
      <w:bodyDiv w:val="1"/>
      <w:marLeft w:val="0"/>
      <w:marRight w:val="0"/>
      <w:marTop w:val="0"/>
      <w:marBottom w:val="0"/>
      <w:divBdr>
        <w:top w:val="none" w:sz="0" w:space="0" w:color="auto"/>
        <w:left w:val="none" w:sz="0" w:space="0" w:color="auto"/>
        <w:bottom w:val="none" w:sz="0" w:space="0" w:color="auto"/>
        <w:right w:val="none" w:sz="0" w:space="0" w:color="auto"/>
      </w:divBdr>
    </w:div>
    <w:div w:id="1131047998">
      <w:bodyDiv w:val="1"/>
      <w:marLeft w:val="0"/>
      <w:marRight w:val="0"/>
      <w:marTop w:val="0"/>
      <w:marBottom w:val="0"/>
      <w:divBdr>
        <w:top w:val="none" w:sz="0" w:space="0" w:color="auto"/>
        <w:left w:val="none" w:sz="0" w:space="0" w:color="auto"/>
        <w:bottom w:val="none" w:sz="0" w:space="0" w:color="auto"/>
        <w:right w:val="none" w:sz="0" w:space="0" w:color="auto"/>
      </w:divBdr>
    </w:div>
    <w:div w:id="159901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4109AFC2C6E043A4318249FC3EB332" ma:contentTypeVersion="3" ma:contentTypeDescription="Create a new document." ma:contentTypeScope="" ma:versionID="9d49254b577d94d2f00bf8058147b7c4">
  <xsd:schema xmlns:xsd="http://www.w3.org/2001/XMLSchema" xmlns:xs="http://www.w3.org/2001/XMLSchema" xmlns:p="http://schemas.microsoft.com/office/2006/metadata/properties" xmlns:ns2="d760762f-6d0f-47a6-8fb9-606f44da5725" targetNamespace="http://schemas.microsoft.com/office/2006/metadata/properties" ma:root="true" ma:fieldsID="aae14fa555eec77c6f384edf05dafd7c" ns2:_="">
    <xsd:import namespace="d760762f-6d0f-47a6-8fb9-606f44da572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0762f-6d0f-47a6-8fb9-606f44da5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3D223-DE75-4BE6-A950-519C2104F42A}">
  <ds:schemaRefs>
    <ds:schemaRef ds:uri="http://schemas.microsoft.com/sharepoint/v3/contenttype/forms"/>
  </ds:schemaRefs>
</ds:datastoreItem>
</file>

<file path=customXml/itemProps2.xml><?xml version="1.0" encoding="utf-8"?>
<ds:datastoreItem xmlns:ds="http://schemas.openxmlformats.org/officeDocument/2006/customXml" ds:itemID="{49FF008D-0F40-4515-BEC6-EDC4C5230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0762f-6d0f-47a6-8fb9-606f44da5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0D0B09-08B9-411E-9290-A9A29872A4ED}">
  <ds:schemaRefs>
    <ds:schemaRef ds:uri="http://schemas.microsoft.com/office/2006/metadata/properties"/>
    <ds:schemaRef ds:uri="http://schemas.microsoft.com/office/infopath/2007/PartnerControls"/>
    <ds:schemaRef ds:uri="http://schemas.microsoft.com/sharepoint/v3"/>
    <ds:schemaRef ds:uri="35bdebc1-920b-4794-897c-b5fc0995084d"/>
    <ds:schemaRef ds:uri="e3018835-b10e-4f88-a9dd-40824a0ab9b2"/>
  </ds:schemaRefs>
</ds:datastoreItem>
</file>

<file path=customXml/itemProps4.xml><?xml version="1.0" encoding="utf-8"?>
<ds:datastoreItem xmlns:ds="http://schemas.openxmlformats.org/officeDocument/2006/customXml" ds:itemID="{0FF878DB-B13C-4463-BB1D-A88FAB458302}">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141</TotalTime>
  <Pages>2</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Brown Catherine (CSRCCG)</dc:creator>
  <cp:lastModifiedBy>MCCANN, Debbie (NHS LANCASHIRE AND SOUTH CUMBRIA ICB - 00R)</cp:lastModifiedBy>
  <cp:revision>25</cp:revision>
  <cp:lastPrinted>2017-03-14T17:21:00Z</cp:lastPrinted>
  <dcterms:created xsi:type="dcterms:W3CDTF">2025-05-30T12:10:00Z</dcterms:created>
  <dcterms:modified xsi:type="dcterms:W3CDTF">2025-06-05T14:42:00Z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0x0101000A4109AFC2C6E043A4318249FC3EB332</vt:lpwstr>
  </property>
  <property fmtid="{D5CDD505-2E9C-101B-9397-08002B2CF9AE}" pid="3" name="_ShortcutWebId">
    <vt:lpwstr/>
  </property>
  <property fmtid="{D5CDD505-2E9C-101B-9397-08002B2CF9AE}" pid="4" name="_ShortcutUniqueId">
    <vt:lpwstr/>
  </property>
  <property fmtid="{D5CDD505-2E9C-101B-9397-08002B2CF9AE}" pid="5" name="_ShortcutSiteId">
    <vt:lpwstr/>
  </property>
  <property fmtid="{D5CDD505-2E9C-101B-9397-08002B2CF9AE}" pid="6" name="_ShortcutUrl">
    <vt:lpwstr/>
  </property>
  <property fmtid="{D5CDD505-2E9C-101B-9397-08002B2CF9AE}" pid="7" name="_ExtendedDescription">
    <vt:lpwstr/>
  </property>
  <property fmtid="{D5CDD505-2E9C-101B-9397-08002B2CF9AE}" pid="8" name="MediaServiceImageTags">
    <vt:lpwstr/>
  </property>
  <property fmtid="{D5CDD505-2E9C-101B-9397-08002B2CF9AE}" pid="9" name="_dlc_DocIdItemGuid">
    <vt:lpwstr>33d8cf24-84d5-476b-b96f-dceee33e0db7</vt:lpwstr>
  </property>
  <property fmtid="{D5CDD505-2E9C-101B-9397-08002B2CF9AE}" pid="10" name="Order">
    <vt:r8>19900</vt:r8>
  </property>
  <property fmtid="{D5CDD505-2E9C-101B-9397-08002B2CF9AE}" pid="11" name="TriggerFlowInfo">
    <vt:lpwstr/>
  </property>
  <property fmtid="{D5CDD505-2E9C-101B-9397-08002B2CF9AE}" pid="12" name="ComplianceAssetId">
    <vt:lpwstr/>
  </property>
</Properties>
</file>