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FADC" w14:textId="77777777" w:rsidR="0064013D" w:rsidRDefault="0064013D" w:rsidP="009D64B8">
      <w:pPr>
        <w:tabs>
          <w:tab w:val="left" w:pos="5985"/>
        </w:tabs>
        <w:spacing w:after="0" w:line="240" w:lineRule="auto"/>
        <w:jc w:val="center"/>
        <w:rPr>
          <w:b/>
          <w:sz w:val="28"/>
          <w:szCs w:val="28"/>
        </w:rPr>
      </w:pPr>
    </w:p>
    <w:p w14:paraId="4CCD2B4A" w14:textId="54DD1860" w:rsidR="009D64B8" w:rsidRPr="009D64B8" w:rsidRDefault="009D64B8" w:rsidP="009D64B8">
      <w:pPr>
        <w:tabs>
          <w:tab w:val="left" w:pos="5985"/>
        </w:tabs>
        <w:spacing w:after="0" w:line="240" w:lineRule="auto"/>
        <w:jc w:val="center"/>
        <w:rPr>
          <w:b/>
          <w:sz w:val="28"/>
          <w:szCs w:val="28"/>
        </w:rPr>
      </w:pPr>
      <w:r w:rsidRPr="009D64B8">
        <w:rPr>
          <w:b/>
          <w:sz w:val="28"/>
          <w:szCs w:val="28"/>
        </w:rPr>
        <w:t>Primary Care Contracts Sub-Committee</w:t>
      </w:r>
    </w:p>
    <w:p w14:paraId="7602A48D" w14:textId="77777777" w:rsidR="009D64B8" w:rsidRPr="009D64B8" w:rsidRDefault="009D64B8" w:rsidP="009D64B8">
      <w:pPr>
        <w:tabs>
          <w:tab w:val="left" w:pos="5985"/>
        </w:tabs>
        <w:spacing w:after="0" w:line="240" w:lineRule="auto"/>
        <w:jc w:val="center"/>
        <w:rPr>
          <w:b/>
          <w:sz w:val="28"/>
          <w:szCs w:val="28"/>
        </w:rPr>
      </w:pPr>
    </w:p>
    <w:tbl>
      <w:tblPr>
        <w:tblStyle w:val="TableGrid1"/>
        <w:tblW w:w="9493" w:type="dxa"/>
        <w:tblLook w:val="04A0" w:firstRow="1" w:lastRow="0" w:firstColumn="1" w:lastColumn="0" w:noHBand="0" w:noVBand="1"/>
      </w:tblPr>
      <w:tblGrid>
        <w:gridCol w:w="2972"/>
        <w:gridCol w:w="740"/>
        <w:gridCol w:w="702"/>
        <w:gridCol w:w="704"/>
        <w:gridCol w:w="902"/>
        <w:gridCol w:w="3473"/>
      </w:tblGrid>
      <w:tr w:rsidR="009D64B8" w:rsidRPr="009D64B8" w14:paraId="5E88F476"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A70F7BB" w14:textId="7695B8B6" w:rsidR="009D64B8" w:rsidRPr="009D64B8" w:rsidRDefault="009D64B8" w:rsidP="009D64B8">
            <w:pPr>
              <w:rPr>
                <w:b/>
              </w:rPr>
            </w:pPr>
            <w:r w:rsidRPr="009D64B8">
              <w:rPr>
                <w:b/>
              </w:rPr>
              <w:t>Date of meeting</w:t>
            </w:r>
          </w:p>
        </w:tc>
        <w:tc>
          <w:tcPr>
            <w:tcW w:w="6521" w:type="dxa"/>
            <w:gridSpan w:val="5"/>
            <w:tcBorders>
              <w:top w:val="single" w:sz="4" w:space="0" w:color="auto"/>
              <w:left w:val="single" w:sz="4" w:space="0" w:color="auto"/>
              <w:bottom w:val="single" w:sz="4" w:space="0" w:color="auto"/>
              <w:right w:val="single" w:sz="4" w:space="0" w:color="auto"/>
            </w:tcBorders>
          </w:tcPr>
          <w:p w14:paraId="5ADCAA95" w14:textId="5625864A" w:rsidR="009D64B8" w:rsidRPr="009D64B8" w:rsidRDefault="000C773E" w:rsidP="009D64B8">
            <w:pPr>
              <w:rPr>
                <w:bCs/>
              </w:rPr>
            </w:pPr>
            <w:r>
              <w:rPr>
                <w:bCs/>
              </w:rPr>
              <w:t>12</w:t>
            </w:r>
            <w:r w:rsidR="00D47F47">
              <w:rPr>
                <w:bCs/>
              </w:rPr>
              <w:t xml:space="preserve"> </w:t>
            </w:r>
            <w:r>
              <w:rPr>
                <w:bCs/>
              </w:rPr>
              <w:t>June</w:t>
            </w:r>
            <w:r w:rsidR="00FF34F0">
              <w:rPr>
                <w:bCs/>
              </w:rPr>
              <w:t xml:space="preserve"> 2025</w:t>
            </w:r>
          </w:p>
        </w:tc>
      </w:tr>
      <w:tr w:rsidR="009D64B8" w:rsidRPr="009D64B8" w14:paraId="599E779C"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7174702" w14:textId="68DC09C9" w:rsidR="009D64B8" w:rsidRPr="009D64B8" w:rsidRDefault="009D64B8" w:rsidP="009D64B8">
            <w:pPr>
              <w:rPr>
                <w:b/>
              </w:rPr>
            </w:pPr>
            <w:r w:rsidRPr="009D64B8">
              <w:rPr>
                <w:b/>
              </w:rPr>
              <w:t>Title of paper</w:t>
            </w:r>
          </w:p>
        </w:tc>
        <w:tc>
          <w:tcPr>
            <w:tcW w:w="6521" w:type="dxa"/>
            <w:gridSpan w:val="5"/>
            <w:tcBorders>
              <w:top w:val="single" w:sz="4" w:space="0" w:color="auto"/>
              <w:left w:val="single" w:sz="4" w:space="0" w:color="auto"/>
              <w:bottom w:val="single" w:sz="4" w:space="0" w:color="auto"/>
              <w:right w:val="single" w:sz="4" w:space="0" w:color="auto"/>
            </w:tcBorders>
          </w:tcPr>
          <w:p w14:paraId="630BE008" w14:textId="422C76CD" w:rsidR="009D64B8" w:rsidRPr="009D64B8" w:rsidRDefault="00FF34F0" w:rsidP="009D64B8">
            <w:pPr>
              <w:rPr>
                <w:bCs/>
              </w:rPr>
            </w:pPr>
            <w:r>
              <w:rPr>
                <w:bCs/>
              </w:rPr>
              <w:t>Risk Management Update</w:t>
            </w:r>
            <w:r w:rsidR="007747D5">
              <w:rPr>
                <w:bCs/>
              </w:rPr>
              <w:t xml:space="preserve"> Report</w:t>
            </w:r>
          </w:p>
        </w:tc>
      </w:tr>
      <w:tr w:rsidR="009D64B8" w:rsidRPr="009D64B8" w14:paraId="4EE100BB"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F5F7A4F" w14:textId="5C7064F8" w:rsidR="009D64B8" w:rsidRPr="009D64B8" w:rsidRDefault="009D64B8" w:rsidP="009D64B8">
            <w:pPr>
              <w:rPr>
                <w:b/>
              </w:rPr>
            </w:pPr>
            <w:r w:rsidRPr="009D64B8">
              <w:rPr>
                <w:b/>
              </w:rPr>
              <w:t>Presented by</w:t>
            </w:r>
          </w:p>
        </w:tc>
        <w:tc>
          <w:tcPr>
            <w:tcW w:w="6521" w:type="dxa"/>
            <w:gridSpan w:val="5"/>
            <w:tcBorders>
              <w:top w:val="single" w:sz="4" w:space="0" w:color="auto"/>
              <w:left w:val="single" w:sz="4" w:space="0" w:color="auto"/>
              <w:bottom w:val="single" w:sz="4" w:space="0" w:color="auto"/>
              <w:right w:val="single" w:sz="4" w:space="0" w:color="auto"/>
            </w:tcBorders>
          </w:tcPr>
          <w:p w14:paraId="7CE3EBFB" w14:textId="7764EA5F" w:rsidR="009D64B8" w:rsidRPr="009D64B8" w:rsidRDefault="009D64B8" w:rsidP="009D64B8">
            <w:pPr>
              <w:rPr>
                <w:bCs/>
              </w:rPr>
            </w:pPr>
            <w:r>
              <w:rPr>
                <w:bCs/>
              </w:rPr>
              <w:t>Claire Moore, Head of Risk, Assurance and Delivery</w:t>
            </w:r>
          </w:p>
        </w:tc>
      </w:tr>
      <w:tr w:rsidR="009D64B8" w:rsidRPr="009D64B8" w14:paraId="7CE9172E"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E5EC36" w14:textId="77777777" w:rsidR="009D64B8" w:rsidRPr="009D64B8" w:rsidRDefault="009D64B8" w:rsidP="009D64B8">
            <w:pPr>
              <w:rPr>
                <w:b/>
              </w:rPr>
            </w:pPr>
            <w:r w:rsidRPr="009D64B8">
              <w:rPr>
                <w:b/>
              </w:rPr>
              <w:t>Author</w:t>
            </w:r>
          </w:p>
        </w:tc>
        <w:tc>
          <w:tcPr>
            <w:tcW w:w="6521" w:type="dxa"/>
            <w:gridSpan w:val="5"/>
            <w:tcBorders>
              <w:top w:val="single" w:sz="4" w:space="0" w:color="auto"/>
              <w:left w:val="single" w:sz="4" w:space="0" w:color="auto"/>
              <w:bottom w:val="single" w:sz="4" w:space="0" w:color="auto"/>
              <w:right w:val="single" w:sz="4" w:space="0" w:color="auto"/>
            </w:tcBorders>
          </w:tcPr>
          <w:p w14:paraId="17A3AB23" w14:textId="40E3F572" w:rsidR="009D64B8" w:rsidRPr="009D64B8" w:rsidRDefault="009D64B8" w:rsidP="009D64B8">
            <w:pPr>
              <w:rPr>
                <w:bCs/>
              </w:rPr>
            </w:pPr>
            <w:r>
              <w:rPr>
                <w:bCs/>
              </w:rPr>
              <w:t>Claire Moore, Head of Risk, Assurance and Delivery</w:t>
            </w:r>
          </w:p>
        </w:tc>
      </w:tr>
      <w:tr w:rsidR="009D64B8" w:rsidRPr="009D64B8" w14:paraId="5B6AA985"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52B4C21" w14:textId="77777777" w:rsidR="009D64B8" w:rsidRPr="009D64B8" w:rsidRDefault="009D64B8" w:rsidP="009D64B8">
            <w:pPr>
              <w:rPr>
                <w:b/>
              </w:rPr>
            </w:pPr>
            <w:r w:rsidRPr="009D64B8">
              <w:rPr>
                <w:b/>
              </w:rPr>
              <w:t>Agenda Item</w:t>
            </w:r>
          </w:p>
        </w:tc>
        <w:tc>
          <w:tcPr>
            <w:tcW w:w="6521" w:type="dxa"/>
            <w:gridSpan w:val="5"/>
            <w:tcBorders>
              <w:top w:val="single" w:sz="4" w:space="0" w:color="auto"/>
              <w:left w:val="single" w:sz="4" w:space="0" w:color="auto"/>
              <w:bottom w:val="single" w:sz="4" w:space="0" w:color="auto"/>
              <w:right w:val="single" w:sz="4" w:space="0" w:color="auto"/>
            </w:tcBorders>
          </w:tcPr>
          <w:p w14:paraId="391450C0" w14:textId="38EAFE0B" w:rsidR="009D64B8" w:rsidRPr="009D64B8" w:rsidRDefault="00F778DA" w:rsidP="009D64B8">
            <w:pPr>
              <w:rPr>
                <w:bCs/>
              </w:rPr>
            </w:pPr>
            <w:r>
              <w:rPr>
                <w:bCs/>
              </w:rPr>
              <w:t>5</w:t>
            </w:r>
          </w:p>
        </w:tc>
      </w:tr>
      <w:tr w:rsidR="009D64B8" w:rsidRPr="009D64B8" w14:paraId="3AC04120"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5F63001" w14:textId="77777777" w:rsidR="009D64B8" w:rsidRPr="009D64B8" w:rsidRDefault="009D64B8" w:rsidP="009D64B8">
            <w:pPr>
              <w:rPr>
                <w:b/>
              </w:rPr>
            </w:pPr>
            <w:r w:rsidRPr="009D64B8">
              <w:rPr>
                <w:b/>
              </w:rPr>
              <w:t>Confidential</w:t>
            </w:r>
          </w:p>
        </w:tc>
        <w:tc>
          <w:tcPr>
            <w:tcW w:w="6521" w:type="dxa"/>
            <w:gridSpan w:val="5"/>
            <w:tcBorders>
              <w:top w:val="single" w:sz="4" w:space="0" w:color="auto"/>
              <w:left w:val="single" w:sz="4" w:space="0" w:color="auto"/>
              <w:bottom w:val="single" w:sz="4" w:space="0" w:color="auto"/>
              <w:right w:val="single" w:sz="4" w:space="0" w:color="auto"/>
            </w:tcBorders>
          </w:tcPr>
          <w:p w14:paraId="709C6449" w14:textId="6FABC686" w:rsidR="009D64B8" w:rsidRPr="009D64B8" w:rsidRDefault="009D64B8" w:rsidP="009D64B8">
            <w:pPr>
              <w:rPr>
                <w:bCs/>
              </w:rPr>
            </w:pPr>
            <w:r>
              <w:rPr>
                <w:bCs/>
              </w:rPr>
              <w:t>No</w:t>
            </w:r>
          </w:p>
        </w:tc>
      </w:tr>
      <w:tr w:rsidR="009D64B8" w:rsidRPr="009D64B8" w14:paraId="52117B85" w14:textId="77777777" w:rsidTr="005933AF">
        <w:tc>
          <w:tcPr>
            <w:tcW w:w="2972" w:type="dxa"/>
            <w:tcBorders>
              <w:top w:val="single" w:sz="4" w:space="0" w:color="auto"/>
              <w:left w:val="nil"/>
              <w:bottom w:val="single" w:sz="4" w:space="0" w:color="auto"/>
              <w:right w:val="nil"/>
            </w:tcBorders>
          </w:tcPr>
          <w:p w14:paraId="7C8F4528" w14:textId="77777777" w:rsidR="009D64B8" w:rsidRPr="009D64B8" w:rsidRDefault="009D64B8" w:rsidP="009D64B8">
            <w:pPr>
              <w:rPr>
                <w:b/>
              </w:rPr>
            </w:pPr>
          </w:p>
        </w:tc>
        <w:tc>
          <w:tcPr>
            <w:tcW w:w="6521" w:type="dxa"/>
            <w:gridSpan w:val="5"/>
            <w:tcBorders>
              <w:top w:val="single" w:sz="4" w:space="0" w:color="auto"/>
              <w:left w:val="nil"/>
              <w:bottom w:val="single" w:sz="4" w:space="0" w:color="auto"/>
              <w:right w:val="nil"/>
            </w:tcBorders>
          </w:tcPr>
          <w:p w14:paraId="1F5D1C40" w14:textId="77777777" w:rsidR="009D64B8" w:rsidRPr="009D64B8" w:rsidRDefault="009D64B8" w:rsidP="009D64B8">
            <w:pPr>
              <w:rPr>
                <w:bCs/>
              </w:rPr>
            </w:pPr>
          </w:p>
        </w:tc>
      </w:tr>
      <w:tr w:rsidR="009D64B8" w:rsidRPr="009D64B8" w14:paraId="72928FEA" w14:textId="77777777" w:rsidTr="005933AF">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BC86F8" w14:textId="77777777" w:rsidR="009D64B8" w:rsidRPr="009D64B8" w:rsidRDefault="009D64B8" w:rsidP="009D64B8">
            <w:pPr>
              <w:rPr>
                <w:b/>
              </w:rPr>
            </w:pPr>
            <w:r w:rsidRPr="009D64B8">
              <w:rPr>
                <w:b/>
              </w:rPr>
              <w:t>Purpose of the paper*</w:t>
            </w:r>
          </w:p>
        </w:tc>
      </w:tr>
      <w:tr w:rsidR="009D64B8" w:rsidRPr="009D64B8" w14:paraId="30B4314A" w14:textId="77777777" w:rsidTr="005933AF">
        <w:tc>
          <w:tcPr>
            <w:tcW w:w="9493" w:type="dxa"/>
            <w:gridSpan w:val="6"/>
            <w:tcBorders>
              <w:top w:val="single" w:sz="4" w:space="0" w:color="auto"/>
              <w:left w:val="single" w:sz="4" w:space="0" w:color="auto"/>
              <w:bottom w:val="single" w:sz="4" w:space="0" w:color="auto"/>
              <w:right w:val="single" w:sz="4" w:space="0" w:color="auto"/>
            </w:tcBorders>
          </w:tcPr>
          <w:p w14:paraId="613D8320" w14:textId="37D4286A" w:rsidR="009D64B8" w:rsidRPr="009D64B8" w:rsidRDefault="009D64B8" w:rsidP="009D64B8">
            <w:pPr>
              <w:jc w:val="both"/>
              <w:rPr>
                <w:sz w:val="22"/>
                <w:szCs w:val="24"/>
              </w:rPr>
            </w:pPr>
            <w:r w:rsidRPr="009D64B8">
              <w:rPr>
                <w:sz w:val="22"/>
                <w:szCs w:val="24"/>
              </w:rPr>
              <w:t xml:space="preserve">The purpose of this report is to present an update on the risk management activity undertaken for those risks which relate to the business of the Primary Care Contracts Sub-Committee. </w:t>
            </w:r>
          </w:p>
          <w:p w14:paraId="73D0EA2A" w14:textId="77777777" w:rsidR="009D64B8" w:rsidRPr="009D64B8" w:rsidRDefault="009D64B8" w:rsidP="009D64B8">
            <w:pPr>
              <w:jc w:val="both"/>
              <w:rPr>
                <w:sz w:val="22"/>
                <w:szCs w:val="24"/>
              </w:rPr>
            </w:pPr>
          </w:p>
        </w:tc>
      </w:tr>
      <w:tr w:rsidR="009D64B8" w:rsidRPr="009D64B8" w14:paraId="5236D581" w14:textId="77777777" w:rsidTr="005933AF">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BD3AA3E" w14:textId="77777777" w:rsidR="009D64B8" w:rsidRPr="009D64B8" w:rsidRDefault="009D64B8" w:rsidP="009D64B8">
            <w:pPr>
              <w:rPr>
                <w:b/>
              </w:rPr>
            </w:pPr>
            <w:r w:rsidRPr="009D64B8">
              <w:rPr>
                <w:b/>
              </w:rPr>
              <w:t>Executive Summary</w:t>
            </w:r>
          </w:p>
        </w:tc>
      </w:tr>
      <w:tr w:rsidR="009D64B8" w:rsidRPr="009D64B8" w14:paraId="2556CD9D" w14:textId="77777777" w:rsidTr="005933AF">
        <w:tc>
          <w:tcPr>
            <w:tcW w:w="9493" w:type="dxa"/>
            <w:gridSpan w:val="6"/>
            <w:tcBorders>
              <w:top w:val="single" w:sz="4" w:space="0" w:color="auto"/>
              <w:left w:val="single" w:sz="4" w:space="0" w:color="auto"/>
              <w:bottom w:val="single" w:sz="4" w:space="0" w:color="auto"/>
              <w:right w:val="single" w:sz="4" w:space="0" w:color="auto"/>
            </w:tcBorders>
          </w:tcPr>
          <w:p w14:paraId="1CA98C8F" w14:textId="1EE8BB8B" w:rsidR="009D64B8" w:rsidRDefault="009D64B8" w:rsidP="009D64B8">
            <w:pPr>
              <w:jc w:val="both"/>
              <w:rPr>
                <w:sz w:val="22"/>
              </w:rPr>
            </w:pPr>
            <w:r w:rsidRPr="009D64B8">
              <w:rPr>
                <w:sz w:val="22"/>
                <w:lang w:val="en-US"/>
              </w:rPr>
              <w:t xml:space="preserve">Following </w:t>
            </w:r>
            <w:r w:rsidR="00FF34F0">
              <w:rPr>
                <w:sz w:val="22"/>
                <w:lang w:val="en-US"/>
              </w:rPr>
              <w:t xml:space="preserve">the </w:t>
            </w:r>
            <w:r w:rsidRPr="009D64B8">
              <w:rPr>
                <w:sz w:val="22"/>
                <w:lang w:val="en-US"/>
              </w:rPr>
              <w:t xml:space="preserve">review of the ICB’s committee structures which was approved by the board at its meeting on 19 March, risks held by </w:t>
            </w:r>
            <w:r>
              <w:rPr>
                <w:sz w:val="22"/>
                <w:lang w:val="en-US"/>
              </w:rPr>
              <w:t xml:space="preserve">the </w:t>
            </w:r>
            <w:r w:rsidRPr="009D64B8">
              <w:rPr>
                <w:sz w:val="22"/>
                <w:lang w:val="en-US"/>
              </w:rPr>
              <w:t>ICB which receive oversight through its assuring committees have been re-aligned to the new committees’ functions and the ICB’s risk management reporting cycle</w:t>
            </w:r>
            <w:r w:rsidR="00CF38BD">
              <w:rPr>
                <w:sz w:val="22"/>
                <w:lang w:val="en-US"/>
              </w:rPr>
              <w:t xml:space="preserve"> for 2025/26.</w:t>
            </w:r>
            <w:r w:rsidRPr="009D64B8">
              <w:rPr>
                <w:sz w:val="22"/>
              </w:rPr>
              <w:t> </w:t>
            </w:r>
          </w:p>
          <w:p w14:paraId="2F82037F" w14:textId="77777777" w:rsidR="009D64B8" w:rsidRPr="009D64B8" w:rsidRDefault="009D64B8" w:rsidP="009D64B8">
            <w:pPr>
              <w:jc w:val="both"/>
              <w:rPr>
                <w:sz w:val="22"/>
              </w:rPr>
            </w:pPr>
          </w:p>
          <w:p w14:paraId="29CCE5CC" w14:textId="31F2244D" w:rsidR="009D64B8" w:rsidRDefault="0085192C" w:rsidP="009D64B8">
            <w:pPr>
              <w:jc w:val="both"/>
              <w:rPr>
                <w:sz w:val="22"/>
              </w:rPr>
            </w:pPr>
            <w:r>
              <w:rPr>
                <w:sz w:val="22"/>
              </w:rPr>
              <w:t xml:space="preserve">Those risks which are assessed as having the potential to impact of the achievement of the ICB’s strategic objectives </w:t>
            </w:r>
            <w:r w:rsidR="0050790E">
              <w:rPr>
                <w:sz w:val="22"/>
              </w:rPr>
              <w:t xml:space="preserve">are held on </w:t>
            </w:r>
            <w:r w:rsidR="009D64B8" w:rsidRPr="009D64B8">
              <w:rPr>
                <w:sz w:val="22"/>
              </w:rPr>
              <w:t>the Board Assurance Framework (BAF)</w:t>
            </w:r>
            <w:r w:rsidR="0050790E">
              <w:rPr>
                <w:sz w:val="22"/>
              </w:rPr>
              <w:t xml:space="preserve">.  </w:t>
            </w:r>
            <w:r w:rsidR="009D64B8" w:rsidRPr="009D64B8">
              <w:rPr>
                <w:sz w:val="22"/>
              </w:rPr>
              <w:t xml:space="preserve">There are no risks held on the BAF relating to the business of the Primary Care </w:t>
            </w:r>
            <w:r w:rsidR="00FF34F0">
              <w:rPr>
                <w:sz w:val="22"/>
              </w:rPr>
              <w:t>Contracts</w:t>
            </w:r>
            <w:r w:rsidR="009D64B8" w:rsidRPr="009D64B8">
              <w:rPr>
                <w:sz w:val="22"/>
              </w:rPr>
              <w:t xml:space="preserve"> </w:t>
            </w:r>
            <w:r w:rsidR="00FF34F0">
              <w:rPr>
                <w:sz w:val="22"/>
              </w:rPr>
              <w:t>Sub-</w:t>
            </w:r>
            <w:r w:rsidR="009D64B8" w:rsidRPr="009D64B8">
              <w:rPr>
                <w:sz w:val="22"/>
              </w:rPr>
              <w:t>Committee.</w:t>
            </w:r>
          </w:p>
          <w:p w14:paraId="45578B93" w14:textId="77777777" w:rsidR="00EF251E" w:rsidRDefault="00EF251E" w:rsidP="009D64B8">
            <w:pPr>
              <w:jc w:val="both"/>
              <w:rPr>
                <w:sz w:val="22"/>
              </w:rPr>
            </w:pPr>
          </w:p>
          <w:p w14:paraId="59B0B727" w14:textId="3FB26672" w:rsidR="009D64B8" w:rsidRPr="009D64B8" w:rsidRDefault="009D64B8" w:rsidP="009D64B8">
            <w:pPr>
              <w:jc w:val="both"/>
              <w:rPr>
                <w:sz w:val="22"/>
                <w:szCs w:val="24"/>
              </w:rPr>
            </w:pPr>
            <w:r w:rsidRPr="009D64B8">
              <w:rPr>
                <w:rFonts w:eastAsiaTheme="minorEastAsia"/>
                <w:color w:val="000000" w:themeColor="text1"/>
                <w:kern w:val="24"/>
                <w:sz w:val="22"/>
                <w:szCs w:val="24"/>
                <w:lang w:val="en-US" w:eastAsia="en-GB"/>
              </w:rPr>
              <w:t xml:space="preserve">Risks </w:t>
            </w:r>
            <w:r w:rsidR="00506E76">
              <w:rPr>
                <w:rFonts w:eastAsiaTheme="minorEastAsia"/>
                <w:color w:val="000000" w:themeColor="text1"/>
                <w:kern w:val="24"/>
                <w:sz w:val="22"/>
                <w:szCs w:val="24"/>
                <w:lang w:val="en-US" w:eastAsia="en-GB"/>
              </w:rPr>
              <w:t xml:space="preserve">which are assessed as having the potential to significantly impact on the delivery of plans or priorities and are rated as “high” are </w:t>
            </w:r>
            <w:r w:rsidRPr="009D64B8">
              <w:rPr>
                <w:rFonts w:eastAsiaTheme="minorEastAsia"/>
                <w:color w:val="000000" w:themeColor="text1"/>
                <w:kern w:val="24"/>
                <w:sz w:val="22"/>
                <w:szCs w:val="24"/>
                <w:lang w:val="en-US" w:eastAsia="en-GB"/>
              </w:rPr>
              <w:t>held on the Operational Risk Register (ORR)</w:t>
            </w:r>
            <w:r w:rsidR="00DC704E">
              <w:rPr>
                <w:rFonts w:eastAsiaTheme="minorEastAsia"/>
                <w:color w:val="000000" w:themeColor="text1"/>
                <w:kern w:val="24"/>
                <w:sz w:val="22"/>
                <w:szCs w:val="24"/>
                <w:lang w:val="en-US" w:eastAsia="en-GB"/>
              </w:rPr>
              <w:t xml:space="preserve">.  </w:t>
            </w:r>
          </w:p>
          <w:p w14:paraId="6B6F3493" w14:textId="77777777" w:rsidR="009D64B8" w:rsidRPr="009D64B8" w:rsidRDefault="009D64B8" w:rsidP="009D64B8">
            <w:pPr>
              <w:jc w:val="both"/>
              <w:rPr>
                <w:sz w:val="22"/>
                <w:szCs w:val="24"/>
              </w:rPr>
            </w:pPr>
          </w:p>
          <w:p w14:paraId="2440CA57" w14:textId="4715B763" w:rsidR="009D64B8" w:rsidRPr="009D64B8" w:rsidRDefault="009D64B8" w:rsidP="009D64B8">
            <w:pPr>
              <w:jc w:val="both"/>
              <w:rPr>
                <w:sz w:val="22"/>
                <w:szCs w:val="24"/>
              </w:rPr>
            </w:pPr>
            <w:r w:rsidRPr="009D64B8">
              <w:rPr>
                <w:sz w:val="22"/>
                <w:szCs w:val="24"/>
              </w:rPr>
              <w:t xml:space="preserve">There are three risks held on the ORR </w:t>
            </w:r>
            <w:r w:rsidR="00B3513F">
              <w:rPr>
                <w:sz w:val="22"/>
                <w:szCs w:val="24"/>
              </w:rPr>
              <w:t>i</w:t>
            </w:r>
            <w:r w:rsidRPr="009D64B8">
              <w:rPr>
                <w:sz w:val="22"/>
                <w:szCs w:val="24"/>
              </w:rPr>
              <w:t>n relation to the business of the sub-committee:</w:t>
            </w:r>
          </w:p>
          <w:p w14:paraId="649F2479" w14:textId="77777777" w:rsidR="009D64B8" w:rsidRPr="009D64B8" w:rsidRDefault="009D64B8" w:rsidP="009D64B8">
            <w:pPr>
              <w:jc w:val="both"/>
              <w:rPr>
                <w:sz w:val="22"/>
                <w:szCs w:val="24"/>
              </w:rPr>
            </w:pPr>
          </w:p>
          <w:p w14:paraId="484730FD" w14:textId="77777777" w:rsidR="009D64B8" w:rsidRDefault="009D64B8" w:rsidP="009D64B8">
            <w:pPr>
              <w:numPr>
                <w:ilvl w:val="0"/>
                <w:numId w:val="19"/>
              </w:numPr>
              <w:tabs>
                <w:tab w:val="left" w:pos="851"/>
              </w:tabs>
              <w:contextualSpacing/>
              <w:jc w:val="both"/>
              <w:rPr>
                <w:rFonts w:eastAsiaTheme="minorEastAsia" w:cs="Times New Roman"/>
                <w:color w:val="000000" w:themeColor="text1"/>
                <w:kern w:val="24"/>
                <w:sz w:val="22"/>
                <w:szCs w:val="24"/>
                <w:lang w:val="en-US" w:eastAsia="en-GB"/>
              </w:rPr>
            </w:pPr>
            <w:r w:rsidRPr="009D64B8">
              <w:rPr>
                <w:rFonts w:eastAsia="Times New Roman" w:cs="Times New Roman"/>
                <w:b/>
                <w:bCs/>
                <w:sz w:val="22"/>
                <w:szCs w:val="24"/>
                <w:lang w:eastAsia="en-GB"/>
              </w:rPr>
              <w:t xml:space="preserve">Risk ID ICB 007: Prevalence of dental caries: </w:t>
            </w:r>
            <w:r w:rsidRPr="009D64B8">
              <w:rPr>
                <w:rFonts w:eastAsiaTheme="minorEastAsia" w:cs="Times New Roman"/>
                <w:color w:val="000000" w:themeColor="text1"/>
                <w:kern w:val="24"/>
                <w:sz w:val="22"/>
                <w:szCs w:val="24"/>
                <w:lang w:val="en-US" w:eastAsia="en-GB"/>
              </w:rPr>
              <w:t>There is a risk that the prevalence of dental caries will deteriorate and that the underlying level of oral health will deteriorate putting additional pressure on access to routine dental care and other dental services available in primary and secondary care.</w:t>
            </w:r>
          </w:p>
          <w:p w14:paraId="08020D88" w14:textId="260FC117" w:rsidR="009D64B8" w:rsidRPr="009D64B8" w:rsidRDefault="009D64B8" w:rsidP="009D64B8">
            <w:pPr>
              <w:tabs>
                <w:tab w:val="left" w:pos="851"/>
              </w:tabs>
              <w:ind w:left="749"/>
              <w:contextualSpacing/>
              <w:jc w:val="both"/>
              <w:rPr>
                <w:rFonts w:eastAsiaTheme="minorEastAsia" w:cs="Times New Roman"/>
                <w:color w:val="000000" w:themeColor="text1"/>
                <w:kern w:val="24"/>
                <w:sz w:val="22"/>
                <w:szCs w:val="24"/>
                <w:lang w:eastAsia="en-GB"/>
              </w:rPr>
            </w:pPr>
          </w:p>
          <w:p w14:paraId="51CDDCDE" w14:textId="3A781FAA" w:rsidR="009D64B8" w:rsidRPr="009D2353" w:rsidRDefault="009D64B8" w:rsidP="009D64B8">
            <w:pPr>
              <w:numPr>
                <w:ilvl w:val="0"/>
                <w:numId w:val="19"/>
              </w:numPr>
              <w:tabs>
                <w:tab w:val="num" w:pos="720"/>
                <w:tab w:val="left" w:pos="851"/>
              </w:tabs>
              <w:contextualSpacing/>
              <w:jc w:val="both"/>
              <w:rPr>
                <w:rFonts w:eastAsiaTheme="minorEastAsia" w:cs="Times New Roman"/>
                <w:color w:val="000000" w:themeColor="text1"/>
                <w:kern w:val="24"/>
                <w:sz w:val="22"/>
                <w:szCs w:val="24"/>
                <w:lang w:eastAsia="en-GB"/>
              </w:rPr>
            </w:pPr>
            <w:r w:rsidRPr="009D64B8">
              <w:rPr>
                <w:rFonts w:eastAsiaTheme="minorEastAsia" w:cs="Times New Roman"/>
                <w:b/>
                <w:bCs/>
                <w:color w:val="000000" w:themeColor="text1"/>
                <w:kern w:val="24"/>
                <w:sz w:val="22"/>
                <w:szCs w:val="24"/>
                <w:lang w:eastAsia="en-GB"/>
              </w:rPr>
              <w:t xml:space="preserve">Risk ID ICB 009: GP Contract 2024/25 dispute Collective Action; </w:t>
            </w:r>
            <w:r w:rsidRPr="009D64B8">
              <w:rPr>
                <w:rFonts w:eastAsiaTheme="minorEastAsia" w:cs="Times New Roman"/>
                <w:color w:val="000000" w:themeColor="text1"/>
                <w:kern w:val="24"/>
                <w:sz w:val="22"/>
                <w:szCs w:val="24"/>
                <w:lang w:eastAsia="en-GB"/>
              </w:rPr>
              <w:t>there is a risk that collective action may further result in reduced level of service and impact on patients’ ability to access healthcare via their GP; reduce the number of patient contacts; resulting in practices not engaging with advice and guidance and further impacting on secondary care</w:t>
            </w:r>
            <w:r w:rsidRPr="009D2353">
              <w:rPr>
                <w:rFonts w:eastAsiaTheme="minorEastAsia" w:cs="Times New Roman"/>
                <w:color w:val="000000" w:themeColor="text1"/>
                <w:kern w:val="24"/>
                <w:sz w:val="22"/>
                <w:szCs w:val="24"/>
                <w:lang w:eastAsia="en-GB"/>
              </w:rPr>
              <w:t>. </w:t>
            </w:r>
            <w:r w:rsidR="001507CA" w:rsidRPr="009D2353">
              <w:rPr>
                <w:rFonts w:eastAsiaTheme="minorEastAsia" w:cs="Times New Roman"/>
                <w:color w:val="000000" w:themeColor="text1"/>
                <w:kern w:val="24"/>
                <w:sz w:val="22"/>
                <w:szCs w:val="24"/>
                <w:lang w:eastAsia="en-GB"/>
              </w:rPr>
              <w:t xml:space="preserve"> </w:t>
            </w:r>
            <w:r w:rsidR="009846B8" w:rsidRPr="009D2353">
              <w:rPr>
                <w:rFonts w:eastAsiaTheme="minorEastAsia" w:cs="Times New Roman"/>
                <w:color w:val="000000" w:themeColor="text1"/>
                <w:kern w:val="24"/>
                <w:sz w:val="22"/>
                <w:szCs w:val="24"/>
                <w:lang w:eastAsia="en-GB"/>
              </w:rPr>
              <w:t xml:space="preserve">This risk has been reviewed and </w:t>
            </w:r>
            <w:r w:rsidR="00553FD4" w:rsidRPr="009D2353">
              <w:rPr>
                <w:rFonts w:eastAsiaTheme="minorEastAsia" w:cs="Times New Roman"/>
                <w:color w:val="000000" w:themeColor="text1"/>
                <w:kern w:val="24"/>
                <w:sz w:val="22"/>
                <w:szCs w:val="24"/>
                <w:lang w:eastAsia="en-GB"/>
              </w:rPr>
              <w:t xml:space="preserve">will be </w:t>
            </w:r>
            <w:r w:rsidR="009846B8" w:rsidRPr="009D2353">
              <w:rPr>
                <w:rFonts w:eastAsiaTheme="minorEastAsia" w:cs="Times New Roman"/>
                <w:color w:val="000000" w:themeColor="text1"/>
                <w:kern w:val="24"/>
                <w:sz w:val="22"/>
                <w:szCs w:val="24"/>
                <w:lang w:eastAsia="en-GB"/>
              </w:rPr>
              <w:t xml:space="preserve">recommended </w:t>
            </w:r>
            <w:r w:rsidR="00553FD4" w:rsidRPr="009D2353">
              <w:rPr>
                <w:rFonts w:eastAsiaTheme="minorEastAsia" w:cs="Times New Roman"/>
                <w:color w:val="000000" w:themeColor="text1"/>
                <w:kern w:val="24"/>
                <w:sz w:val="22"/>
                <w:szCs w:val="24"/>
                <w:lang w:eastAsia="en-GB"/>
              </w:rPr>
              <w:t xml:space="preserve">to the Executive Management Team </w:t>
            </w:r>
            <w:r w:rsidR="009846B8" w:rsidRPr="009D2353">
              <w:rPr>
                <w:rFonts w:eastAsiaTheme="minorEastAsia" w:cs="Times New Roman"/>
                <w:color w:val="000000" w:themeColor="text1"/>
                <w:kern w:val="24"/>
                <w:sz w:val="22"/>
                <w:szCs w:val="24"/>
                <w:lang w:eastAsia="en-GB"/>
              </w:rPr>
              <w:t>for closure</w:t>
            </w:r>
            <w:r w:rsidR="009D2353">
              <w:rPr>
                <w:rFonts w:eastAsiaTheme="minorEastAsia" w:cs="Times New Roman"/>
                <w:color w:val="000000" w:themeColor="text1"/>
                <w:kern w:val="24"/>
                <w:sz w:val="22"/>
                <w:szCs w:val="24"/>
                <w:lang w:eastAsia="en-GB"/>
              </w:rPr>
              <w:t xml:space="preserve"> on 4 June 2025</w:t>
            </w:r>
            <w:r w:rsidR="009846B8" w:rsidRPr="009D2353">
              <w:rPr>
                <w:rFonts w:eastAsiaTheme="minorEastAsia" w:cs="Times New Roman"/>
                <w:color w:val="000000" w:themeColor="text1"/>
                <w:kern w:val="24"/>
                <w:sz w:val="22"/>
                <w:szCs w:val="24"/>
                <w:lang w:eastAsia="en-GB"/>
              </w:rPr>
              <w:t>.</w:t>
            </w:r>
          </w:p>
          <w:p w14:paraId="619F0EE8" w14:textId="77777777" w:rsidR="009D64B8" w:rsidRPr="009D64B8" w:rsidRDefault="009D64B8" w:rsidP="009D64B8">
            <w:pPr>
              <w:tabs>
                <w:tab w:val="left" w:pos="851"/>
              </w:tabs>
              <w:ind w:left="389"/>
              <w:contextualSpacing/>
              <w:jc w:val="both"/>
              <w:rPr>
                <w:rFonts w:eastAsiaTheme="minorEastAsia" w:cs="Times New Roman"/>
                <w:color w:val="000000" w:themeColor="text1"/>
                <w:kern w:val="24"/>
                <w:sz w:val="22"/>
                <w:szCs w:val="24"/>
                <w:lang w:eastAsia="en-GB"/>
              </w:rPr>
            </w:pPr>
            <w:r w:rsidRPr="009D64B8">
              <w:rPr>
                <w:rFonts w:eastAsiaTheme="minorEastAsia" w:cs="Times New Roman"/>
                <w:color w:val="000000" w:themeColor="text1"/>
                <w:kern w:val="24"/>
                <w:sz w:val="22"/>
                <w:szCs w:val="24"/>
                <w:lang w:eastAsia="en-GB"/>
              </w:rPr>
              <w:t> </w:t>
            </w:r>
          </w:p>
          <w:p w14:paraId="2E0BC774" w14:textId="27AE01DC" w:rsidR="009D64B8" w:rsidRPr="009D64B8" w:rsidRDefault="009D64B8" w:rsidP="009D64B8">
            <w:pPr>
              <w:tabs>
                <w:tab w:val="left" w:pos="851"/>
              </w:tabs>
              <w:contextualSpacing/>
              <w:jc w:val="both"/>
              <w:rPr>
                <w:rFonts w:eastAsiaTheme="minorEastAsia" w:cs="Times New Roman"/>
                <w:color w:val="000000" w:themeColor="text1"/>
                <w:kern w:val="24"/>
                <w:sz w:val="22"/>
                <w:szCs w:val="24"/>
                <w:lang w:eastAsia="en-GB"/>
              </w:rPr>
            </w:pPr>
            <w:r w:rsidRPr="009D64B8">
              <w:rPr>
                <w:rFonts w:eastAsiaTheme="minorEastAsia" w:cs="Times New Roman"/>
                <w:color w:val="000000" w:themeColor="text1"/>
                <w:kern w:val="24"/>
                <w:sz w:val="22"/>
                <w:szCs w:val="24"/>
                <w:lang w:val="en-US" w:eastAsia="en-GB"/>
              </w:rPr>
              <w:t xml:space="preserve">The following risk </w:t>
            </w:r>
            <w:r w:rsidR="0067460C">
              <w:rPr>
                <w:rFonts w:eastAsiaTheme="minorEastAsia" w:cs="Times New Roman"/>
                <w:color w:val="000000" w:themeColor="text1"/>
                <w:kern w:val="24"/>
                <w:sz w:val="22"/>
                <w:szCs w:val="24"/>
                <w:lang w:val="en-US" w:eastAsia="en-GB"/>
              </w:rPr>
              <w:t>also receive</w:t>
            </w:r>
            <w:r w:rsidR="00671E9A">
              <w:rPr>
                <w:rFonts w:eastAsiaTheme="minorEastAsia" w:cs="Times New Roman"/>
                <w:color w:val="000000" w:themeColor="text1"/>
                <w:kern w:val="24"/>
                <w:sz w:val="22"/>
                <w:szCs w:val="24"/>
                <w:lang w:val="en-US" w:eastAsia="en-GB"/>
              </w:rPr>
              <w:t>s</w:t>
            </w:r>
            <w:r w:rsidR="0067460C">
              <w:rPr>
                <w:rFonts w:eastAsiaTheme="minorEastAsia" w:cs="Times New Roman"/>
                <w:color w:val="000000" w:themeColor="text1"/>
                <w:kern w:val="24"/>
                <w:sz w:val="22"/>
                <w:szCs w:val="24"/>
                <w:lang w:val="en-US" w:eastAsia="en-GB"/>
              </w:rPr>
              <w:t xml:space="preserve"> oversight through the</w:t>
            </w:r>
            <w:r w:rsidRPr="009D64B8">
              <w:rPr>
                <w:rFonts w:eastAsiaTheme="minorEastAsia" w:cs="Times New Roman"/>
                <w:color w:val="000000" w:themeColor="text1"/>
                <w:kern w:val="24"/>
                <w:sz w:val="22"/>
                <w:szCs w:val="24"/>
                <w:lang w:val="en-US" w:eastAsia="en-GB"/>
              </w:rPr>
              <w:t xml:space="preserve"> Quality</w:t>
            </w:r>
            <w:r w:rsidRPr="0067460C">
              <w:rPr>
                <w:rFonts w:eastAsiaTheme="minorEastAsia" w:cs="Times New Roman"/>
                <w:color w:val="000000" w:themeColor="text1"/>
                <w:kern w:val="24"/>
                <w:sz w:val="22"/>
                <w:szCs w:val="24"/>
                <w:lang w:val="en-US" w:eastAsia="en-GB"/>
              </w:rPr>
              <w:t xml:space="preserve"> and Outcomes</w:t>
            </w:r>
            <w:r w:rsidRPr="009D64B8">
              <w:rPr>
                <w:rFonts w:eastAsiaTheme="minorEastAsia" w:cs="Times New Roman"/>
                <w:color w:val="000000" w:themeColor="text1"/>
                <w:kern w:val="24"/>
                <w:sz w:val="22"/>
                <w:szCs w:val="24"/>
                <w:lang w:val="en-US" w:eastAsia="en-GB"/>
              </w:rPr>
              <w:t xml:space="preserve"> Committee:</w:t>
            </w:r>
            <w:r w:rsidRPr="009D64B8">
              <w:rPr>
                <w:rFonts w:eastAsiaTheme="minorEastAsia" w:cs="Times New Roman"/>
                <w:color w:val="000000" w:themeColor="text1"/>
                <w:kern w:val="24"/>
                <w:sz w:val="22"/>
                <w:szCs w:val="24"/>
                <w:lang w:eastAsia="en-GB"/>
              </w:rPr>
              <w:t> </w:t>
            </w:r>
          </w:p>
          <w:p w14:paraId="14EF7992" w14:textId="77777777" w:rsidR="009D64B8" w:rsidRPr="009D64B8" w:rsidRDefault="009D64B8" w:rsidP="009D64B8">
            <w:pPr>
              <w:tabs>
                <w:tab w:val="left" w:pos="851"/>
              </w:tabs>
              <w:ind w:left="749"/>
              <w:contextualSpacing/>
              <w:jc w:val="both"/>
              <w:rPr>
                <w:rFonts w:eastAsiaTheme="minorEastAsia" w:cs="Times New Roman"/>
                <w:color w:val="000000" w:themeColor="text1"/>
                <w:kern w:val="24"/>
                <w:sz w:val="22"/>
                <w:szCs w:val="24"/>
                <w:lang w:eastAsia="en-GB"/>
              </w:rPr>
            </w:pPr>
            <w:r w:rsidRPr="009D64B8">
              <w:rPr>
                <w:rFonts w:eastAsiaTheme="minorEastAsia" w:cs="Times New Roman"/>
                <w:color w:val="000000" w:themeColor="text1"/>
                <w:kern w:val="24"/>
                <w:sz w:val="22"/>
                <w:szCs w:val="24"/>
                <w:lang w:eastAsia="en-GB"/>
              </w:rPr>
              <w:t> </w:t>
            </w:r>
          </w:p>
          <w:p w14:paraId="1D95CC86" w14:textId="5EB3DF95" w:rsidR="009D64B8" w:rsidRPr="00B3513F" w:rsidRDefault="009D64B8" w:rsidP="009D64B8">
            <w:pPr>
              <w:numPr>
                <w:ilvl w:val="0"/>
                <w:numId w:val="19"/>
              </w:numPr>
              <w:tabs>
                <w:tab w:val="num" w:pos="720"/>
                <w:tab w:val="left" w:pos="851"/>
              </w:tabs>
              <w:contextualSpacing/>
              <w:jc w:val="both"/>
              <w:rPr>
                <w:rFonts w:eastAsiaTheme="minorEastAsia" w:cs="Times New Roman"/>
                <w:color w:val="000000" w:themeColor="text1"/>
                <w:kern w:val="24"/>
                <w:sz w:val="22"/>
                <w:szCs w:val="24"/>
                <w:lang w:eastAsia="en-GB"/>
              </w:rPr>
            </w:pPr>
            <w:r w:rsidRPr="273D6463">
              <w:rPr>
                <w:rFonts w:eastAsiaTheme="minorEastAsia" w:cs="Times New Roman"/>
                <w:b/>
                <w:color w:val="000000" w:themeColor="text1"/>
                <w:kern w:val="24"/>
                <w:sz w:val="22"/>
                <w:lang w:eastAsia="en-GB"/>
              </w:rPr>
              <w:t xml:space="preserve">Risk ID ICB 013: </w:t>
            </w:r>
            <w:r w:rsidRPr="273D6463">
              <w:rPr>
                <w:rFonts w:eastAsiaTheme="minorEastAsia" w:cs="Times New Roman"/>
                <w:color w:val="000000" w:themeColor="text1"/>
                <w:kern w:val="24"/>
                <w:sz w:val="22"/>
                <w:lang w:eastAsia="en-GB"/>
              </w:rPr>
              <w:t>There is a risk that the ICB is not sighted on and effectively managing the quality of care delivered by Primary Care. This could adversely impact patient safety, experience, outcomes, clinical effectiveness and the ICB's ability to meet its statutory responsibilities in relation to quality oversight. </w:t>
            </w:r>
          </w:p>
          <w:p w14:paraId="73D4560E" w14:textId="77777777" w:rsidR="00B3513F" w:rsidRPr="009D64B8" w:rsidRDefault="00B3513F" w:rsidP="00B3513F">
            <w:pPr>
              <w:tabs>
                <w:tab w:val="left" w:pos="851"/>
              </w:tabs>
              <w:ind w:left="749"/>
              <w:contextualSpacing/>
              <w:jc w:val="both"/>
              <w:rPr>
                <w:rFonts w:eastAsiaTheme="minorEastAsia" w:cs="Times New Roman"/>
                <w:color w:val="000000" w:themeColor="text1"/>
                <w:kern w:val="24"/>
                <w:sz w:val="22"/>
                <w:szCs w:val="24"/>
                <w:lang w:eastAsia="en-GB"/>
              </w:rPr>
            </w:pPr>
          </w:p>
          <w:p w14:paraId="6E2F3D7D" w14:textId="535CB671" w:rsidR="009D64B8" w:rsidRPr="009D64B8" w:rsidRDefault="009D64B8" w:rsidP="009D64B8">
            <w:pPr>
              <w:tabs>
                <w:tab w:val="left" w:pos="851"/>
              </w:tabs>
              <w:contextualSpacing/>
              <w:jc w:val="both"/>
              <w:rPr>
                <w:rFonts w:eastAsiaTheme="minorEastAsia" w:cs="Times New Roman"/>
                <w:color w:val="000000" w:themeColor="text1"/>
                <w:sz w:val="22"/>
                <w:lang w:eastAsia="en-GB"/>
              </w:rPr>
            </w:pPr>
            <w:r w:rsidRPr="273D6463">
              <w:rPr>
                <w:rFonts w:eastAsiaTheme="minorEastAsia" w:cs="Times New Roman"/>
                <w:color w:val="000000" w:themeColor="text1"/>
                <w:kern w:val="24"/>
                <w:sz w:val="22"/>
                <w:lang w:eastAsia="en-GB"/>
              </w:rPr>
              <w:t xml:space="preserve">A summary of the </w:t>
            </w:r>
            <w:r w:rsidR="1A851A84" w:rsidRPr="273D6463">
              <w:rPr>
                <w:rFonts w:eastAsiaTheme="minorEastAsia" w:cs="Times New Roman"/>
                <w:color w:val="000000" w:themeColor="text1"/>
                <w:kern w:val="24"/>
                <w:sz w:val="22"/>
                <w:lang w:eastAsia="en-GB"/>
              </w:rPr>
              <w:t>updates provided for each of</w:t>
            </w:r>
            <w:r w:rsidRPr="273D6463">
              <w:rPr>
                <w:rFonts w:eastAsiaTheme="minorEastAsia" w:cs="Times New Roman"/>
                <w:color w:val="000000" w:themeColor="text1"/>
                <w:kern w:val="24"/>
                <w:sz w:val="22"/>
                <w:lang w:eastAsia="en-GB"/>
              </w:rPr>
              <w:t xml:space="preserve"> the above risks </w:t>
            </w:r>
            <w:r w:rsidR="007747D5">
              <w:rPr>
                <w:rFonts w:eastAsiaTheme="minorEastAsia" w:cs="Times New Roman"/>
                <w:color w:val="000000" w:themeColor="text1"/>
                <w:kern w:val="24"/>
                <w:sz w:val="22"/>
                <w:lang w:eastAsia="en-GB"/>
              </w:rPr>
              <w:t>are</w:t>
            </w:r>
            <w:r w:rsidRPr="273D6463">
              <w:rPr>
                <w:rFonts w:eastAsiaTheme="minorEastAsia" w:cs="Times New Roman"/>
                <w:color w:val="000000" w:themeColor="text1"/>
                <w:kern w:val="24"/>
                <w:sz w:val="22"/>
                <w:lang w:eastAsia="en-GB"/>
              </w:rPr>
              <w:t xml:space="preserve"> presented within section</w:t>
            </w:r>
            <w:r w:rsidR="007747D5">
              <w:rPr>
                <w:rFonts w:eastAsiaTheme="minorEastAsia" w:cs="Times New Roman"/>
                <w:color w:val="000000" w:themeColor="text1"/>
                <w:kern w:val="24"/>
                <w:sz w:val="22"/>
                <w:lang w:eastAsia="en-GB"/>
              </w:rPr>
              <w:t>s</w:t>
            </w:r>
            <w:r w:rsidRPr="273D6463">
              <w:rPr>
                <w:rFonts w:eastAsiaTheme="minorEastAsia" w:cs="Times New Roman"/>
                <w:color w:val="000000" w:themeColor="text1"/>
                <w:kern w:val="24"/>
                <w:sz w:val="22"/>
                <w:lang w:eastAsia="en-GB"/>
              </w:rPr>
              <w:t xml:space="preserve"> 3</w:t>
            </w:r>
            <w:r w:rsidR="007747D5">
              <w:rPr>
                <w:rFonts w:eastAsiaTheme="minorEastAsia" w:cs="Times New Roman"/>
                <w:color w:val="000000" w:themeColor="text1"/>
                <w:kern w:val="24"/>
                <w:sz w:val="22"/>
                <w:lang w:eastAsia="en-GB"/>
              </w:rPr>
              <w:t xml:space="preserve"> and 4</w:t>
            </w:r>
            <w:r w:rsidRPr="273D6463">
              <w:rPr>
                <w:rFonts w:eastAsiaTheme="minorEastAsia" w:cs="Times New Roman"/>
                <w:color w:val="000000" w:themeColor="text1"/>
                <w:kern w:val="24"/>
                <w:sz w:val="22"/>
                <w:lang w:eastAsia="en-GB"/>
              </w:rPr>
              <w:t xml:space="preserve"> of the report.  </w:t>
            </w:r>
            <w:r w:rsidR="280853ED" w:rsidRPr="273D6463">
              <w:rPr>
                <w:rFonts w:eastAsiaTheme="minorEastAsia" w:cs="Times New Roman"/>
                <w:color w:val="000000" w:themeColor="text1"/>
                <w:kern w:val="24"/>
                <w:sz w:val="22"/>
                <w:lang w:eastAsia="en-GB"/>
              </w:rPr>
              <w:t xml:space="preserve"> </w:t>
            </w:r>
            <w:r w:rsidRPr="273D6463">
              <w:rPr>
                <w:rFonts w:eastAsiaTheme="minorEastAsia" w:cs="Times New Roman"/>
                <w:color w:val="000000" w:themeColor="text1"/>
                <w:kern w:val="24"/>
                <w:sz w:val="22"/>
                <w:lang w:eastAsia="en-GB"/>
              </w:rPr>
              <w:t xml:space="preserve">The </w:t>
            </w:r>
            <w:r w:rsidR="1930D61E" w:rsidRPr="273D6463">
              <w:rPr>
                <w:rFonts w:eastAsiaTheme="minorEastAsia" w:cs="Times New Roman"/>
                <w:color w:val="000000" w:themeColor="text1"/>
                <w:kern w:val="24"/>
                <w:sz w:val="22"/>
                <w:lang w:eastAsia="en-GB"/>
              </w:rPr>
              <w:t xml:space="preserve">full </w:t>
            </w:r>
            <w:r w:rsidRPr="273D6463">
              <w:rPr>
                <w:rFonts w:eastAsiaTheme="minorEastAsia" w:cs="Times New Roman"/>
                <w:color w:val="000000" w:themeColor="text1"/>
                <w:kern w:val="24"/>
                <w:sz w:val="22"/>
                <w:lang w:eastAsia="en-GB"/>
              </w:rPr>
              <w:t>risk register entries are provided at Appendix 1</w:t>
            </w:r>
            <w:r w:rsidR="000E4695">
              <w:rPr>
                <w:rFonts w:eastAsiaTheme="minorEastAsia" w:cs="Times New Roman"/>
                <w:color w:val="000000" w:themeColor="text1"/>
                <w:kern w:val="24"/>
                <w:sz w:val="22"/>
                <w:lang w:eastAsia="en-GB"/>
              </w:rPr>
              <w:t>,</w:t>
            </w:r>
            <w:r w:rsidRPr="273D6463">
              <w:rPr>
                <w:rFonts w:eastAsiaTheme="minorEastAsia" w:cs="Times New Roman"/>
                <w:color w:val="000000" w:themeColor="text1"/>
                <w:kern w:val="24"/>
                <w:sz w:val="22"/>
                <w:lang w:eastAsia="en-GB"/>
              </w:rPr>
              <w:t xml:space="preserve"> and a high-level summary dashboard of all risks currently held which meet the threshold for corporate oversight through other assuring committees is attached at Appendix 2. </w:t>
            </w:r>
          </w:p>
        </w:tc>
      </w:tr>
      <w:tr w:rsidR="009D64B8" w:rsidRPr="009D64B8" w14:paraId="3187F8B6" w14:textId="77777777" w:rsidTr="005933AF">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E1AB46A" w14:textId="77777777" w:rsidR="009D64B8" w:rsidRPr="009D64B8" w:rsidRDefault="009D64B8" w:rsidP="009D64B8">
            <w:pPr>
              <w:rPr>
                <w:b/>
              </w:rPr>
            </w:pPr>
            <w:r w:rsidRPr="009D64B8">
              <w:rPr>
                <w:b/>
              </w:rPr>
              <w:t>Recommendations*</w:t>
            </w:r>
          </w:p>
        </w:tc>
      </w:tr>
      <w:tr w:rsidR="009D64B8" w:rsidRPr="009D64B8" w14:paraId="397DD798" w14:textId="77777777" w:rsidTr="005933AF">
        <w:tc>
          <w:tcPr>
            <w:tcW w:w="9493" w:type="dxa"/>
            <w:gridSpan w:val="6"/>
            <w:tcBorders>
              <w:top w:val="single" w:sz="4" w:space="0" w:color="auto"/>
              <w:left w:val="single" w:sz="4" w:space="0" w:color="auto"/>
              <w:bottom w:val="single" w:sz="4" w:space="0" w:color="auto"/>
              <w:right w:val="single" w:sz="4" w:space="0" w:color="auto"/>
            </w:tcBorders>
          </w:tcPr>
          <w:p w14:paraId="358E93A1" w14:textId="77777777" w:rsidR="008A3564" w:rsidRPr="00D24D12" w:rsidRDefault="008A3564" w:rsidP="008A3564">
            <w:pPr>
              <w:pStyle w:val="ListParagraph"/>
              <w:numPr>
                <w:ilvl w:val="0"/>
                <w:numId w:val="7"/>
              </w:numPr>
              <w:spacing w:before="120"/>
              <w:rPr>
                <w:rFonts w:eastAsia="Times New Roman"/>
                <w:szCs w:val="24"/>
                <w:lang w:eastAsia="en-GB"/>
              </w:rPr>
            </w:pPr>
            <w:r>
              <w:rPr>
                <w:rFonts w:eastAsiaTheme="minorEastAsia"/>
                <w:b/>
                <w:bCs/>
                <w:color w:val="000000" w:themeColor="text1"/>
                <w:kern w:val="24"/>
                <w:szCs w:val="24"/>
                <w:lang w:val="en-US" w:eastAsia="en-GB"/>
              </w:rPr>
              <w:t xml:space="preserve">Note </w:t>
            </w:r>
            <w:r>
              <w:rPr>
                <w:rFonts w:eastAsiaTheme="minorEastAsia"/>
                <w:color w:val="000000" w:themeColor="text1"/>
                <w:kern w:val="24"/>
                <w:szCs w:val="24"/>
                <w:lang w:val="en-US" w:eastAsia="en-GB"/>
              </w:rPr>
              <w:t>the contents of the report.</w:t>
            </w:r>
          </w:p>
          <w:p w14:paraId="39C24FA5" w14:textId="77777777" w:rsidR="008A3564" w:rsidRPr="00F3277A" w:rsidRDefault="008A3564" w:rsidP="008A3564">
            <w:pPr>
              <w:pStyle w:val="ListParagraph"/>
              <w:numPr>
                <w:ilvl w:val="0"/>
                <w:numId w:val="7"/>
              </w:numPr>
              <w:spacing w:before="120"/>
              <w:rPr>
                <w:rFonts w:eastAsia="Times New Roman"/>
                <w:szCs w:val="24"/>
                <w:lang w:eastAsia="en-GB"/>
              </w:rPr>
            </w:pPr>
            <w:r>
              <w:rPr>
                <w:rFonts w:eastAsiaTheme="minorEastAsia"/>
                <w:b/>
                <w:bCs/>
                <w:color w:val="000000" w:themeColor="text1"/>
                <w:kern w:val="24"/>
                <w:szCs w:val="24"/>
                <w:lang w:val="en-US" w:eastAsia="en-GB"/>
              </w:rPr>
              <w:t xml:space="preserve">Note </w:t>
            </w:r>
            <w:r>
              <w:rPr>
                <w:rFonts w:eastAsiaTheme="minorEastAsia"/>
                <w:color w:val="000000" w:themeColor="text1"/>
                <w:kern w:val="24"/>
                <w:szCs w:val="24"/>
                <w:lang w:val="en-US" w:eastAsia="en-GB"/>
              </w:rPr>
              <w:t>the risk management activity undertaken during the reporting period.</w:t>
            </w:r>
          </w:p>
          <w:p w14:paraId="6E7643B5" w14:textId="77777777" w:rsidR="008A3564" w:rsidRPr="006E4863" w:rsidRDefault="008A3564" w:rsidP="008A3564">
            <w:pPr>
              <w:pStyle w:val="ListParagraph"/>
              <w:numPr>
                <w:ilvl w:val="0"/>
                <w:numId w:val="7"/>
              </w:numPr>
              <w:spacing w:before="120"/>
              <w:rPr>
                <w:rFonts w:eastAsia="Times New Roman"/>
                <w:szCs w:val="24"/>
                <w:lang w:eastAsia="en-GB"/>
              </w:rPr>
            </w:pPr>
            <w:r>
              <w:rPr>
                <w:rFonts w:eastAsiaTheme="minorEastAsia"/>
                <w:b/>
                <w:bCs/>
                <w:color w:val="000000" w:themeColor="text1"/>
                <w:kern w:val="24"/>
                <w:szCs w:val="24"/>
                <w:lang w:val="en-US" w:eastAsia="en-GB"/>
              </w:rPr>
              <w:t xml:space="preserve">Review </w:t>
            </w:r>
            <w:r>
              <w:rPr>
                <w:rFonts w:eastAsiaTheme="minorEastAsia"/>
                <w:color w:val="000000" w:themeColor="text1"/>
                <w:kern w:val="24"/>
                <w:szCs w:val="24"/>
                <w:lang w:val="en-US" w:eastAsia="en-GB"/>
              </w:rPr>
              <w:t>the risks relating to the business of the Primary Care Contracts Sub-Committee (Appendix 1).</w:t>
            </w:r>
          </w:p>
          <w:p w14:paraId="4A105DA1" w14:textId="77777777" w:rsidR="008A3564" w:rsidRPr="00F3277A" w:rsidRDefault="008A3564" w:rsidP="008A3564">
            <w:pPr>
              <w:pStyle w:val="ListParagraph"/>
              <w:numPr>
                <w:ilvl w:val="0"/>
                <w:numId w:val="7"/>
              </w:numPr>
              <w:spacing w:before="120"/>
              <w:rPr>
                <w:rFonts w:eastAsia="Times New Roman"/>
                <w:szCs w:val="24"/>
                <w:lang w:eastAsia="en-GB"/>
              </w:rPr>
            </w:pPr>
            <w:r>
              <w:rPr>
                <w:rFonts w:eastAsiaTheme="minorEastAsia"/>
                <w:b/>
                <w:bCs/>
                <w:color w:val="000000" w:themeColor="text1"/>
                <w:kern w:val="24"/>
                <w:szCs w:val="24"/>
                <w:lang w:val="en-US" w:eastAsia="en-GB"/>
              </w:rPr>
              <w:t xml:space="preserve">Note </w:t>
            </w:r>
            <w:r>
              <w:rPr>
                <w:rFonts w:eastAsiaTheme="minorEastAsia"/>
                <w:color w:val="000000" w:themeColor="text1"/>
                <w:kern w:val="24"/>
                <w:szCs w:val="24"/>
                <w:lang w:val="en-US" w:eastAsia="en-GB"/>
              </w:rPr>
              <w:t xml:space="preserve">the recommendation to EMT for closure of Risk ICB009. </w:t>
            </w:r>
          </w:p>
          <w:p w14:paraId="485D2C6B" w14:textId="5EB4167E" w:rsidR="009D64B8" w:rsidRPr="008A3564" w:rsidRDefault="008A3564" w:rsidP="009D64B8">
            <w:pPr>
              <w:pStyle w:val="ListParagraph"/>
              <w:numPr>
                <w:ilvl w:val="0"/>
                <w:numId w:val="7"/>
              </w:numPr>
              <w:spacing w:before="120"/>
              <w:rPr>
                <w:rFonts w:eastAsia="Times New Roman"/>
                <w:b/>
                <w:bCs/>
                <w:szCs w:val="24"/>
                <w:lang w:eastAsia="en-GB"/>
              </w:rPr>
            </w:pPr>
            <w:r w:rsidRPr="00F3277A">
              <w:rPr>
                <w:rFonts w:eastAsia="Times New Roman"/>
                <w:b/>
                <w:bCs/>
                <w:szCs w:val="24"/>
                <w:lang w:eastAsia="en-GB"/>
              </w:rPr>
              <w:t xml:space="preserve">Note for information </w:t>
            </w:r>
            <w:r>
              <w:rPr>
                <w:rFonts w:eastAsia="Times New Roman"/>
                <w:szCs w:val="24"/>
                <w:lang w:eastAsia="en-GB"/>
              </w:rPr>
              <w:t>all risks currently held on the ICB’s ORR (Appendix 2).</w:t>
            </w:r>
          </w:p>
        </w:tc>
      </w:tr>
      <w:tr w:rsidR="009D64B8" w:rsidRPr="009D64B8" w14:paraId="32BD7C29" w14:textId="77777777" w:rsidTr="005933AF">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BC4AA14" w14:textId="77777777" w:rsidR="009D64B8" w:rsidRPr="009D64B8" w:rsidRDefault="009D64B8" w:rsidP="009D64B8">
            <w:pPr>
              <w:rPr>
                <w:b/>
              </w:rPr>
            </w:pPr>
            <w:r w:rsidRPr="009D64B8">
              <w:rPr>
                <w:b/>
              </w:rPr>
              <w:t xml:space="preserve">Governance and reporting* </w:t>
            </w:r>
            <w:r w:rsidRPr="009D64B8">
              <w:t>(list other forums that have discussed this paper and any other engagement that has taken place)</w:t>
            </w:r>
          </w:p>
        </w:tc>
      </w:tr>
      <w:tr w:rsidR="009D64B8" w:rsidRPr="009D64B8" w14:paraId="1DEC5959"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5101E5" w14:textId="77777777" w:rsidR="009D64B8" w:rsidRPr="009D64B8" w:rsidRDefault="009D64B8" w:rsidP="009D64B8">
            <w:pPr>
              <w:rPr>
                <w:b/>
              </w:rPr>
            </w:pPr>
            <w:r w:rsidRPr="009D64B8">
              <w:rPr>
                <w:b/>
              </w:rPr>
              <w:t>Meeting</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0C26F3C" w14:textId="77777777" w:rsidR="009D64B8" w:rsidRPr="009D64B8" w:rsidRDefault="009D64B8" w:rsidP="009D64B8">
            <w:pPr>
              <w:rPr>
                <w:b/>
              </w:rPr>
            </w:pPr>
            <w:r w:rsidRPr="009D64B8">
              <w:rPr>
                <w:b/>
              </w:rPr>
              <w:t>Date</w:t>
            </w:r>
          </w:p>
        </w:tc>
        <w:tc>
          <w:tcPr>
            <w:tcW w:w="3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31F763" w14:textId="77777777" w:rsidR="009D64B8" w:rsidRPr="009D64B8" w:rsidRDefault="009D64B8" w:rsidP="009D64B8">
            <w:pPr>
              <w:rPr>
                <w:b/>
              </w:rPr>
            </w:pPr>
            <w:r w:rsidRPr="009D64B8">
              <w:rPr>
                <w:b/>
              </w:rPr>
              <w:t>Outcomes</w:t>
            </w:r>
          </w:p>
        </w:tc>
      </w:tr>
      <w:tr w:rsidR="009D64B8" w:rsidRPr="009D64B8" w14:paraId="2E484CED"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0F2C7C1C" w14:textId="6B58B15E" w:rsidR="009D64B8" w:rsidRPr="009D64B8" w:rsidRDefault="009D64B8" w:rsidP="009D64B8">
            <w:pPr>
              <w:rPr>
                <w:b/>
              </w:rPr>
            </w:pPr>
            <w:r>
              <w:rPr>
                <w:b/>
              </w:rPr>
              <w:t>ICB Executive Management Team</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8A1EA4E" w14:textId="6403078F" w:rsidR="009D64B8" w:rsidRPr="009D64B8" w:rsidRDefault="009D2353" w:rsidP="009D64B8">
            <w:pPr>
              <w:rPr>
                <w:b/>
              </w:rPr>
            </w:pPr>
            <w:r>
              <w:rPr>
                <w:b/>
              </w:rPr>
              <w:t>4 June 2025</w:t>
            </w:r>
          </w:p>
        </w:tc>
        <w:tc>
          <w:tcPr>
            <w:tcW w:w="3473" w:type="dxa"/>
            <w:tcBorders>
              <w:top w:val="single" w:sz="4" w:space="0" w:color="auto"/>
              <w:left w:val="single" w:sz="4" w:space="0" w:color="auto"/>
              <w:bottom w:val="single" w:sz="4" w:space="0" w:color="auto"/>
              <w:right w:val="single" w:sz="4" w:space="0" w:color="auto"/>
            </w:tcBorders>
            <w:shd w:val="clear" w:color="auto" w:fill="FFFFFF" w:themeFill="background1"/>
          </w:tcPr>
          <w:p w14:paraId="36A68BA7" w14:textId="0848982F" w:rsidR="009D64B8" w:rsidRPr="009D64B8" w:rsidRDefault="009D2353" w:rsidP="009D64B8">
            <w:pPr>
              <w:rPr>
                <w:b/>
              </w:rPr>
            </w:pPr>
            <w:r>
              <w:rPr>
                <w:b/>
              </w:rPr>
              <w:t>Awaited</w:t>
            </w:r>
          </w:p>
        </w:tc>
      </w:tr>
      <w:tr w:rsidR="009D64B8" w:rsidRPr="009D64B8" w14:paraId="12F1EF10" w14:textId="77777777" w:rsidTr="005933AF">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6BBEFF9" w14:textId="77777777" w:rsidR="009D64B8" w:rsidRPr="009D64B8" w:rsidRDefault="009D64B8" w:rsidP="009D64B8">
            <w:pPr>
              <w:rPr>
                <w:b/>
              </w:rPr>
            </w:pPr>
            <w:r w:rsidRPr="009D64B8">
              <w:rPr>
                <w:b/>
              </w:rPr>
              <w:t>Conflicts of interest identified</w:t>
            </w:r>
          </w:p>
        </w:tc>
      </w:tr>
      <w:tr w:rsidR="009D64B8" w:rsidRPr="009D64B8" w14:paraId="7D46F251" w14:textId="77777777" w:rsidTr="005933AF">
        <w:tc>
          <w:tcPr>
            <w:tcW w:w="949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66CF6DA" w14:textId="2824563D" w:rsidR="009D64B8" w:rsidRPr="009D64B8" w:rsidRDefault="23D1990E" w:rsidP="009D64B8">
            <w:pPr>
              <w:rPr>
                <w:b/>
              </w:rPr>
            </w:pPr>
            <w:r w:rsidRPr="6C5DB8D2">
              <w:rPr>
                <w:b/>
                <w:bCs/>
              </w:rPr>
              <w:t>N</w:t>
            </w:r>
            <w:r w:rsidRPr="60BA85DE">
              <w:rPr>
                <w:b/>
                <w:bCs/>
              </w:rPr>
              <w:t>/A</w:t>
            </w:r>
          </w:p>
        </w:tc>
      </w:tr>
      <w:tr w:rsidR="009D64B8" w:rsidRPr="009D64B8" w14:paraId="78EDD5C8" w14:textId="77777777" w:rsidTr="005933AF">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5CB0790" w14:textId="77777777" w:rsidR="009D64B8" w:rsidRPr="009D64B8" w:rsidRDefault="009D64B8" w:rsidP="009D64B8">
            <w:pPr>
              <w:rPr>
                <w:b/>
              </w:rPr>
            </w:pPr>
            <w:r w:rsidRPr="009D64B8">
              <w:rPr>
                <w:b/>
              </w:rPr>
              <w:t xml:space="preserve">Implications </w:t>
            </w:r>
          </w:p>
        </w:tc>
      </w:tr>
      <w:tr w:rsidR="009D64B8" w:rsidRPr="009D64B8" w14:paraId="79C272E3"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5BE1" w14:textId="77777777" w:rsidR="009D64B8" w:rsidRPr="009D64B8" w:rsidRDefault="009D64B8" w:rsidP="009D64B8">
            <w:pPr>
              <w:rPr>
                <w:b/>
                <w:i/>
              </w:rPr>
            </w:pPr>
            <w:r w:rsidRPr="009D64B8">
              <w:rPr>
                <w:i/>
              </w:rPr>
              <w:t>If yes, please provide a brief risk description and reference number</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E4BB40" w14:textId="77777777" w:rsidR="009D64B8" w:rsidRPr="009D64B8" w:rsidRDefault="009D64B8" w:rsidP="009D64B8">
            <w:pPr>
              <w:rPr>
                <w:b/>
              </w:rPr>
            </w:pPr>
            <w:r w:rsidRPr="009D64B8">
              <w:rPr>
                <w:b/>
              </w:rPr>
              <w:t>YES</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F07166" w14:textId="77777777" w:rsidR="009D64B8" w:rsidRPr="009D64B8" w:rsidRDefault="009D64B8" w:rsidP="009D64B8">
            <w:pPr>
              <w:rPr>
                <w:b/>
              </w:rPr>
            </w:pPr>
            <w:r w:rsidRPr="009D64B8">
              <w:rPr>
                <w:b/>
              </w:rPr>
              <w:t>NO</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3B2628" w14:textId="77777777" w:rsidR="009D64B8" w:rsidRPr="009D64B8" w:rsidRDefault="009D64B8" w:rsidP="009D64B8">
            <w:pPr>
              <w:rPr>
                <w:b/>
              </w:rPr>
            </w:pPr>
            <w:r w:rsidRPr="009D64B8">
              <w:rPr>
                <w:b/>
              </w:rPr>
              <w:t>N/A</w:t>
            </w: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E3386AD" w14:textId="77777777" w:rsidR="009D64B8" w:rsidRPr="009D64B8" w:rsidRDefault="009D64B8" w:rsidP="009D64B8">
            <w:pPr>
              <w:rPr>
                <w:b/>
              </w:rPr>
            </w:pPr>
            <w:r w:rsidRPr="009D64B8">
              <w:rPr>
                <w:b/>
              </w:rPr>
              <w:t>Comments</w:t>
            </w:r>
          </w:p>
        </w:tc>
      </w:tr>
      <w:tr w:rsidR="009D64B8" w:rsidRPr="009D64B8" w14:paraId="715F1876"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BE58B7" w14:textId="77777777" w:rsidR="009D64B8" w:rsidRPr="009D64B8" w:rsidRDefault="009D64B8" w:rsidP="009D64B8">
            <w:pPr>
              <w:shd w:val="clear" w:color="auto" w:fill="FFFFFF" w:themeFill="background1"/>
            </w:pPr>
            <w:r w:rsidRPr="009D64B8">
              <w:t>Quality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285E2DD6" w14:textId="77777777" w:rsidR="009D64B8" w:rsidRPr="009D64B8" w:rsidRDefault="009D64B8" w:rsidP="009D64B8">
            <w:pPr>
              <w:shd w:val="clear" w:color="auto" w:fill="FFFFFF" w:themeFill="background1"/>
            </w:pP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40113DEA" w14:textId="2363362B" w:rsidR="009D64B8" w:rsidRPr="009D64B8" w:rsidRDefault="009D64B8" w:rsidP="009D64B8">
            <w:pPr>
              <w:shd w:val="clear" w:color="auto" w:fill="FFFFFF" w:themeFill="background1"/>
            </w:pPr>
            <w:r>
              <w:t>X</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081054F" w14:textId="77777777" w:rsidR="009D64B8" w:rsidRPr="009D64B8" w:rsidRDefault="009D64B8" w:rsidP="009D64B8">
            <w:pPr>
              <w:shd w:val="clear" w:color="auto" w:fill="FFFFFF" w:themeFill="background1"/>
            </w:pP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B59698" w14:textId="26A82769" w:rsidR="009D64B8" w:rsidRPr="009D64B8" w:rsidRDefault="0067460C" w:rsidP="009D64B8">
            <w:pPr>
              <w:shd w:val="clear" w:color="auto" w:fill="FFFFFF" w:themeFill="background1"/>
            </w:pPr>
            <w:r>
              <w:t>Not required</w:t>
            </w:r>
          </w:p>
        </w:tc>
      </w:tr>
      <w:tr w:rsidR="009D64B8" w:rsidRPr="009D64B8" w14:paraId="5C43E1DB"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3A5F80" w14:textId="77777777" w:rsidR="009D64B8" w:rsidRPr="009D64B8" w:rsidRDefault="009D64B8" w:rsidP="009D64B8">
            <w:pPr>
              <w:shd w:val="clear" w:color="auto" w:fill="FFFFFF" w:themeFill="background1"/>
            </w:pPr>
            <w:r w:rsidRPr="009D64B8">
              <w:t>Equality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226E9C6D" w14:textId="77777777" w:rsidR="009D64B8" w:rsidRPr="009D64B8" w:rsidRDefault="009D64B8" w:rsidP="009D64B8">
            <w:pPr>
              <w:shd w:val="clear" w:color="auto" w:fill="FFFFFF" w:themeFill="background1"/>
            </w:pP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0873BCCB" w14:textId="3021D47B" w:rsidR="009D64B8" w:rsidRPr="009D64B8" w:rsidRDefault="009D64B8" w:rsidP="009D64B8">
            <w:pPr>
              <w:shd w:val="clear" w:color="auto" w:fill="FFFFFF" w:themeFill="background1"/>
            </w:pPr>
            <w:r>
              <w:t>X</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B1E7E41" w14:textId="77777777" w:rsidR="009D64B8" w:rsidRPr="009D64B8" w:rsidRDefault="009D64B8" w:rsidP="009D64B8">
            <w:pPr>
              <w:shd w:val="clear" w:color="auto" w:fill="FFFFFF" w:themeFill="background1"/>
            </w:pP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DE5A88" w14:textId="170EDA96" w:rsidR="009D64B8" w:rsidRPr="009D64B8" w:rsidRDefault="0067460C" w:rsidP="009D64B8">
            <w:pPr>
              <w:shd w:val="clear" w:color="auto" w:fill="FFFFFF" w:themeFill="background1"/>
            </w:pPr>
            <w:r>
              <w:t>Not required</w:t>
            </w:r>
          </w:p>
        </w:tc>
      </w:tr>
      <w:tr w:rsidR="009D64B8" w:rsidRPr="009D64B8" w14:paraId="40A14BEC"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3C6F38" w14:textId="77777777" w:rsidR="009D64B8" w:rsidRPr="009D64B8" w:rsidRDefault="009D64B8" w:rsidP="009D64B8">
            <w:pPr>
              <w:shd w:val="clear" w:color="auto" w:fill="FFFFFF" w:themeFill="background1"/>
            </w:pPr>
            <w:r w:rsidRPr="009D64B8">
              <w:t>Privacy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308376F6" w14:textId="77777777" w:rsidR="009D64B8" w:rsidRPr="009D64B8" w:rsidRDefault="009D64B8" w:rsidP="009D64B8">
            <w:pPr>
              <w:shd w:val="clear" w:color="auto" w:fill="FFFFFF" w:themeFill="background1"/>
            </w:pP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3E777703" w14:textId="1CE149C1" w:rsidR="009D64B8" w:rsidRPr="009D64B8" w:rsidRDefault="009D64B8" w:rsidP="009D64B8">
            <w:pPr>
              <w:shd w:val="clear" w:color="auto" w:fill="FFFFFF" w:themeFill="background1"/>
            </w:pPr>
            <w:r>
              <w:t>X</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81D780C" w14:textId="77777777" w:rsidR="009D64B8" w:rsidRPr="009D64B8" w:rsidRDefault="009D64B8" w:rsidP="009D64B8">
            <w:pPr>
              <w:shd w:val="clear" w:color="auto" w:fill="FFFFFF" w:themeFill="background1"/>
            </w:pP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93228C" w14:textId="07814319" w:rsidR="009D64B8" w:rsidRPr="009D64B8" w:rsidRDefault="0067460C" w:rsidP="009D64B8">
            <w:pPr>
              <w:shd w:val="clear" w:color="auto" w:fill="FFFFFF" w:themeFill="background1"/>
            </w:pPr>
            <w:r>
              <w:t>Not required</w:t>
            </w:r>
          </w:p>
        </w:tc>
      </w:tr>
      <w:tr w:rsidR="009D64B8" w:rsidRPr="009D64B8" w14:paraId="228406DF"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EA6857" w14:textId="77777777" w:rsidR="009D64B8" w:rsidRPr="009D64B8" w:rsidRDefault="009D64B8" w:rsidP="009D64B8">
            <w:pPr>
              <w:shd w:val="clear" w:color="auto" w:fill="FFFFFF" w:themeFill="background1"/>
            </w:pPr>
            <w:r w:rsidRPr="009D64B8">
              <w:t>Financial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69B18FA5" w14:textId="77777777" w:rsidR="009D64B8" w:rsidRPr="009D64B8" w:rsidRDefault="009D64B8" w:rsidP="009D64B8">
            <w:pPr>
              <w:shd w:val="clear" w:color="auto" w:fill="FFFFFF" w:themeFill="background1"/>
            </w:pP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5BE09610" w14:textId="09D72724" w:rsidR="009D64B8" w:rsidRPr="009D64B8" w:rsidRDefault="009D64B8" w:rsidP="009D64B8">
            <w:pPr>
              <w:shd w:val="clear" w:color="auto" w:fill="FFFFFF" w:themeFill="background1"/>
            </w:pPr>
            <w:r>
              <w:t>X</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1E9DDF2" w14:textId="77777777" w:rsidR="009D64B8" w:rsidRPr="009D64B8" w:rsidRDefault="009D64B8" w:rsidP="009D64B8">
            <w:pPr>
              <w:shd w:val="clear" w:color="auto" w:fill="FFFFFF" w:themeFill="background1"/>
            </w:pP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F4699A" w14:textId="1AD98355" w:rsidR="009D64B8" w:rsidRPr="009D64B8" w:rsidRDefault="0067460C" w:rsidP="009D64B8">
            <w:pPr>
              <w:shd w:val="clear" w:color="auto" w:fill="FFFFFF" w:themeFill="background1"/>
            </w:pPr>
            <w:r>
              <w:t>Not required</w:t>
            </w:r>
          </w:p>
        </w:tc>
      </w:tr>
      <w:tr w:rsidR="009D64B8" w:rsidRPr="009D64B8" w14:paraId="5685D551"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086F41" w14:textId="77777777" w:rsidR="009D64B8" w:rsidRPr="009D64B8" w:rsidRDefault="009D64B8" w:rsidP="009D64B8">
            <w:pPr>
              <w:shd w:val="clear" w:color="auto" w:fill="FFFFFF" w:themeFill="background1"/>
            </w:pPr>
            <w:r w:rsidRPr="009D64B8">
              <w:t>Associated risks</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64A0ED13" w14:textId="1E054222" w:rsidR="009D64B8" w:rsidRPr="009D64B8" w:rsidRDefault="009D64B8" w:rsidP="009D64B8">
            <w:pPr>
              <w:shd w:val="clear" w:color="auto" w:fill="FFFFFF" w:themeFill="background1"/>
            </w:pPr>
            <w:r>
              <w:t>X</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0CB3D14A" w14:textId="77777777" w:rsidR="009D64B8" w:rsidRPr="009D64B8" w:rsidRDefault="009D64B8" w:rsidP="009D64B8">
            <w:pPr>
              <w:shd w:val="clear" w:color="auto" w:fill="FFFFFF" w:themeFill="background1"/>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970C01F" w14:textId="77777777" w:rsidR="009D64B8" w:rsidRPr="009D64B8" w:rsidRDefault="009D64B8" w:rsidP="009D64B8">
            <w:pPr>
              <w:shd w:val="clear" w:color="auto" w:fill="FFFFFF" w:themeFill="background1"/>
            </w:pP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8766F7" w14:textId="3644DD62" w:rsidR="009D64B8" w:rsidRPr="009D64B8" w:rsidRDefault="0067460C" w:rsidP="009D64B8">
            <w:pPr>
              <w:shd w:val="clear" w:color="auto" w:fill="FFFFFF" w:themeFill="background1"/>
            </w:pPr>
            <w:r>
              <w:t xml:space="preserve">Outlined in the report </w:t>
            </w:r>
          </w:p>
        </w:tc>
      </w:tr>
      <w:tr w:rsidR="009D64B8" w:rsidRPr="009D64B8" w14:paraId="5E14BBA1"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55581E" w14:textId="206E8986" w:rsidR="009D64B8" w:rsidRPr="009D64B8" w:rsidRDefault="009D64B8" w:rsidP="009D64B8">
            <w:pPr>
              <w:shd w:val="clear" w:color="auto" w:fill="FFFFFF" w:themeFill="background1"/>
            </w:pPr>
            <w:r w:rsidRPr="009D64B8">
              <w:t>Are associated risks detailed on the IC</w:t>
            </w:r>
            <w:r>
              <w:t>B</w:t>
            </w:r>
            <w:r w:rsidRPr="009D64B8">
              <w:t xml:space="preserve"> Risk Register?</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502272FB" w14:textId="4AC6D2B7" w:rsidR="009D64B8" w:rsidRPr="009D64B8" w:rsidRDefault="009D64B8" w:rsidP="009D64B8">
            <w:pPr>
              <w:shd w:val="clear" w:color="auto" w:fill="FFFFFF" w:themeFill="background1"/>
            </w:pPr>
            <w:r>
              <w:t>X</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54A1D93B" w14:textId="77777777" w:rsidR="009D64B8" w:rsidRPr="009D64B8" w:rsidRDefault="009D64B8" w:rsidP="009D64B8">
            <w:pPr>
              <w:shd w:val="clear" w:color="auto" w:fill="FFFFFF" w:themeFill="background1"/>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017824D" w14:textId="77777777" w:rsidR="009D64B8" w:rsidRPr="009D64B8" w:rsidRDefault="009D64B8" w:rsidP="009D64B8">
            <w:pPr>
              <w:shd w:val="clear" w:color="auto" w:fill="FFFFFF" w:themeFill="background1"/>
            </w:pP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EEA3F6" w14:textId="317D8DC4" w:rsidR="009D64B8" w:rsidRPr="009D64B8" w:rsidRDefault="0067460C" w:rsidP="009D64B8">
            <w:pPr>
              <w:shd w:val="clear" w:color="auto" w:fill="FFFFFF" w:themeFill="background1"/>
            </w:pPr>
            <w:r>
              <w:t>Outlined in the report</w:t>
            </w:r>
          </w:p>
        </w:tc>
      </w:tr>
      <w:tr w:rsidR="009D64B8" w:rsidRPr="009D64B8" w14:paraId="27DE9DFC" w14:textId="77777777" w:rsidTr="005933AF">
        <w:tc>
          <w:tcPr>
            <w:tcW w:w="2972" w:type="dxa"/>
            <w:tcBorders>
              <w:top w:val="single" w:sz="4" w:space="0" w:color="auto"/>
              <w:left w:val="nil"/>
              <w:bottom w:val="single" w:sz="4" w:space="0" w:color="auto"/>
              <w:right w:val="nil"/>
            </w:tcBorders>
            <w:shd w:val="clear" w:color="auto" w:fill="FFFFFF" w:themeFill="background1"/>
          </w:tcPr>
          <w:p w14:paraId="5C6EF038" w14:textId="77777777" w:rsidR="009D64B8" w:rsidRPr="009D64B8" w:rsidRDefault="009D64B8" w:rsidP="009D64B8">
            <w:pPr>
              <w:rPr>
                <w:b/>
              </w:rPr>
            </w:pPr>
          </w:p>
        </w:tc>
        <w:tc>
          <w:tcPr>
            <w:tcW w:w="6521" w:type="dxa"/>
            <w:gridSpan w:val="5"/>
            <w:tcBorders>
              <w:top w:val="single" w:sz="4" w:space="0" w:color="auto"/>
              <w:left w:val="nil"/>
              <w:bottom w:val="single" w:sz="4" w:space="0" w:color="auto"/>
              <w:right w:val="nil"/>
            </w:tcBorders>
          </w:tcPr>
          <w:p w14:paraId="27028CC1" w14:textId="77777777" w:rsidR="009D64B8" w:rsidRPr="009D64B8" w:rsidRDefault="009D64B8" w:rsidP="009D64B8">
            <w:pPr>
              <w:rPr>
                <w:bCs/>
              </w:rPr>
            </w:pPr>
          </w:p>
        </w:tc>
      </w:tr>
      <w:tr w:rsidR="009D64B8" w:rsidRPr="009D64B8" w14:paraId="495C6A9E" w14:textId="77777777" w:rsidTr="005933AF">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5F862B" w14:textId="77777777" w:rsidR="009D64B8" w:rsidRPr="009D64B8" w:rsidRDefault="009D64B8" w:rsidP="009D64B8">
            <w:pPr>
              <w:rPr>
                <w:b/>
              </w:rPr>
            </w:pPr>
            <w:r w:rsidRPr="009D64B8">
              <w:rPr>
                <w:b/>
              </w:rPr>
              <w:t>Report authorised by</w:t>
            </w:r>
          </w:p>
        </w:tc>
        <w:tc>
          <w:tcPr>
            <w:tcW w:w="6521" w:type="dxa"/>
            <w:gridSpan w:val="5"/>
            <w:tcBorders>
              <w:top w:val="single" w:sz="4" w:space="0" w:color="auto"/>
              <w:left w:val="single" w:sz="4" w:space="0" w:color="auto"/>
              <w:bottom w:val="single" w:sz="4" w:space="0" w:color="auto"/>
              <w:right w:val="single" w:sz="4" w:space="0" w:color="auto"/>
            </w:tcBorders>
          </w:tcPr>
          <w:p w14:paraId="45AAED3F" w14:textId="4304B668" w:rsidR="009D64B8" w:rsidRPr="009D64B8" w:rsidRDefault="4735A82F" w:rsidP="009D64B8">
            <w:pPr>
              <w:rPr>
                <w:bCs/>
              </w:rPr>
            </w:pPr>
            <w:r>
              <w:t xml:space="preserve">Claire Moore on behalf of </w:t>
            </w:r>
            <w:r w:rsidR="009D64B8">
              <w:rPr>
                <w:bCs/>
              </w:rPr>
              <w:t>Debra Atkinson, Director of Corporate Governance/Company Secretary</w:t>
            </w:r>
          </w:p>
        </w:tc>
      </w:tr>
    </w:tbl>
    <w:p w14:paraId="76A0C0D2" w14:textId="77777777" w:rsidR="009D64B8" w:rsidRDefault="009D64B8" w:rsidP="00A130FF">
      <w:pPr>
        <w:pStyle w:val="Heading1"/>
        <w:spacing w:before="120" w:line="240" w:lineRule="auto"/>
        <w:jc w:val="center"/>
        <w:rPr>
          <w:lang w:val="en-US" w:eastAsia="en-GB"/>
        </w:rPr>
      </w:pPr>
    </w:p>
    <w:p w14:paraId="263C0974" w14:textId="77777777" w:rsidR="009D64B8" w:rsidRDefault="009D64B8" w:rsidP="00A130FF">
      <w:pPr>
        <w:pStyle w:val="Heading1"/>
        <w:spacing w:before="120" w:line="240" w:lineRule="auto"/>
        <w:jc w:val="center"/>
        <w:rPr>
          <w:lang w:val="en-US" w:eastAsia="en-GB"/>
        </w:rPr>
      </w:pPr>
    </w:p>
    <w:p w14:paraId="7D903331" w14:textId="77777777" w:rsidR="009D64B8" w:rsidRDefault="009D64B8" w:rsidP="00A130FF">
      <w:pPr>
        <w:pStyle w:val="Heading1"/>
        <w:spacing w:before="120" w:line="240" w:lineRule="auto"/>
        <w:jc w:val="center"/>
        <w:rPr>
          <w:lang w:val="en-US" w:eastAsia="en-GB"/>
        </w:rPr>
      </w:pPr>
    </w:p>
    <w:p w14:paraId="105FCF87" w14:textId="77777777" w:rsidR="009D64B8" w:rsidRDefault="009D64B8" w:rsidP="00A130FF">
      <w:pPr>
        <w:pStyle w:val="Heading1"/>
        <w:spacing w:before="120" w:line="240" w:lineRule="auto"/>
        <w:jc w:val="center"/>
        <w:rPr>
          <w:lang w:val="en-US" w:eastAsia="en-GB"/>
        </w:rPr>
      </w:pPr>
    </w:p>
    <w:p w14:paraId="63ED40AA" w14:textId="77777777" w:rsidR="009D64B8" w:rsidRDefault="009D64B8" w:rsidP="00A130FF">
      <w:pPr>
        <w:pStyle w:val="Heading1"/>
        <w:spacing w:before="120" w:line="240" w:lineRule="auto"/>
        <w:jc w:val="center"/>
        <w:rPr>
          <w:lang w:val="en-US" w:eastAsia="en-GB"/>
        </w:rPr>
      </w:pPr>
    </w:p>
    <w:p w14:paraId="0892679B" w14:textId="77777777" w:rsidR="009D64B8" w:rsidRDefault="009D64B8" w:rsidP="00A130FF">
      <w:pPr>
        <w:pStyle w:val="Heading1"/>
        <w:spacing w:before="120" w:line="240" w:lineRule="auto"/>
        <w:jc w:val="center"/>
        <w:rPr>
          <w:lang w:val="en-US" w:eastAsia="en-GB"/>
        </w:rPr>
      </w:pPr>
    </w:p>
    <w:p w14:paraId="796EE5A4" w14:textId="77777777" w:rsidR="009D64B8" w:rsidRDefault="009D64B8" w:rsidP="00A130FF">
      <w:pPr>
        <w:pStyle w:val="Heading1"/>
        <w:spacing w:before="120" w:line="240" w:lineRule="auto"/>
        <w:jc w:val="center"/>
        <w:rPr>
          <w:lang w:val="en-US" w:eastAsia="en-GB"/>
        </w:rPr>
      </w:pPr>
    </w:p>
    <w:p w14:paraId="70044B9B" w14:textId="0390A144" w:rsidR="00D25DA0" w:rsidRDefault="00DA478E" w:rsidP="00A130FF">
      <w:pPr>
        <w:pStyle w:val="Heading1"/>
        <w:spacing w:before="120" w:line="240" w:lineRule="auto"/>
        <w:jc w:val="center"/>
        <w:rPr>
          <w:szCs w:val="36"/>
        </w:rPr>
      </w:pPr>
      <w:r w:rsidRPr="001467DD">
        <w:rPr>
          <w:lang w:val="en-US" w:eastAsia="en-GB"/>
        </w:rPr>
        <w:br w:type="page"/>
      </w:r>
      <w:r w:rsidR="00A130FF">
        <w:rPr>
          <w:szCs w:val="36"/>
        </w:rPr>
        <w:t xml:space="preserve">ICB </w:t>
      </w:r>
      <w:r w:rsidR="00F77E34">
        <w:rPr>
          <w:szCs w:val="36"/>
        </w:rPr>
        <w:t xml:space="preserve">Primary Care </w:t>
      </w:r>
      <w:r w:rsidR="00FF34F0">
        <w:rPr>
          <w:szCs w:val="36"/>
        </w:rPr>
        <w:t>Contract</w:t>
      </w:r>
      <w:r w:rsidR="000E4695">
        <w:rPr>
          <w:szCs w:val="36"/>
        </w:rPr>
        <w:t>s</w:t>
      </w:r>
      <w:r w:rsidR="00FF34F0">
        <w:rPr>
          <w:szCs w:val="36"/>
        </w:rPr>
        <w:t xml:space="preserve"> Sub-</w:t>
      </w:r>
      <w:r w:rsidR="00A130FF">
        <w:rPr>
          <w:szCs w:val="36"/>
        </w:rPr>
        <w:t>Committee</w:t>
      </w:r>
      <w:r w:rsidR="00D25DA0">
        <w:rPr>
          <w:szCs w:val="36"/>
        </w:rPr>
        <w:t xml:space="preserve"> </w:t>
      </w:r>
    </w:p>
    <w:p w14:paraId="49E53C3A" w14:textId="31960C19" w:rsidR="00E92653" w:rsidRPr="002B6BA0" w:rsidRDefault="000C773E" w:rsidP="00A130FF">
      <w:pPr>
        <w:pStyle w:val="Heading1"/>
        <w:spacing w:before="120" w:line="240" w:lineRule="auto"/>
        <w:jc w:val="center"/>
        <w:rPr>
          <w:szCs w:val="36"/>
        </w:rPr>
      </w:pPr>
      <w:r>
        <w:rPr>
          <w:szCs w:val="36"/>
        </w:rPr>
        <w:t xml:space="preserve">12 June </w:t>
      </w:r>
      <w:r w:rsidR="00E00786">
        <w:rPr>
          <w:szCs w:val="36"/>
        </w:rPr>
        <w:t>2025</w:t>
      </w:r>
    </w:p>
    <w:p w14:paraId="13901DAE" w14:textId="026CDA53" w:rsidR="003843AE" w:rsidRDefault="00E92653" w:rsidP="00E00786">
      <w:pPr>
        <w:spacing w:after="0" w:line="720" w:lineRule="auto"/>
        <w:ind w:left="-992" w:right="-896"/>
        <w:jc w:val="center"/>
        <w:rPr>
          <w:rFonts w:eastAsiaTheme="minorEastAsia"/>
          <w:b/>
          <w:bCs/>
          <w:color w:val="000000" w:themeColor="text1"/>
          <w:kern w:val="24"/>
          <w:sz w:val="28"/>
          <w:szCs w:val="28"/>
          <w:lang w:val="en-US" w:eastAsia="en-GB"/>
        </w:rPr>
      </w:pPr>
      <w:r>
        <w:rPr>
          <w:b/>
          <w:noProof/>
          <w:szCs w:val="24"/>
        </w:rPr>
        <mc:AlternateContent>
          <mc:Choice Requires="wps">
            <w:drawing>
              <wp:anchor distT="0" distB="0" distL="114300" distR="114300" simplePos="0" relativeHeight="251658240" behindDoc="0" locked="0" layoutInCell="1" allowOverlap="1" wp14:anchorId="0CCAB454" wp14:editId="5774C212">
                <wp:simplePos x="0" y="0"/>
                <wp:positionH relativeFrom="column">
                  <wp:posOffset>-66675</wp:posOffset>
                </wp:positionH>
                <wp:positionV relativeFrom="paragraph">
                  <wp:posOffset>152400</wp:posOffset>
                </wp:positionV>
                <wp:extent cx="6038850" cy="28575"/>
                <wp:effectExtent l="19050" t="19050" r="19050" b="28575"/>
                <wp:wrapNone/>
                <wp:docPr id="1" name="Straight Connector 1"/>
                <wp:cNvGraphicFramePr/>
                <a:graphic xmlns:a="http://schemas.openxmlformats.org/drawingml/2006/main">
                  <a:graphicData uri="http://schemas.microsoft.com/office/word/2010/wordprocessingShape">
                    <wps:wsp>
                      <wps:cNvCnPr/>
                      <wps:spPr>
                        <a:xfrm>
                          <a:off x="0" y="0"/>
                          <a:ext cx="6038850" cy="28575"/>
                        </a:xfrm>
                        <a:prstGeom prst="line">
                          <a:avLst/>
                        </a:prstGeom>
                        <a:noFill/>
                        <a:ln w="28575" cap="flat" cmpd="sng" algn="ctr">
                          <a:solidFill>
                            <a:srgbClr val="1F497D">
                              <a:lumMod val="60000"/>
                              <a:lumOff val="40000"/>
                            </a:srgbClr>
                          </a:solidFill>
                          <a:prstDash val="solid"/>
                        </a:ln>
                        <a:effectLst/>
                      </wps:spPr>
                      <wps:bodyPr/>
                    </wps:wsp>
                  </a:graphicData>
                </a:graphic>
              </wp:anchor>
            </w:drawing>
          </mc:Choice>
          <mc:Fallback>
            <w:pict>
              <v:line w14:anchorId="4AFECF1E"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25pt,12pt" to="470.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" strokecolor="#558ed5" strokeweight="2.25pt"/>
            </w:pict>
          </mc:Fallback>
        </mc:AlternateContent>
      </w:r>
    </w:p>
    <w:p w14:paraId="610749D6" w14:textId="607F6D47" w:rsidR="00E92653" w:rsidRPr="00A62682" w:rsidRDefault="002346FF" w:rsidP="00B2166D">
      <w:pPr>
        <w:pStyle w:val="NormalWeb"/>
        <w:spacing w:after="0" w:line="240" w:lineRule="auto"/>
        <w:jc w:val="center"/>
        <w:rPr>
          <w:rFonts w:ascii="Arial" w:eastAsia="Times New Roman" w:hAnsi="Arial" w:cs="Arial"/>
          <w:sz w:val="22"/>
          <w:lang w:eastAsia="en-GB"/>
        </w:rPr>
      </w:pPr>
      <w:r>
        <w:rPr>
          <w:rFonts w:ascii="Arial" w:eastAsiaTheme="minorEastAsia" w:hAnsi="Arial" w:cs="Arial"/>
          <w:b/>
          <w:bCs/>
          <w:color w:val="000000" w:themeColor="text1"/>
          <w:kern w:val="24"/>
          <w:sz w:val="28"/>
          <w:szCs w:val="28"/>
          <w:lang w:val="en-US" w:eastAsia="en-GB"/>
        </w:rPr>
        <w:t>Risk</w:t>
      </w:r>
      <w:r w:rsidR="00D25DA0">
        <w:rPr>
          <w:rFonts w:ascii="Arial" w:eastAsiaTheme="minorEastAsia" w:hAnsi="Arial" w:cs="Arial"/>
          <w:b/>
          <w:bCs/>
          <w:color w:val="000000" w:themeColor="text1"/>
          <w:kern w:val="24"/>
          <w:sz w:val="28"/>
          <w:szCs w:val="28"/>
          <w:lang w:val="en-US" w:eastAsia="en-GB"/>
        </w:rPr>
        <w:t xml:space="preserve"> Management</w:t>
      </w:r>
      <w:r>
        <w:rPr>
          <w:rFonts w:ascii="Arial" w:eastAsiaTheme="minorEastAsia" w:hAnsi="Arial" w:cs="Arial"/>
          <w:b/>
          <w:bCs/>
          <w:color w:val="000000" w:themeColor="text1"/>
          <w:kern w:val="24"/>
          <w:sz w:val="28"/>
          <w:szCs w:val="28"/>
          <w:lang w:val="en-US" w:eastAsia="en-GB"/>
        </w:rPr>
        <w:t xml:space="preserve"> Update Report</w:t>
      </w:r>
    </w:p>
    <w:p w14:paraId="6FA87B85" w14:textId="467F848F" w:rsidR="00E92653" w:rsidRPr="00972E8A" w:rsidRDefault="00E92653" w:rsidP="00E92653">
      <w:pPr>
        <w:spacing w:after="0" w:line="240" w:lineRule="auto"/>
        <w:jc w:val="both"/>
        <w:rPr>
          <w:rFonts w:eastAsia="Times New Roman"/>
          <w:szCs w:val="24"/>
          <w:lang w:eastAsia="en-GB"/>
        </w:rPr>
      </w:pPr>
      <w:r w:rsidRPr="006B4B7D">
        <w:rPr>
          <w:rFonts w:eastAsiaTheme="minorEastAsia"/>
          <w:b/>
          <w:bCs/>
          <w:color w:val="000000" w:themeColor="text1"/>
          <w:kern w:val="24"/>
          <w:sz w:val="22"/>
          <w:lang w:val="en-US" w:eastAsia="en-GB"/>
        </w:rPr>
        <w:t> </w:t>
      </w:r>
    </w:p>
    <w:p w14:paraId="6466BDFB" w14:textId="7DE3377A" w:rsidR="00F905D9" w:rsidRPr="00F905D9" w:rsidRDefault="00E92653" w:rsidP="001C1557">
      <w:pPr>
        <w:pStyle w:val="ListParagraph"/>
        <w:numPr>
          <w:ilvl w:val="0"/>
          <w:numId w:val="4"/>
        </w:numPr>
        <w:spacing w:after="0" w:line="240" w:lineRule="auto"/>
        <w:ind w:left="567"/>
        <w:jc w:val="both"/>
        <w:rPr>
          <w:rFonts w:eastAsia="Times New Roman"/>
          <w:szCs w:val="24"/>
          <w:lang w:eastAsia="en-GB"/>
        </w:rPr>
      </w:pPr>
      <w:r w:rsidRPr="00F905D9">
        <w:rPr>
          <w:rFonts w:eastAsiaTheme="minorEastAsia"/>
          <w:b/>
          <w:bCs/>
          <w:color w:val="000000" w:themeColor="text1"/>
          <w:kern w:val="24"/>
          <w:szCs w:val="24"/>
          <w:lang w:val="en-US" w:eastAsia="en-GB"/>
        </w:rPr>
        <w:t xml:space="preserve">Introduction </w:t>
      </w:r>
    </w:p>
    <w:p w14:paraId="288656E7" w14:textId="4007B67D" w:rsidR="00E92653" w:rsidRPr="00F905D9" w:rsidRDefault="00E92653" w:rsidP="00F905D9">
      <w:pPr>
        <w:pStyle w:val="ListParagraph"/>
        <w:spacing w:after="0" w:line="240" w:lineRule="auto"/>
        <w:ind w:left="567"/>
        <w:jc w:val="both"/>
        <w:rPr>
          <w:rFonts w:eastAsia="Times New Roman"/>
          <w:szCs w:val="24"/>
          <w:lang w:eastAsia="en-GB"/>
        </w:rPr>
      </w:pPr>
    </w:p>
    <w:p w14:paraId="70DD3F33" w14:textId="76237974" w:rsidR="00E772C2" w:rsidRDefault="00F50732">
      <w:pPr>
        <w:pStyle w:val="ListParagraph"/>
        <w:numPr>
          <w:ilvl w:val="1"/>
          <w:numId w:val="31"/>
        </w:numPr>
        <w:tabs>
          <w:tab w:val="left" w:pos="565"/>
        </w:tabs>
        <w:spacing w:after="0" w:line="288" w:lineRule="auto"/>
        <w:jc w:val="both"/>
        <w:rPr>
          <w:rFonts w:eastAsiaTheme="minorEastAsia"/>
          <w:color w:val="000000" w:themeColor="text1"/>
          <w:kern w:val="24"/>
          <w:lang w:eastAsia="en-GB"/>
        </w:rPr>
      </w:pPr>
      <w:r w:rsidRPr="004C3761">
        <w:rPr>
          <w:rFonts w:eastAsiaTheme="minorEastAsia"/>
          <w:color w:val="000000" w:themeColor="text1"/>
          <w:kern w:val="24"/>
          <w:lang w:eastAsia="en-GB"/>
        </w:rPr>
        <w:t>The purpose of the report is to present an update on the risk management activity</w:t>
      </w:r>
      <w:r w:rsidR="0067460C" w:rsidRPr="004C3761">
        <w:rPr>
          <w:rFonts w:eastAsiaTheme="minorEastAsia"/>
          <w:color w:val="000000" w:themeColor="text1"/>
          <w:kern w:val="24"/>
          <w:lang w:eastAsia="en-GB"/>
        </w:rPr>
        <w:t xml:space="preserve"> undertaken</w:t>
      </w:r>
      <w:r w:rsidRPr="004C3761">
        <w:rPr>
          <w:rFonts w:eastAsiaTheme="minorEastAsia"/>
          <w:color w:val="000000" w:themeColor="text1"/>
          <w:kern w:val="24"/>
          <w:lang w:eastAsia="en-GB"/>
        </w:rPr>
        <w:t xml:space="preserve"> for those risks relating to the business of the Primary Care </w:t>
      </w:r>
      <w:r w:rsidR="00FF34F0" w:rsidRPr="004C3761">
        <w:rPr>
          <w:rFonts w:eastAsiaTheme="minorEastAsia"/>
          <w:color w:val="000000" w:themeColor="text1"/>
          <w:kern w:val="24"/>
          <w:lang w:eastAsia="en-GB"/>
        </w:rPr>
        <w:t>Contract</w:t>
      </w:r>
      <w:r w:rsidR="000E4695" w:rsidRPr="004C3761">
        <w:rPr>
          <w:rFonts w:eastAsiaTheme="minorEastAsia"/>
          <w:color w:val="000000" w:themeColor="text1"/>
          <w:kern w:val="24"/>
          <w:lang w:eastAsia="en-GB"/>
        </w:rPr>
        <w:t>s</w:t>
      </w:r>
      <w:r w:rsidR="00FF34F0" w:rsidRPr="004C3761">
        <w:rPr>
          <w:rFonts w:eastAsiaTheme="minorEastAsia"/>
          <w:color w:val="000000" w:themeColor="text1"/>
          <w:kern w:val="24"/>
          <w:lang w:eastAsia="en-GB"/>
        </w:rPr>
        <w:t xml:space="preserve"> Sub-</w:t>
      </w:r>
      <w:r w:rsidRPr="004C3761">
        <w:rPr>
          <w:rFonts w:eastAsiaTheme="minorEastAsia"/>
          <w:color w:val="000000" w:themeColor="text1"/>
          <w:kern w:val="24"/>
          <w:lang w:eastAsia="en-GB"/>
        </w:rPr>
        <w:t>Committ</w:t>
      </w:r>
      <w:r w:rsidR="00484E87" w:rsidRPr="004C3761">
        <w:rPr>
          <w:rFonts w:eastAsiaTheme="minorEastAsia"/>
          <w:color w:val="000000" w:themeColor="text1"/>
          <w:kern w:val="24"/>
          <w:lang w:eastAsia="en-GB"/>
        </w:rPr>
        <w:t xml:space="preserve">ee </w:t>
      </w:r>
      <w:r w:rsidR="00723D72" w:rsidRPr="004C3761">
        <w:rPr>
          <w:rFonts w:eastAsiaTheme="minorEastAsia"/>
          <w:color w:val="000000" w:themeColor="text1"/>
          <w:kern w:val="24"/>
          <w:lang w:eastAsia="en-GB"/>
        </w:rPr>
        <w:t xml:space="preserve">during </w:t>
      </w:r>
      <w:r w:rsidR="00680C59" w:rsidRPr="004C3761">
        <w:rPr>
          <w:rFonts w:eastAsiaTheme="minorEastAsia"/>
          <w:color w:val="000000" w:themeColor="text1"/>
          <w:kern w:val="24"/>
          <w:lang w:eastAsia="en-GB"/>
        </w:rPr>
        <w:t>Quarter 1 2025/26.</w:t>
      </w:r>
      <w:r w:rsidR="00484E87" w:rsidRPr="004C3761">
        <w:rPr>
          <w:rFonts w:eastAsiaTheme="minorEastAsia"/>
          <w:color w:val="000000" w:themeColor="text1"/>
          <w:kern w:val="24"/>
          <w:lang w:eastAsia="en-GB"/>
        </w:rPr>
        <w:t xml:space="preserve"> </w:t>
      </w:r>
    </w:p>
    <w:p w14:paraId="512D7491" w14:textId="77777777" w:rsidR="007463B1" w:rsidRDefault="007463B1" w:rsidP="007463B1">
      <w:pPr>
        <w:pStyle w:val="ListParagraph"/>
        <w:tabs>
          <w:tab w:val="left" w:pos="565"/>
        </w:tabs>
        <w:spacing w:after="0" w:line="288" w:lineRule="auto"/>
        <w:ind w:left="570"/>
        <w:jc w:val="both"/>
        <w:rPr>
          <w:rFonts w:eastAsiaTheme="minorEastAsia"/>
          <w:color w:val="000000" w:themeColor="text1"/>
          <w:kern w:val="24"/>
          <w:lang w:eastAsia="en-GB"/>
        </w:rPr>
      </w:pPr>
    </w:p>
    <w:p w14:paraId="4ACC05EC" w14:textId="59AE6289" w:rsidR="007463B1" w:rsidRPr="007463B1" w:rsidRDefault="007463B1" w:rsidP="007463B1">
      <w:pPr>
        <w:tabs>
          <w:tab w:val="left" w:pos="565"/>
        </w:tabs>
        <w:spacing w:after="0" w:line="288" w:lineRule="auto"/>
        <w:ind w:left="565" w:hanging="565"/>
        <w:jc w:val="both"/>
        <w:rPr>
          <w:rFonts w:eastAsiaTheme="minorEastAsia"/>
          <w:color w:val="000000" w:themeColor="text1"/>
          <w:kern w:val="24"/>
          <w:lang w:eastAsia="en-GB"/>
        </w:rPr>
      </w:pPr>
      <w:r>
        <w:rPr>
          <w:rFonts w:eastAsiaTheme="minorEastAsia"/>
          <w:color w:val="000000" w:themeColor="text1"/>
          <w:kern w:val="24"/>
          <w:lang w:eastAsia="en-GB"/>
        </w:rPr>
        <w:t>1.2</w:t>
      </w:r>
      <w:r>
        <w:rPr>
          <w:rFonts w:eastAsiaTheme="minorEastAsia"/>
          <w:color w:val="000000" w:themeColor="text1"/>
          <w:kern w:val="24"/>
          <w:lang w:eastAsia="en-GB"/>
        </w:rPr>
        <w:tab/>
      </w:r>
      <w:r w:rsidR="0020561C">
        <w:rPr>
          <w:rFonts w:eastAsiaTheme="minorEastAsia"/>
          <w:color w:val="000000" w:themeColor="text1"/>
          <w:kern w:val="24"/>
          <w:lang w:eastAsia="en-GB"/>
        </w:rPr>
        <w:t xml:space="preserve">The report includes </w:t>
      </w:r>
      <w:r w:rsidR="00E3531C">
        <w:rPr>
          <w:rFonts w:eastAsiaTheme="minorEastAsia"/>
          <w:color w:val="000000" w:themeColor="text1"/>
          <w:kern w:val="24"/>
          <w:lang w:eastAsia="en-GB"/>
        </w:rPr>
        <w:t xml:space="preserve">a summary of updates </w:t>
      </w:r>
      <w:r w:rsidR="00BB1CBF">
        <w:rPr>
          <w:rFonts w:eastAsiaTheme="minorEastAsia"/>
          <w:color w:val="000000" w:themeColor="text1"/>
          <w:kern w:val="24"/>
          <w:lang w:eastAsia="en-GB"/>
        </w:rPr>
        <w:t>relating to each risk</w:t>
      </w:r>
      <w:r w:rsidR="00E97CAB">
        <w:rPr>
          <w:rFonts w:eastAsiaTheme="minorEastAsia"/>
          <w:color w:val="000000" w:themeColor="text1"/>
          <w:kern w:val="24"/>
          <w:lang w:eastAsia="en-GB"/>
        </w:rPr>
        <w:t>,</w:t>
      </w:r>
      <w:r w:rsidR="00BB1CBF">
        <w:rPr>
          <w:rFonts w:eastAsiaTheme="minorEastAsia"/>
          <w:color w:val="000000" w:themeColor="text1"/>
          <w:kern w:val="24"/>
          <w:lang w:eastAsia="en-GB"/>
        </w:rPr>
        <w:t xml:space="preserve"> highlighting where there have been changes</w:t>
      </w:r>
      <w:r w:rsidR="00E97CAB">
        <w:rPr>
          <w:rFonts w:eastAsiaTheme="minorEastAsia"/>
          <w:color w:val="000000" w:themeColor="text1"/>
          <w:kern w:val="24"/>
          <w:lang w:eastAsia="en-GB"/>
        </w:rPr>
        <w:t>,</w:t>
      </w:r>
      <w:r w:rsidR="00BB1CBF">
        <w:rPr>
          <w:rFonts w:eastAsiaTheme="minorEastAsia"/>
          <w:color w:val="000000" w:themeColor="text1"/>
          <w:kern w:val="24"/>
          <w:lang w:eastAsia="en-GB"/>
        </w:rPr>
        <w:t xml:space="preserve"> </w:t>
      </w:r>
      <w:r w:rsidR="00E97CAB">
        <w:rPr>
          <w:rFonts w:eastAsiaTheme="minorEastAsia"/>
          <w:color w:val="000000" w:themeColor="text1"/>
          <w:kern w:val="24"/>
          <w:lang w:eastAsia="en-GB"/>
        </w:rPr>
        <w:t xml:space="preserve">alongside </w:t>
      </w:r>
      <w:r w:rsidR="00E3531C">
        <w:rPr>
          <w:rFonts w:eastAsiaTheme="minorEastAsia"/>
          <w:color w:val="000000" w:themeColor="text1"/>
          <w:kern w:val="24"/>
          <w:lang w:eastAsia="en-GB"/>
        </w:rPr>
        <w:t>the full risk entr</w:t>
      </w:r>
      <w:r w:rsidR="00E97CAB">
        <w:rPr>
          <w:rFonts w:eastAsiaTheme="minorEastAsia"/>
          <w:color w:val="000000" w:themeColor="text1"/>
          <w:kern w:val="24"/>
          <w:lang w:eastAsia="en-GB"/>
        </w:rPr>
        <w:t>y</w:t>
      </w:r>
      <w:r w:rsidR="00E97CAB">
        <w:rPr>
          <w:rFonts w:eastAsiaTheme="minorEastAsia"/>
          <w:color w:val="000000" w:themeColor="text1"/>
          <w:kern w:val="24"/>
          <w:lang w:val="en-US" w:eastAsia="en-GB"/>
        </w:rPr>
        <w:t xml:space="preserve"> </w:t>
      </w:r>
      <w:r w:rsidR="006B0891">
        <w:rPr>
          <w:rFonts w:eastAsiaTheme="minorEastAsia"/>
          <w:color w:val="000000" w:themeColor="text1"/>
          <w:kern w:val="24"/>
          <w:lang w:val="en-US" w:eastAsia="en-GB"/>
        </w:rPr>
        <w:t xml:space="preserve">which is </w:t>
      </w:r>
      <w:r w:rsidR="00E97CAB">
        <w:rPr>
          <w:rFonts w:eastAsiaTheme="minorEastAsia"/>
          <w:color w:val="000000" w:themeColor="text1"/>
          <w:kern w:val="24"/>
          <w:lang w:val="en-US" w:eastAsia="en-GB"/>
        </w:rPr>
        <w:t>p</w:t>
      </w:r>
      <w:r>
        <w:rPr>
          <w:rFonts w:eastAsiaTheme="minorEastAsia"/>
          <w:color w:val="000000" w:themeColor="text1"/>
          <w:kern w:val="24"/>
          <w:lang w:val="en-US" w:eastAsia="en-GB"/>
        </w:rPr>
        <w:t xml:space="preserve">rovided </w:t>
      </w:r>
      <w:r w:rsidR="00E97CAB">
        <w:rPr>
          <w:rFonts w:eastAsiaTheme="minorEastAsia"/>
          <w:color w:val="000000" w:themeColor="text1"/>
          <w:kern w:val="24"/>
          <w:lang w:val="en-US" w:eastAsia="en-GB"/>
        </w:rPr>
        <w:t xml:space="preserve">at Appendix 1.  Also </w:t>
      </w:r>
      <w:r w:rsidR="006B0891">
        <w:rPr>
          <w:rFonts w:eastAsiaTheme="minorEastAsia"/>
          <w:color w:val="000000" w:themeColor="text1"/>
          <w:kern w:val="24"/>
          <w:lang w:val="en-US" w:eastAsia="en-GB"/>
        </w:rPr>
        <w:t>attached f</w:t>
      </w:r>
      <w:r w:rsidR="00316A4A">
        <w:rPr>
          <w:rFonts w:eastAsiaTheme="minorEastAsia"/>
          <w:color w:val="000000" w:themeColor="text1"/>
          <w:kern w:val="24"/>
          <w:lang w:val="en-US" w:eastAsia="en-GB"/>
        </w:rPr>
        <w:t>or information</w:t>
      </w:r>
      <w:r>
        <w:rPr>
          <w:rFonts w:eastAsiaTheme="minorEastAsia"/>
          <w:color w:val="000000" w:themeColor="text1"/>
          <w:kern w:val="24"/>
          <w:lang w:val="en-US" w:eastAsia="en-GB"/>
        </w:rPr>
        <w:t xml:space="preserve"> </w:t>
      </w:r>
      <w:r w:rsidR="00820F44">
        <w:rPr>
          <w:rFonts w:eastAsiaTheme="minorEastAsia"/>
          <w:color w:val="000000" w:themeColor="text1"/>
          <w:kern w:val="24"/>
          <w:lang w:val="en-US" w:eastAsia="en-GB"/>
        </w:rPr>
        <w:t xml:space="preserve">(Appendix 2) </w:t>
      </w:r>
      <w:r>
        <w:rPr>
          <w:rFonts w:eastAsiaTheme="minorEastAsia"/>
          <w:color w:val="000000" w:themeColor="text1"/>
          <w:kern w:val="24"/>
          <w:lang w:val="en-US" w:eastAsia="en-GB"/>
        </w:rPr>
        <w:t>is</w:t>
      </w:r>
      <w:r w:rsidRPr="43A6ED7F">
        <w:rPr>
          <w:rFonts w:eastAsiaTheme="minorEastAsia"/>
          <w:color w:val="000000" w:themeColor="text1"/>
          <w:kern w:val="24"/>
          <w:lang w:val="en-US" w:eastAsia="en-GB"/>
        </w:rPr>
        <w:t xml:space="preserve"> a high-level </w:t>
      </w:r>
      <w:r w:rsidR="008C3766">
        <w:rPr>
          <w:rFonts w:eastAsiaTheme="minorEastAsia"/>
          <w:color w:val="000000" w:themeColor="text1"/>
          <w:kern w:val="24"/>
          <w:lang w:val="en-US" w:eastAsia="en-GB"/>
        </w:rPr>
        <w:t xml:space="preserve">summary </w:t>
      </w:r>
      <w:r w:rsidRPr="43A6ED7F">
        <w:rPr>
          <w:rFonts w:eastAsiaTheme="minorEastAsia"/>
          <w:color w:val="000000" w:themeColor="text1"/>
          <w:kern w:val="24"/>
          <w:lang w:val="en-US" w:eastAsia="en-GB"/>
        </w:rPr>
        <w:t xml:space="preserve">dashboard of all risks currently held with corporate oversight through other </w:t>
      </w:r>
      <w:bookmarkStart w:id="0" w:name="_Int_qYv3YLnQ"/>
      <w:r w:rsidRPr="43A6ED7F">
        <w:rPr>
          <w:rFonts w:eastAsiaTheme="minorEastAsia"/>
          <w:color w:val="000000" w:themeColor="text1"/>
          <w:kern w:val="24"/>
          <w:lang w:val="en-US" w:eastAsia="en-GB"/>
        </w:rPr>
        <w:t>assuring</w:t>
      </w:r>
      <w:bookmarkEnd w:id="0"/>
      <w:r w:rsidRPr="43A6ED7F">
        <w:rPr>
          <w:rFonts w:eastAsiaTheme="minorEastAsia"/>
          <w:color w:val="000000" w:themeColor="text1"/>
          <w:kern w:val="24"/>
          <w:lang w:val="en-US" w:eastAsia="en-GB"/>
        </w:rPr>
        <w:t xml:space="preserve"> committees</w:t>
      </w:r>
      <w:r w:rsidR="006B0891">
        <w:rPr>
          <w:rFonts w:eastAsiaTheme="minorEastAsia"/>
          <w:color w:val="000000" w:themeColor="text1"/>
          <w:kern w:val="24"/>
          <w:lang w:val="en-US" w:eastAsia="en-GB"/>
        </w:rPr>
        <w:t xml:space="preserve">. </w:t>
      </w:r>
    </w:p>
    <w:p w14:paraId="18E91C6A" w14:textId="77777777" w:rsidR="008A599E" w:rsidRPr="008A599E" w:rsidRDefault="008A599E" w:rsidP="008A599E">
      <w:pPr>
        <w:pStyle w:val="ListParagraph"/>
        <w:tabs>
          <w:tab w:val="left" w:pos="565"/>
        </w:tabs>
        <w:spacing w:after="0" w:line="288" w:lineRule="auto"/>
        <w:ind w:left="570"/>
        <w:jc w:val="both"/>
        <w:rPr>
          <w:rFonts w:eastAsiaTheme="minorEastAsia"/>
          <w:color w:val="000000" w:themeColor="text1"/>
          <w:kern w:val="24"/>
          <w:szCs w:val="24"/>
          <w:lang w:val="en-US" w:eastAsia="en-GB"/>
        </w:rPr>
      </w:pPr>
    </w:p>
    <w:p w14:paraId="2C7B85FF" w14:textId="3EF3BB00" w:rsidR="00F50732" w:rsidRPr="00F50732" w:rsidRDefault="00F50732" w:rsidP="00F50732">
      <w:pPr>
        <w:pStyle w:val="ListParagraph"/>
        <w:numPr>
          <w:ilvl w:val="0"/>
          <w:numId w:val="4"/>
        </w:numPr>
        <w:ind w:left="567" w:hanging="425"/>
        <w:jc w:val="both"/>
        <w:rPr>
          <w:b/>
          <w:bCs/>
          <w:szCs w:val="24"/>
        </w:rPr>
      </w:pPr>
      <w:r>
        <w:rPr>
          <w:b/>
          <w:bCs/>
          <w:szCs w:val="24"/>
        </w:rPr>
        <w:t>Background</w:t>
      </w:r>
    </w:p>
    <w:p w14:paraId="5BC7DEE9" w14:textId="0295F564" w:rsidR="00B62A08" w:rsidRPr="008942E7" w:rsidRDefault="00F50732" w:rsidP="273D6463">
      <w:pPr>
        <w:ind w:left="565" w:hanging="565"/>
        <w:jc w:val="both"/>
        <w:rPr>
          <w:szCs w:val="24"/>
        </w:rPr>
      </w:pPr>
      <w:r>
        <w:t>2.1</w:t>
      </w:r>
      <w:r>
        <w:tab/>
      </w:r>
      <w:r w:rsidR="4CD7C6A9" w:rsidRPr="008942E7">
        <w:rPr>
          <w:szCs w:val="24"/>
          <w:lang w:val="en-US"/>
        </w:rPr>
        <w:t>Following the review of the ICB’s committee structures which was approved by the board at its meeting on 19 March, risks held by the ICB which receive oversight through its assuring committees have been re-aligned to the new committees’ functions and the ICB’s risk management reporting cycle</w:t>
      </w:r>
      <w:r w:rsidR="00CE31B0">
        <w:rPr>
          <w:szCs w:val="24"/>
          <w:lang w:val="en-US"/>
        </w:rPr>
        <w:t xml:space="preserve"> for 2025/26</w:t>
      </w:r>
      <w:r w:rsidR="008942E7">
        <w:rPr>
          <w:szCs w:val="24"/>
          <w:lang w:val="en-US"/>
        </w:rPr>
        <w:t>.</w:t>
      </w:r>
    </w:p>
    <w:p w14:paraId="74815811" w14:textId="671C17C0" w:rsidR="00B62A08" w:rsidRPr="002937F6" w:rsidRDefault="2D84B84C" w:rsidP="00F50732">
      <w:pPr>
        <w:ind w:left="565" w:hanging="565"/>
        <w:jc w:val="both"/>
      </w:pPr>
      <w:r>
        <w:t>2.2</w:t>
      </w:r>
      <w:r w:rsidR="00F50732">
        <w:tab/>
      </w:r>
      <w:r w:rsidR="00B62A08">
        <w:t xml:space="preserve">Risks </w:t>
      </w:r>
      <w:r w:rsidR="00E13C25">
        <w:t xml:space="preserve">which are assessed as having the potential to significantly impact on the delivery of the ICB’s Strategic Objectives are held </w:t>
      </w:r>
      <w:r w:rsidR="00B62A08">
        <w:t>on the Board Assurance Framework (BAF</w:t>
      </w:r>
      <w:r w:rsidR="00233D44">
        <w:t>)</w:t>
      </w:r>
      <w:r w:rsidR="0A607971">
        <w:t xml:space="preserve">. </w:t>
      </w:r>
      <w:r w:rsidR="00B62A08">
        <w:t>There are no risks held on the BAF</w:t>
      </w:r>
      <w:r w:rsidR="006266CF">
        <w:t xml:space="preserve"> which are aligned to the </w:t>
      </w:r>
      <w:r w:rsidR="00B62A08">
        <w:t xml:space="preserve"> business of the Primary Care </w:t>
      </w:r>
      <w:r w:rsidR="00FF34F0">
        <w:t>Contracts Sub-Committee</w:t>
      </w:r>
      <w:r w:rsidR="00B62A08">
        <w:t>.</w:t>
      </w:r>
    </w:p>
    <w:p w14:paraId="52DCB130" w14:textId="7AEFA389" w:rsidR="00681CE2" w:rsidRDefault="00233D44" w:rsidP="43A6ED7F">
      <w:pPr>
        <w:tabs>
          <w:tab w:val="left" w:pos="565"/>
        </w:tabs>
        <w:spacing w:after="0" w:line="288" w:lineRule="auto"/>
        <w:ind w:left="565" w:hanging="565"/>
        <w:jc w:val="both"/>
        <w:rPr>
          <w:rFonts w:eastAsiaTheme="minorEastAsia"/>
          <w:color w:val="000000" w:themeColor="text1"/>
          <w:kern w:val="24"/>
          <w:lang w:eastAsia="en-GB"/>
        </w:rPr>
      </w:pPr>
      <w:r w:rsidRPr="43A6ED7F">
        <w:rPr>
          <w:rFonts w:eastAsiaTheme="minorEastAsia"/>
          <w:color w:val="000000" w:themeColor="text1"/>
          <w:kern w:val="24"/>
          <w:lang w:eastAsia="en-GB"/>
        </w:rPr>
        <w:t>2.</w:t>
      </w:r>
      <w:r w:rsidR="62B48793" w:rsidRPr="273D6463">
        <w:rPr>
          <w:rFonts w:eastAsiaTheme="minorEastAsia"/>
          <w:color w:val="000000" w:themeColor="text1"/>
          <w:kern w:val="24"/>
          <w:lang w:eastAsia="en-GB"/>
        </w:rPr>
        <w:t>3</w:t>
      </w:r>
      <w:r>
        <w:rPr>
          <w:rFonts w:eastAsiaTheme="minorEastAsia"/>
          <w:color w:val="000000" w:themeColor="text1"/>
          <w:kern w:val="24"/>
          <w:szCs w:val="24"/>
          <w:lang w:val="en-US" w:eastAsia="en-GB"/>
        </w:rPr>
        <w:tab/>
      </w:r>
      <w:r w:rsidR="00E7536F" w:rsidRPr="43A6ED7F">
        <w:rPr>
          <w:rFonts w:eastAsiaTheme="minorEastAsia"/>
          <w:color w:val="000000" w:themeColor="text1"/>
          <w:kern w:val="24"/>
          <w:lang w:eastAsia="en-GB"/>
        </w:rPr>
        <w:t>Risks which are</w:t>
      </w:r>
      <w:r w:rsidR="00264222" w:rsidRPr="43A6ED7F">
        <w:rPr>
          <w:rFonts w:eastAsiaTheme="minorEastAsia"/>
          <w:color w:val="000000" w:themeColor="text1"/>
          <w:kern w:val="24"/>
          <w:lang w:eastAsia="en-GB"/>
        </w:rPr>
        <w:t xml:space="preserve"> assessed as </w:t>
      </w:r>
      <w:r w:rsidR="00481E0B" w:rsidRPr="43A6ED7F">
        <w:rPr>
          <w:rFonts w:eastAsiaTheme="minorEastAsia"/>
          <w:color w:val="000000" w:themeColor="text1"/>
          <w:kern w:val="24"/>
          <w:lang w:eastAsia="en-GB"/>
        </w:rPr>
        <w:t xml:space="preserve">having the potential to significantly </w:t>
      </w:r>
      <w:r w:rsidR="00C3346C" w:rsidRPr="43A6ED7F">
        <w:rPr>
          <w:rFonts w:eastAsiaTheme="minorEastAsia"/>
          <w:color w:val="000000" w:themeColor="text1"/>
          <w:kern w:val="24"/>
          <w:lang w:eastAsia="en-GB"/>
        </w:rPr>
        <w:t xml:space="preserve">impact on the delivery of plans </w:t>
      </w:r>
      <w:r w:rsidR="00481E0B" w:rsidRPr="43A6ED7F">
        <w:rPr>
          <w:rFonts w:eastAsiaTheme="minorEastAsia"/>
          <w:color w:val="000000" w:themeColor="text1"/>
          <w:kern w:val="24"/>
          <w:lang w:eastAsia="en-GB"/>
        </w:rPr>
        <w:t xml:space="preserve">or </w:t>
      </w:r>
      <w:r w:rsidR="00C3346C" w:rsidRPr="43A6ED7F">
        <w:rPr>
          <w:rFonts w:eastAsiaTheme="minorEastAsia"/>
          <w:color w:val="000000" w:themeColor="text1"/>
          <w:kern w:val="24"/>
          <w:lang w:eastAsia="en-GB"/>
        </w:rPr>
        <w:t>priorities</w:t>
      </w:r>
      <w:r w:rsidR="00026BD0" w:rsidRPr="43A6ED7F">
        <w:rPr>
          <w:rFonts w:eastAsiaTheme="minorEastAsia"/>
          <w:color w:val="000000" w:themeColor="text1"/>
          <w:kern w:val="24"/>
          <w:lang w:eastAsia="en-GB"/>
        </w:rPr>
        <w:t xml:space="preserve"> and are categorised as “high</w:t>
      </w:r>
      <w:r w:rsidR="307AEA7E" w:rsidRPr="43A6ED7F">
        <w:rPr>
          <w:rFonts w:eastAsiaTheme="minorEastAsia"/>
          <w:color w:val="000000" w:themeColor="text1"/>
          <w:kern w:val="24"/>
          <w:lang w:eastAsia="en-GB"/>
        </w:rPr>
        <w:t>,”</w:t>
      </w:r>
      <w:r w:rsidR="00E772C2" w:rsidRPr="43A6ED7F">
        <w:rPr>
          <w:rFonts w:eastAsiaTheme="minorEastAsia"/>
          <w:color w:val="000000" w:themeColor="text1"/>
          <w:kern w:val="24"/>
          <w:lang w:eastAsia="en-GB"/>
        </w:rPr>
        <w:t xml:space="preserve"> </w:t>
      </w:r>
      <w:r w:rsidR="00A62ED2" w:rsidRPr="43A6ED7F">
        <w:rPr>
          <w:rFonts w:eastAsiaTheme="minorEastAsia"/>
          <w:color w:val="000000" w:themeColor="text1"/>
          <w:kern w:val="24"/>
          <w:lang w:eastAsia="en-GB"/>
        </w:rPr>
        <w:t xml:space="preserve">are </w:t>
      </w:r>
      <w:r w:rsidR="00C037FD" w:rsidRPr="43A6ED7F">
        <w:rPr>
          <w:rFonts w:eastAsiaTheme="minorEastAsia"/>
          <w:color w:val="000000" w:themeColor="text1"/>
          <w:kern w:val="24"/>
          <w:lang w:eastAsia="en-GB"/>
        </w:rPr>
        <w:t>held on the Operational Risk Register (ORR)</w:t>
      </w:r>
      <w:r w:rsidR="005A7E51" w:rsidRPr="43A6ED7F">
        <w:rPr>
          <w:rFonts w:eastAsiaTheme="minorEastAsia"/>
          <w:color w:val="000000" w:themeColor="text1"/>
          <w:kern w:val="24"/>
          <w:lang w:eastAsia="en-GB"/>
        </w:rPr>
        <w:t xml:space="preserve">. </w:t>
      </w:r>
      <w:r w:rsidR="0055490E">
        <w:rPr>
          <w:rFonts w:eastAsiaTheme="minorEastAsia"/>
          <w:color w:val="000000" w:themeColor="text1"/>
          <w:kern w:val="24"/>
          <w:lang w:eastAsia="en-GB"/>
        </w:rPr>
        <w:t xml:space="preserve"> </w:t>
      </w:r>
      <w:r w:rsidR="000660CD">
        <w:rPr>
          <w:rFonts w:eastAsiaTheme="minorEastAsia"/>
          <w:color w:val="000000" w:themeColor="text1"/>
          <w:kern w:val="24"/>
          <w:lang w:eastAsia="en-GB"/>
        </w:rPr>
        <w:t>There are three risk</w:t>
      </w:r>
      <w:r w:rsidR="00D30827">
        <w:rPr>
          <w:rFonts w:eastAsiaTheme="minorEastAsia"/>
          <w:color w:val="000000" w:themeColor="text1"/>
          <w:kern w:val="24"/>
          <w:lang w:eastAsia="en-GB"/>
        </w:rPr>
        <w:t>s</w:t>
      </w:r>
      <w:r w:rsidR="000660CD">
        <w:rPr>
          <w:rFonts w:eastAsiaTheme="minorEastAsia"/>
          <w:color w:val="000000" w:themeColor="text1"/>
          <w:kern w:val="24"/>
          <w:lang w:eastAsia="en-GB"/>
        </w:rPr>
        <w:t xml:space="preserve"> held on the ORR whic</w:t>
      </w:r>
      <w:r w:rsidR="00631581">
        <w:rPr>
          <w:rFonts w:eastAsiaTheme="minorEastAsia"/>
          <w:color w:val="000000" w:themeColor="text1"/>
          <w:kern w:val="24"/>
          <w:lang w:eastAsia="en-GB"/>
        </w:rPr>
        <w:t>h have been aligned to the business of the sub-committe</w:t>
      </w:r>
      <w:r w:rsidR="005557D1">
        <w:rPr>
          <w:rFonts w:eastAsiaTheme="minorEastAsia"/>
          <w:color w:val="000000" w:themeColor="text1"/>
          <w:kern w:val="24"/>
          <w:lang w:eastAsia="en-GB"/>
        </w:rPr>
        <w:t>e</w:t>
      </w:r>
      <w:r w:rsidR="001B443B">
        <w:rPr>
          <w:rFonts w:eastAsiaTheme="minorEastAsia"/>
          <w:color w:val="000000" w:themeColor="text1"/>
          <w:kern w:val="24"/>
          <w:lang w:eastAsia="en-GB"/>
        </w:rPr>
        <w:t>,</w:t>
      </w:r>
      <w:r w:rsidR="00A91D77">
        <w:rPr>
          <w:rFonts w:eastAsiaTheme="minorEastAsia"/>
          <w:color w:val="000000" w:themeColor="text1"/>
          <w:kern w:val="24"/>
          <w:lang w:eastAsia="en-GB"/>
        </w:rPr>
        <w:t xml:space="preserve"> including one risk which is recommended for closure</w:t>
      </w:r>
      <w:r w:rsidR="001B443B">
        <w:rPr>
          <w:rFonts w:eastAsiaTheme="minorEastAsia"/>
          <w:color w:val="000000" w:themeColor="text1"/>
          <w:kern w:val="24"/>
          <w:lang w:eastAsia="en-GB"/>
        </w:rPr>
        <w:t>,</w:t>
      </w:r>
      <w:r w:rsidR="00D30827">
        <w:rPr>
          <w:rFonts w:eastAsiaTheme="minorEastAsia"/>
          <w:color w:val="000000" w:themeColor="text1"/>
          <w:kern w:val="24"/>
          <w:lang w:eastAsia="en-GB"/>
        </w:rPr>
        <w:t xml:space="preserve"> </w:t>
      </w:r>
      <w:r w:rsidR="0091381A">
        <w:rPr>
          <w:rFonts w:eastAsiaTheme="minorEastAsia"/>
          <w:color w:val="000000" w:themeColor="text1"/>
          <w:kern w:val="24"/>
          <w:lang w:eastAsia="en-GB"/>
        </w:rPr>
        <w:t>summarised</w:t>
      </w:r>
      <w:r w:rsidR="00D30827">
        <w:rPr>
          <w:rFonts w:eastAsiaTheme="minorEastAsia"/>
          <w:color w:val="000000" w:themeColor="text1"/>
          <w:kern w:val="24"/>
          <w:lang w:eastAsia="en-GB"/>
        </w:rPr>
        <w:t xml:space="preserve"> in </w:t>
      </w:r>
      <w:r w:rsidR="00693CD7">
        <w:rPr>
          <w:rFonts w:eastAsiaTheme="minorEastAsia"/>
          <w:color w:val="000000" w:themeColor="text1"/>
          <w:kern w:val="24"/>
          <w:lang w:eastAsia="en-GB"/>
        </w:rPr>
        <w:t xml:space="preserve">section 4 of </w:t>
      </w:r>
      <w:r w:rsidR="00D30827">
        <w:rPr>
          <w:rFonts w:eastAsiaTheme="minorEastAsia"/>
          <w:color w:val="000000" w:themeColor="text1"/>
          <w:kern w:val="24"/>
          <w:lang w:eastAsia="en-GB"/>
        </w:rPr>
        <w:t xml:space="preserve">the </w:t>
      </w:r>
      <w:r w:rsidR="00A91D77">
        <w:rPr>
          <w:rFonts w:eastAsiaTheme="minorEastAsia"/>
          <w:color w:val="000000" w:themeColor="text1"/>
          <w:kern w:val="24"/>
          <w:lang w:eastAsia="en-GB"/>
        </w:rPr>
        <w:t>report</w:t>
      </w:r>
      <w:r w:rsidR="00D30827">
        <w:rPr>
          <w:rFonts w:eastAsiaTheme="minorEastAsia"/>
          <w:color w:val="000000" w:themeColor="text1"/>
          <w:kern w:val="24"/>
          <w:lang w:eastAsia="en-GB"/>
        </w:rPr>
        <w:t xml:space="preserve"> below.</w:t>
      </w:r>
      <w:r w:rsidR="009109FA">
        <w:rPr>
          <w:rFonts w:eastAsiaTheme="minorEastAsia"/>
          <w:color w:val="000000" w:themeColor="text1"/>
          <w:kern w:val="24"/>
          <w:lang w:eastAsia="en-GB"/>
        </w:rPr>
        <w:tab/>
      </w:r>
    </w:p>
    <w:p w14:paraId="709BBF57" w14:textId="17CBFEA0" w:rsidR="00AD46B8" w:rsidRPr="000E7145" w:rsidRDefault="00AD46B8" w:rsidP="273D6463">
      <w:pPr>
        <w:tabs>
          <w:tab w:val="left" w:pos="565"/>
        </w:tabs>
        <w:spacing w:after="0" w:line="288" w:lineRule="auto"/>
        <w:ind w:left="565" w:hanging="565"/>
        <w:jc w:val="both"/>
        <w:rPr>
          <w:rFonts w:eastAsiaTheme="minorEastAsia"/>
          <w:color w:val="000000" w:themeColor="text1"/>
          <w:kern w:val="24"/>
          <w:lang w:val="en-US" w:eastAsia="en-GB"/>
        </w:rPr>
      </w:pPr>
    </w:p>
    <w:p w14:paraId="6E1EAB5C" w14:textId="2FB67FE3" w:rsidR="00AD46B8" w:rsidRDefault="009907C1" w:rsidP="007B1657">
      <w:pPr>
        <w:pStyle w:val="ListParagraph"/>
        <w:numPr>
          <w:ilvl w:val="0"/>
          <w:numId w:val="4"/>
        </w:numPr>
        <w:spacing w:after="0" w:line="240" w:lineRule="auto"/>
        <w:ind w:left="567" w:hanging="567"/>
        <w:jc w:val="both"/>
        <w:rPr>
          <w:rFonts w:eastAsiaTheme="minorEastAsia"/>
          <w:b/>
          <w:bCs/>
          <w:color w:val="000000" w:themeColor="text1"/>
          <w:kern w:val="24"/>
          <w:szCs w:val="24"/>
          <w:lang w:val="en-US" w:eastAsia="en-GB"/>
        </w:rPr>
      </w:pPr>
      <w:r w:rsidRPr="00AD46B8">
        <w:rPr>
          <w:rFonts w:eastAsiaTheme="minorEastAsia"/>
          <w:b/>
          <w:bCs/>
          <w:color w:val="000000" w:themeColor="text1"/>
          <w:kern w:val="24"/>
          <w:szCs w:val="24"/>
          <w:lang w:val="en-US" w:eastAsia="en-GB"/>
        </w:rPr>
        <w:t xml:space="preserve">Review of Risks relevant to the business of the </w:t>
      </w:r>
      <w:r w:rsidR="00FF34F0">
        <w:rPr>
          <w:rFonts w:eastAsiaTheme="minorEastAsia"/>
          <w:b/>
          <w:bCs/>
          <w:color w:val="000000" w:themeColor="text1"/>
          <w:kern w:val="24"/>
          <w:szCs w:val="24"/>
          <w:lang w:val="en-US" w:eastAsia="en-GB"/>
        </w:rPr>
        <w:t>Sub-Committee</w:t>
      </w:r>
    </w:p>
    <w:p w14:paraId="026C52E0" w14:textId="77777777" w:rsidR="00AD46B8" w:rsidRDefault="00AD46B8" w:rsidP="00AD46B8">
      <w:pPr>
        <w:spacing w:after="0" w:line="240" w:lineRule="auto"/>
        <w:jc w:val="both"/>
        <w:rPr>
          <w:rFonts w:eastAsiaTheme="minorEastAsia"/>
          <w:b/>
          <w:bCs/>
          <w:color w:val="000000" w:themeColor="text1"/>
          <w:kern w:val="24"/>
          <w:szCs w:val="24"/>
          <w:lang w:val="en-US" w:eastAsia="en-GB"/>
        </w:rPr>
      </w:pPr>
    </w:p>
    <w:p w14:paraId="31A11879" w14:textId="2F4C3ECC" w:rsidR="00556B31" w:rsidRDefault="270F7819" w:rsidP="007463B1">
      <w:pPr>
        <w:tabs>
          <w:tab w:val="left" w:pos="567"/>
        </w:tabs>
        <w:spacing w:after="0" w:line="288" w:lineRule="auto"/>
        <w:ind w:left="565" w:hanging="565"/>
        <w:jc w:val="both"/>
        <w:rPr>
          <w:rFonts w:eastAsiaTheme="minorEastAsia"/>
          <w:color w:val="000000" w:themeColor="text1"/>
          <w:kern w:val="24"/>
          <w:lang w:val="en-US" w:eastAsia="en-GB"/>
        </w:rPr>
      </w:pPr>
      <w:r w:rsidRPr="273D6463">
        <w:rPr>
          <w:rFonts w:eastAsiaTheme="minorEastAsia"/>
          <w:color w:val="000000" w:themeColor="text1"/>
          <w:kern w:val="24"/>
          <w:lang w:val="en-US" w:eastAsia="en-GB"/>
        </w:rPr>
        <w:t>3.1</w:t>
      </w:r>
      <w:r w:rsidR="008A599E">
        <w:tab/>
      </w:r>
      <w:r w:rsidR="0067460C" w:rsidRPr="436434DF">
        <w:rPr>
          <w:rFonts w:eastAsiaTheme="minorEastAsia"/>
          <w:color w:val="000000" w:themeColor="text1"/>
          <w:kern w:val="24"/>
          <w:lang w:val="en-US" w:eastAsia="en-GB"/>
        </w:rPr>
        <w:t>The following tables present a summary of the updates which have been provided in relation to each of the risks held</w:t>
      </w:r>
      <w:r w:rsidR="00BA287F" w:rsidRPr="436434DF">
        <w:rPr>
          <w:rFonts w:eastAsiaTheme="minorEastAsia"/>
          <w:color w:val="000000" w:themeColor="text1"/>
          <w:kern w:val="24"/>
          <w:lang w:val="en-US" w:eastAsia="en-GB"/>
        </w:rPr>
        <w:t xml:space="preserve"> during February – April 2025</w:t>
      </w:r>
      <w:r w:rsidR="0067460C" w:rsidRPr="436434DF">
        <w:rPr>
          <w:rFonts w:eastAsiaTheme="minorEastAsia"/>
          <w:color w:val="000000" w:themeColor="text1"/>
          <w:kern w:val="24"/>
          <w:lang w:val="en-US" w:eastAsia="en-GB"/>
        </w:rPr>
        <w:t>.  These updates reflect any changes to the risk controls and assurances, any gaps identified and where relevant the mitigating actions planned, which have been provided by the risk SRO</w:t>
      </w:r>
      <w:r w:rsidR="00F21A55">
        <w:rPr>
          <w:rFonts w:eastAsiaTheme="minorEastAsia"/>
          <w:color w:val="000000" w:themeColor="text1"/>
          <w:kern w:val="24"/>
          <w:lang w:val="en-US" w:eastAsia="en-GB"/>
        </w:rPr>
        <w:t>.</w:t>
      </w:r>
    </w:p>
    <w:p w14:paraId="76F49847" w14:textId="77777777" w:rsidR="00F21A55" w:rsidRDefault="00F21A55" w:rsidP="007463B1">
      <w:pPr>
        <w:tabs>
          <w:tab w:val="left" w:pos="567"/>
        </w:tabs>
        <w:spacing w:after="0" w:line="288" w:lineRule="auto"/>
        <w:ind w:left="565" w:hanging="565"/>
        <w:jc w:val="both"/>
        <w:rPr>
          <w:rFonts w:eastAsiaTheme="minorEastAsia"/>
          <w:color w:val="000000" w:themeColor="text1"/>
          <w:kern w:val="24"/>
          <w:lang w:val="en-US" w:eastAsia="en-GB"/>
        </w:rPr>
      </w:pPr>
    </w:p>
    <w:p w14:paraId="54CBF393" w14:textId="77777777" w:rsidR="00F21A55" w:rsidRDefault="00F21A55" w:rsidP="007463B1">
      <w:pPr>
        <w:tabs>
          <w:tab w:val="left" w:pos="567"/>
        </w:tabs>
        <w:spacing w:after="0" w:line="288" w:lineRule="auto"/>
        <w:ind w:left="565" w:hanging="565"/>
        <w:jc w:val="both"/>
        <w:rPr>
          <w:rFonts w:eastAsiaTheme="minorEastAsia"/>
          <w:color w:val="000000" w:themeColor="text1"/>
          <w:kern w:val="24"/>
          <w:lang w:val="en-US" w:eastAsia="en-GB"/>
        </w:rPr>
      </w:pPr>
    </w:p>
    <w:tbl>
      <w:tblPr>
        <w:tblStyle w:val="TableGrid"/>
        <w:tblW w:w="8931" w:type="dxa"/>
        <w:tblInd w:w="562" w:type="dxa"/>
        <w:tblLook w:val="04A0" w:firstRow="1" w:lastRow="0" w:firstColumn="1" w:lastColumn="0" w:noHBand="0" w:noVBand="1"/>
      </w:tblPr>
      <w:tblGrid>
        <w:gridCol w:w="1985"/>
        <w:gridCol w:w="1984"/>
        <w:gridCol w:w="2694"/>
        <w:gridCol w:w="2268"/>
      </w:tblGrid>
      <w:tr w:rsidR="002E3A7D" w:rsidRPr="00FD20E0" w14:paraId="2B8EA66E" w14:textId="77777777" w:rsidTr="43A6ED7F">
        <w:tc>
          <w:tcPr>
            <w:tcW w:w="8931" w:type="dxa"/>
            <w:gridSpan w:val="4"/>
            <w:shd w:val="clear" w:color="auto" w:fill="FFFFFF" w:themeFill="background1"/>
          </w:tcPr>
          <w:p w14:paraId="2F47C5AF" w14:textId="79561B96" w:rsidR="002E3A7D" w:rsidRPr="0067460C" w:rsidRDefault="002E3A7D" w:rsidP="002E3A7D">
            <w:pPr>
              <w:tabs>
                <w:tab w:val="left" w:pos="851"/>
              </w:tabs>
              <w:ind w:left="29"/>
              <w:jc w:val="both"/>
              <w:rPr>
                <w:rFonts w:eastAsiaTheme="minorEastAsia"/>
                <w:color w:val="000000" w:themeColor="text1"/>
                <w:kern w:val="24"/>
                <w:szCs w:val="24"/>
                <w:lang w:val="en-US" w:eastAsia="en-GB"/>
              </w:rPr>
            </w:pPr>
            <w:r w:rsidRPr="0067460C">
              <w:rPr>
                <w:b/>
                <w:bCs/>
                <w:szCs w:val="24"/>
              </w:rPr>
              <w:t xml:space="preserve">Risk ID ICB 007: </w:t>
            </w:r>
            <w:r w:rsidRPr="0067460C">
              <w:rPr>
                <w:rFonts w:eastAsiaTheme="minorEastAsia"/>
                <w:color w:val="000000" w:themeColor="text1"/>
                <w:kern w:val="24"/>
                <w:szCs w:val="24"/>
                <w:lang w:val="en-US" w:eastAsia="en-GB"/>
              </w:rPr>
              <w:t>There is a risk that the prevalence of dental caries will deteriorate and that the underlying level of oral health will deteriorate putting additional pressure on access to routine dental care and other dental services available in primary and secondary care.</w:t>
            </w:r>
          </w:p>
          <w:p w14:paraId="759D3888" w14:textId="6F7787CA" w:rsidR="002E3A7D" w:rsidRPr="00FD20E0" w:rsidRDefault="002E3A7D" w:rsidP="00961825">
            <w:pPr>
              <w:rPr>
                <w:rFonts w:eastAsiaTheme="minorEastAsia"/>
                <w:b/>
                <w:bCs/>
                <w:kern w:val="24"/>
                <w:sz w:val="22"/>
                <w:lang w:val="en-US" w:eastAsia="en-GB"/>
              </w:rPr>
            </w:pPr>
          </w:p>
        </w:tc>
      </w:tr>
      <w:tr w:rsidR="002E3A7D" w:rsidRPr="00FD20E0" w14:paraId="2D545F0B" w14:textId="77777777" w:rsidTr="43A6ED7F">
        <w:tc>
          <w:tcPr>
            <w:tcW w:w="1985" w:type="dxa"/>
            <w:shd w:val="clear" w:color="auto" w:fill="FF0000"/>
          </w:tcPr>
          <w:p w14:paraId="1A938887" w14:textId="4AD96B2F" w:rsidR="002E3A7D" w:rsidRPr="00651A67" w:rsidRDefault="002E3A7D" w:rsidP="00961825">
            <w:pPr>
              <w:tabs>
                <w:tab w:val="left" w:pos="567"/>
              </w:tabs>
              <w:jc w:val="both"/>
              <w:rPr>
                <w:rFonts w:eastAsiaTheme="minorEastAsia"/>
                <w:b/>
                <w:bCs/>
                <w:kern w:val="24"/>
                <w:sz w:val="22"/>
                <w:lang w:val="en-US" w:eastAsia="en-GB"/>
              </w:rPr>
            </w:pPr>
            <w:r w:rsidRPr="00651A67">
              <w:rPr>
                <w:rFonts w:eastAsiaTheme="minorEastAsia"/>
                <w:b/>
                <w:bCs/>
                <w:kern w:val="24"/>
                <w:sz w:val="22"/>
                <w:lang w:val="en-US" w:eastAsia="en-GB"/>
              </w:rPr>
              <w:t>Current score: 16 (C4xL4)</w:t>
            </w:r>
          </w:p>
          <w:p w14:paraId="28E97039" w14:textId="77777777" w:rsidR="002E3A7D" w:rsidRPr="00651A67" w:rsidRDefault="002E3A7D" w:rsidP="00961825">
            <w:pPr>
              <w:tabs>
                <w:tab w:val="left" w:pos="567"/>
              </w:tabs>
              <w:jc w:val="both"/>
              <w:rPr>
                <w:rFonts w:eastAsiaTheme="minorEastAsia"/>
                <w:b/>
                <w:bCs/>
                <w:kern w:val="24"/>
                <w:sz w:val="22"/>
                <w:lang w:val="en-US" w:eastAsia="en-GB"/>
              </w:rPr>
            </w:pPr>
          </w:p>
        </w:tc>
        <w:tc>
          <w:tcPr>
            <w:tcW w:w="1984" w:type="dxa"/>
            <w:shd w:val="clear" w:color="auto" w:fill="FFFF00"/>
          </w:tcPr>
          <w:p w14:paraId="67920645" w14:textId="519B2254" w:rsidR="002B42B8" w:rsidRPr="00651A67" w:rsidRDefault="002E3A7D" w:rsidP="00961825">
            <w:pPr>
              <w:tabs>
                <w:tab w:val="left" w:pos="567"/>
              </w:tabs>
              <w:jc w:val="both"/>
              <w:rPr>
                <w:rFonts w:eastAsiaTheme="minorEastAsia"/>
                <w:b/>
                <w:bCs/>
                <w:kern w:val="24"/>
                <w:sz w:val="22"/>
                <w:lang w:val="en-US" w:eastAsia="en-GB"/>
              </w:rPr>
            </w:pPr>
            <w:r w:rsidRPr="00651A67">
              <w:rPr>
                <w:rFonts w:eastAsiaTheme="minorEastAsia"/>
                <w:b/>
                <w:bCs/>
                <w:kern w:val="24"/>
                <w:sz w:val="22"/>
                <w:lang w:val="en-US" w:eastAsia="en-GB"/>
              </w:rPr>
              <w:t xml:space="preserve">Target score: </w:t>
            </w:r>
            <w:r w:rsidR="001205C2" w:rsidRPr="00651A67">
              <w:rPr>
                <w:rFonts w:eastAsiaTheme="minorEastAsia"/>
                <w:b/>
                <w:bCs/>
                <w:kern w:val="24"/>
                <w:sz w:val="22"/>
                <w:lang w:val="en-US" w:eastAsia="en-GB"/>
              </w:rPr>
              <w:t>8</w:t>
            </w:r>
            <w:r w:rsidRPr="00651A67">
              <w:rPr>
                <w:rFonts w:eastAsiaTheme="minorEastAsia"/>
                <w:b/>
                <w:bCs/>
                <w:kern w:val="24"/>
                <w:sz w:val="22"/>
                <w:lang w:val="en-US" w:eastAsia="en-GB"/>
              </w:rPr>
              <w:t xml:space="preserve"> (C4 x L</w:t>
            </w:r>
            <w:r w:rsidR="001205C2" w:rsidRPr="00651A67">
              <w:rPr>
                <w:rFonts w:eastAsiaTheme="minorEastAsia"/>
                <w:b/>
                <w:bCs/>
                <w:kern w:val="24"/>
                <w:sz w:val="22"/>
                <w:lang w:val="en-US" w:eastAsia="en-GB"/>
              </w:rPr>
              <w:t>2</w:t>
            </w:r>
            <w:r w:rsidRPr="00651A67">
              <w:rPr>
                <w:rFonts w:eastAsiaTheme="minorEastAsia"/>
                <w:b/>
                <w:bCs/>
                <w:kern w:val="24"/>
                <w:sz w:val="22"/>
                <w:lang w:val="en-US" w:eastAsia="en-GB"/>
              </w:rPr>
              <w:t>)</w:t>
            </w:r>
            <w:r w:rsidR="007F29FA" w:rsidRPr="00651A67">
              <w:rPr>
                <w:rFonts w:eastAsiaTheme="minorEastAsia"/>
                <w:b/>
                <w:bCs/>
                <w:kern w:val="24"/>
                <w:sz w:val="22"/>
                <w:lang w:val="en-US" w:eastAsia="en-GB"/>
              </w:rPr>
              <w:t xml:space="preserve"> </w:t>
            </w:r>
          </w:p>
          <w:p w14:paraId="792EA067" w14:textId="77777777" w:rsidR="002E3A7D" w:rsidRPr="00651A67" w:rsidRDefault="002E3A7D" w:rsidP="00961825">
            <w:pPr>
              <w:tabs>
                <w:tab w:val="left" w:pos="567"/>
              </w:tabs>
              <w:jc w:val="both"/>
              <w:rPr>
                <w:rFonts w:eastAsiaTheme="minorEastAsia"/>
                <w:b/>
                <w:bCs/>
                <w:kern w:val="24"/>
                <w:sz w:val="22"/>
                <w:lang w:val="en-US" w:eastAsia="en-GB"/>
              </w:rPr>
            </w:pPr>
          </w:p>
          <w:p w14:paraId="1E82F1A2" w14:textId="6E085514" w:rsidR="002E3A7D" w:rsidRPr="00651A67" w:rsidRDefault="002E3A7D" w:rsidP="00961825">
            <w:pPr>
              <w:tabs>
                <w:tab w:val="left" w:pos="567"/>
              </w:tabs>
              <w:jc w:val="both"/>
              <w:rPr>
                <w:rFonts w:eastAsiaTheme="minorEastAsia"/>
                <w:b/>
                <w:bCs/>
                <w:kern w:val="24"/>
                <w:sz w:val="22"/>
                <w:lang w:val="en-US" w:eastAsia="en-GB"/>
              </w:rPr>
            </w:pPr>
          </w:p>
        </w:tc>
        <w:tc>
          <w:tcPr>
            <w:tcW w:w="2694" w:type="dxa"/>
            <w:shd w:val="clear" w:color="auto" w:fill="FF0000"/>
          </w:tcPr>
          <w:p w14:paraId="207C8CCD" w14:textId="5E70287C" w:rsidR="00980AB4" w:rsidRPr="00651A67" w:rsidRDefault="002E3A7D" w:rsidP="00506934">
            <w:pPr>
              <w:tabs>
                <w:tab w:val="left" w:pos="567"/>
              </w:tabs>
              <w:rPr>
                <w:rFonts w:eastAsiaTheme="minorEastAsia"/>
                <w:b/>
                <w:bCs/>
                <w:kern w:val="24"/>
                <w:sz w:val="22"/>
                <w:lang w:val="en-US" w:eastAsia="en-GB"/>
              </w:rPr>
            </w:pPr>
            <w:r w:rsidRPr="00651A67">
              <w:rPr>
                <w:rFonts w:eastAsiaTheme="minorEastAsia"/>
                <w:b/>
                <w:bCs/>
                <w:kern w:val="24"/>
                <w:sz w:val="22"/>
                <w:lang w:val="en-US" w:eastAsia="en-GB"/>
              </w:rPr>
              <w:t>In/out of</w:t>
            </w:r>
            <w:r w:rsidR="00CC0895" w:rsidRPr="00651A67">
              <w:rPr>
                <w:rFonts w:eastAsiaTheme="minorEastAsia"/>
                <w:b/>
                <w:bCs/>
                <w:kern w:val="24"/>
                <w:sz w:val="22"/>
                <w:lang w:val="en-US" w:eastAsia="en-GB"/>
              </w:rPr>
              <w:t xml:space="preserve"> risk</w:t>
            </w:r>
            <w:r w:rsidRPr="00651A67">
              <w:rPr>
                <w:rFonts w:eastAsiaTheme="minorEastAsia"/>
                <w:b/>
                <w:bCs/>
                <w:kern w:val="24"/>
                <w:sz w:val="22"/>
                <w:lang w:val="en-US" w:eastAsia="en-GB"/>
              </w:rPr>
              <w:t xml:space="preserve"> appetite</w:t>
            </w:r>
            <w:r w:rsidR="00D2022A" w:rsidRPr="00651A67">
              <w:rPr>
                <w:rFonts w:eastAsiaTheme="minorEastAsia"/>
                <w:b/>
                <w:bCs/>
                <w:kern w:val="24"/>
                <w:sz w:val="22"/>
                <w:lang w:val="en-US" w:eastAsia="en-GB"/>
              </w:rPr>
              <w:t xml:space="preserve"> (current </w:t>
            </w:r>
            <w:r w:rsidR="00506934" w:rsidRPr="00651A67">
              <w:rPr>
                <w:rFonts w:eastAsiaTheme="minorEastAsia"/>
                <w:b/>
                <w:bCs/>
                <w:kern w:val="24"/>
                <w:sz w:val="22"/>
                <w:lang w:val="en-US" w:eastAsia="en-GB"/>
              </w:rPr>
              <w:t xml:space="preserve">risk </w:t>
            </w:r>
            <w:r w:rsidR="00D2022A" w:rsidRPr="00651A67">
              <w:rPr>
                <w:rFonts w:eastAsiaTheme="minorEastAsia"/>
                <w:b/>
                <w:bCs/>
                <w:kern w:val="24"/>
                <w:sz w:val="22"/>
                <w:lang w:val="en-US" w:eastAsia="en-GB"/>
              </w:rPr>
              <w:t xml:space="preserve">score): </w:t>
            </w:r>
            <w:r w:rsidRPr="00651A67">
              <w:rPr>
                <w:rFonts w:eastAsiaTheme="minorEastAsia"/>
                <w:b/>
                <w:bCs/>
                <w:kern w:val="24"/>
                <w:sz w:val="22"/>
                <w:lang w:val="en-US" w:eastAsia="en-GB"/>
              </w:rPr>
              <w:t>Out</w:t>
            </w:r>
            <w:r w:rsidR="00506934" w:rsidRPr="00651A67">
              <w:rPr>
                <w:rFonts w:eastAsiaTheme="minorEastAsia"/>
                <w:b/>
                <w:bCs/>
                <w:kern w:val="24"/>
                <w:sz w:val="22"/>
                <w:lang w:val="en-US" w:eastAsia="en-GB"/>
              </w:rPr>
              <w:t xml:space="preserve"> </w:t>
            </w:r>
            <w:r w:rsidR="00222DFF" w:rsidRPr="00651A67">
              <w:rPr>
                <w:rFonts w:eastAsiaTheme="minorEastAsia"/>
                <w:b/>
                <w:bCs/>
                <w:kern w:val="24"/>
                <w:sz w:val="22"/>
                <w:lang w:val="en-US" w:eastAsia="en-GB"/>
              </w:rPr>
              <w:t>(</w:t>
            </w:r>
            <w:r w:rsidR="00774F36" w:rsidRPr="00651A67">
              <w:rPr>
                <w:rFonts w:eastAsiaTheme="minorEastAsia"/>
                <w:b/>
                <w:bCs/>
                <w:kern w:val="24"/>
                <w:sz w:val="22"/>
                <w:lang w:val="en-US" w:eastAsia="en-GB"/>
              </w:rPr>
              <w:t>4-10)</w:t>
            </w:r>
          </w:p>
        </w:tc>
        <w:tc>
          <w:tcPr>
            <w:tcW w:w="2268" w:type="dxa"/>
            <w:shd w:val="clear" w:color="auto" w:fill="92D050"/>
          </w:tcPr>
          <w:p w14:paraId="5901EFF6" w14:textId="437B06CB" w:rsidR="002E3A7D" w:rsidRDefault="002E3A7D" w:rsidP="0095447A">
            <w:pPr>
              <w:tabs>
                <w:tab w:val="left" w:pos="567"/>
              </w:tabs>
              <w:rPr>
                <w:rFonts w:eastAsiaTheme="minorEastAsia"/>
                <w:b/>
                <w:bCs/>
                <w:kern w:val="24"/>
                <w:sz w:val="22"/>
                <w:lang w:val="en-US" w:eastAsia="en-GB"/>
              </w:rPr>
            </w:pPr>
            <w:r w:rsidRPr="00FD20E0">
              <w:rPr>
                <w:rFonts w:eastAsiaTheme="minorEastAsia"/>
                <w:b/>
                <w:bCs/>
                <w:kern w:val="24"/>
                <w:sz w:val="22"/>
                <w:lang w:val="en-US" w:eastAsia="en-GB"/>
              </w:rPr>
              <w:t xml:space="preserve">In/out of </w:t>
            </w:r>
            <w:r w:rsidR="0095447A">
              <w:rPr>
                <w:rFonts w:eastAsiaTheme="minorEastAsia"/>
                <w:b/>
                <w:bCs/>
                <w:kern w:val="24"/>
                <w:sz w:val="22"/>
                <w:lang w:val="en-US" w:eastAsia="en-GB"/>
              </w:rPr>
              <w:t xml:space="preserve">risk </w:t>
            </w:r>
            <w:r w:rsidRPr="00FD20E0">
              <w:rPr>
                <w:rFonts w:eastAsiaTheme="minorEastAsia"/>
                <w:b/>
                <w:bCs/>
                <w:kern w:val="24"/>
                <w:sz w:val="22"/>
                <w:lang w:val="en-US" w:eastAsia="en-GB"/>
              </w:rPr>
              <w:t xml:space="preserve">appetite </w:t>
            </w:r>
            <w:r w:rsidR="0095447A">
              <w:rPr>
                <w:rFonts w:eastAsiaTheme="minorEastAsia"/>
                <w:b/>
                <w:bCs/>
                <w:kern w:val="24"/>
                <w:sz w:val="22"/>
                <w:lang w:val="en-US" w:eastAsia="en-GB"/>
              </w:rPr>
              <w:t>(</w:t>
            </w:r>
            <w:r w:rsidRPr="00FD20E0">
              <w:rPr>
                <w:rFonts w:eastAsiaTheme="minorEastAsia"/>
                <w:b/>
                <w:bCs/>
                <w:kern w:val="24"/>
                <w:sz w:val="22"/>
                <w:lang w:val="en-US" w:eastAsia="en-GB"/>
              </w:rPr>
              <w:t>target</w:t>
            </w:r>
            <w:r w:rsidR="0095447A">
              <w:rPr>
                <w:rFonts w:eastAsiaTheme="minorEastAsia"/>
                <w:b/>
                <w:bCs/>
                <w:kern w:val="24"/>
                <w:sz w:val="22"/>
                <w:lang w:val="en-US" w:eastAsia="en-GB"/>
              </w:rPr>
              <w:t xml:space="preserve"> risk score)</w:t>
            </w:r>
            <w:r w:rsidRPr="00FD20E0">
              <w:rPr>
                <w:rFonts w:eastAsiaTheme="minorEastAsia"/>
                <w:b/>
                <w:bCs/>
                <w:kern w:val="24"/>
                <w:sz w:val="22"/>
                <w:lang w:val="en-US" w:eastAsia="en-GB"/>
              </w:rPr>
              <w:t>:</w:t>
            </w:r>
            <w:r w:rsidR="0095447A">
              <w:rPr>
                <w:rFonts w:eastAsiaTheme="minorEastAsia"/>
                <w:b/>
                <w:bCs/>
                <w:kern w:val="24"/>
                <w:sz w:val="22"/>
                <w:lang w:val="en-US" w:eastAsia="en-GB"/>
              </w:rPr>
              <w:t xml:space="preserve"> In</w:t>
            </w:r>
          </w:p>
          <w:p w14:paraId="554403D8" w14:textId="15AB036D" w:rsidR="00AA688E" w:rsidRPr="00FD20E0" w:rsidRDefault="00AA688E" w:rsidP="0095447A">
            <w:pPr>
              <w:tabs>
                <w:tab w:val="left" w:pos="567"/>
              </w:tabs>
              <w:rPr>
                <w:rFonts w:eastAsiaTheme="minorEastAsia"/>
                <w:b/>
                <w:bCs/>
                <w:kern w:val="24"/>
                <w:sz w:val="22"/>
                <w:lang w:val="en-US" w:eastAsia="en-GB"/>
              </w:rPr>
            </w:pPr>
          </w:p>
        </w:tc>
      </w:tr>
      <w:tr w:rsidR="002E3A7D" w:rsidRPr="00FD20E0" w14:paraId="32A6CEA7" w14:textId="77777777" w:rsidTr="43A6ED7F">
        <w:trPr>
          <w:trHeight w:val="848"/>
        </w:trPr>
        <w:tc>
          <w:tcPr>
            <w:tcW w:w="8931" w:type="dxa"/>
            <w:gridSpan w:val="4"/>
          </w:tcPr>
          <w:p w14:paraId="3C42616F" w14:textId="23265FC4" w:rsidR="002C709E" w:rsidRPr="005F466F" w:rsidRDefault="00B35CD6" w:rsidP="43A6ED7F">
            <w:pPr>
              <w:tabs>
                <w:tab w:val="left" w:pos="174"/>
              </w:tabs>
              <w:jc w:val="both"/>
              <w:rPr>
                <w:rFonts w:eastAsiaTheme="minorEastAsia"/>
                <w:color w:val="000000" w:themeColor="text1"/>
                <w:kern w:val="24"/>
                <w:szCs w:val="24"/>
                <w:lang w:val="en-US" w:eastAsia="en-GB"/>
              </w:rPr>
            </w:pPr>
            <w:r w:rsidRPr="005F466F">
              <w:rPr>
                <w:rFonts w:eastAsiaTheme="minorEastAsia"/>
                <w:color w:val="000000" w:themeColor="text1"/>
                <w:kern w:val="24"/>
                <w:szCs w:val="24"/>
                <w:lang w:val="en-US" w:eastAsia="en-GB"/>
              </w:rPr>
              <w:t xml:space="preserve">The </w:t>
            </w:r>
            <w:r w:rsidR="6C2B813C" w:rsidRPr="005F466F">
              <w:rPr>
                <w:rFonts w:eastAsiaTheme="minorEastAsia"/>
                <w:color w:val="000000" w:themeColor="text1"/>
                <w:kern w:val="24"/>
                <w:szCs w:val="24"/>
                <w:lang w:val="en-US" w:eastAsia="en-GB"/>
              </w:rPr>
              <w:t xml:space="preserve">risk has been reviewed with no proposed </w:t>
            </w:r>
            <w:r w:rsidR="64A7B15D" w:rsidRPr="005F466F">
              <w:rPr>
                <w:rFonts w:eastAsiaTheme="minorEastAsia"/>
                <w:color w:val="000000" w:themeColor="text1"/>
                <w:kern w:val="24"/>
                <w:szCs w:val="24"/>
                <w:lang w:val="en-US" w:eastAsia="en-GB"/>
              </w:rPr>
              <w:t>movement to the</w:t>
            </w:r>
            <w:r w:rsidR="6C2B813C" w:rsidRPr="005F466F">
              <w:rPr>
                <w:rFonts w:eastAsiaTheme="minorEastAsia"/>
                <w:color w:val="000000" w:themeColor="text1"/>
                <w:kern w:val="24"/>
                <w:szCs w:val="24"/>
                <w:lang w:val="en-US" w:eastAsia="en-GB"/>
              </w:rPr>
              <w:t xml:space="preserve"> risk score</w:t>
            </w:r>
            <w:r w:rsidR="1D986B8A" w:rsidRPr="005F466F">
              <w:rPr>
                <w:rFonts w:eastAsiaTheme="minorEastAsia"/>
                <w:color w:val="000000" w:themeColor="text1"/>
                <w:kern w:val="24"/>
                <w:szCs w:val="24"/>
                <w:lang w:val="en-US" w:eastAsia="en-GB"/>
              </w:rPr>
              <w:t>.</w:t>
            </w:r>
          </w:p>
          <w:p w14:paraId="062E6EF6" w14:textId="77777777" w:rsidR="002C709E" w:rsidRPr="005F466F" w:rsidRDefault="002C709E" w:rsidP="002E3A7D">
            <w:pPr>
              <w:tabs>
                <w:tab w:val="left" w:pos="174"/>
              </w:tabs>
              <w:jc w:val="both"/>
              <w:rPr>
                <w:rFonts w:eastAsiaTheme="minorEastAsia"/>
                <w:color w:val="000000" w:themeColor="text1"/>
                <w:kern w:val="24"/>
                <w:szCs w:val="24"/>
                <w:lang w:val="en-US" w:eastAsia="en-GB"/>
              </w:rPr>
            </w:pPr>
          </w:p>
          <w:p w14:paraId="09713133" w14:textId="33778074" w:rsidR="0067460C" w:rsidRPr="005F466F" w:rsidRDefault="0067460C" w:rsidP="002E3A7D">
            <w:pPr>
              <w:tabs>
                <w:tab w:val="left" w:pos="174"/>
              </w:tabs>
              <w:jc w:val="both"/>
              <w:rPr>
                <w:rFonts w:eastAsiaTheme="minorEastAsia"/>
                <w:color w:val="000000" w:themeColor="text1"/>
                <w:kern w:val="24"/>
                <w:szCs w:val="24"/>
                <w:lang w:val="en-US" w:eastAsia="en-GB"/>
              </w:rPr>
            </w:pPr>
            <w:r w:rsidRPr="005F466F">
              <w:rPr>
                <w:rFonts w:eastAsiaTheme="minorEastAsia"/>
                <w:color w:val="000000" w:themeColor="text1"/>
                <w:kern w:val="24"/>
                <w:szCs w:val="24"/>
                <w:lang w:val="en-US" w:eastAsia="en-GB"/>
              </w:rPr>
              <w:t>The risk controls and assurance</w:t>
            </w:r>
            <w:r w:rsidR="002B261D" w:rsidRPr="005F466F">
              <w:rPr>
                <w:rFonts w:eastAsiaTheme="minorEastAsia"/>
                <w:color w:val="000000" w:themeColor="text1"/>
                <w:kern w:val="24"/>
                <w:szCs w:val="24"/>
                <w:lang w:val="en-US" w:eastAsia="en-GB"/>
              </w:rPr>
              <w:t>s</w:t>
            </w:r>
            <w:r w:rsidRPr="005F466F">
              <w:rPr>
                <w:rFonts w:eastAsiaTheme="minorEastAsia"/>
                <w:color w:val="000000" w:themeColor="text1"/>
                <w:kern w:val="24"/>
                <w:szCs w:val="24"/>
                <w:lang w:val="en-US" w:eastAsia="en-GB"/>
              </w:rPr>
              <w:t xml:space="preserve"> remain as previously reported with the following updates</w:t>
            </w:r>
            <w:r w:rsidR="002B261D" w:rsidRPr="005F466F">
              <w:rPr>
                <w:rFonts w:eastAsiaTheme="minorEastAsia"/>
                <w:color w:val="000000" w:themeColor="text1"/>
                <w:kern w:val="24"/>
                <w:szCs w:val="24"/>
                <w:lang w:val="en-US" w:eastAsia="en-GB"/>
              </w:rPr>
              <w:t xml:space="preserve"> provided</w:t>
            </w:r>
            <w:r w:rsidRPr="005F466F">
              <w:rPr>
                <w:rFonts w:eastAsiaTheme="minorEastAsia"/>
                <w:color w:val="000000" w:themeColor="text1"/>
                <w:kern w:val="24"/>
                <w:szCs w:val="24"/>
                <w:lang w:val="en-US" w:eastAsia="en-GB"/>
              </w:rPr>
              <w:t>:</w:t>
            </w:r>
          </w:p>
          <w:p w14:paraId="02847ADB" w14:textId="77777777" w:rsidR="0067460C" w:rsidRPr="005F466F" w:rsidRDefault="0067460C" w:rsidP="002E3A7D">
            <w:pPr>
              <w:tabs>
                <w:tab w:val="left" w:pos="174"/>
              </w:tabs>
              <w:jc w:val="both"/>
              <w:rPr>
                <w:rFonts w:eastAsiaTheme="minorEastAsia"/>
                <w:color w:val="000000" w:themeColor="text1"/>
                <w:kern w:val="24"/>
                <w:szCs w:val="24"/>
                <w:lang w:val="en-US" w:eastAsia="en-GB"/>
              </w:rPr>
            </w:pPr>
          </w:p>
          <w:p w14:paraId="75824E28" w14:textId="51579AC4" w:rsidR="00DD5138" w:rsidRPr="005F466F" w:rsidRDefault="00DD5138" w:rsidP="002E3A7D">
            <w:pPr>
              <w:tabs>
                <w:tab w:val="left" w:pos="174"/>
              </w:tabs>
              <w:jc w:val="both"/>
              <w:rPr>
                <w:rFonts w:eastAsiaTheme="minorEastAsia"/>
                <w:color w:val="000000" w:themeColor="text1"/>
                <w:kern w:val="24"/>
                <w:szCs w:val="24"/>
                <w:lang w:val="en-US" w:eastAsia="en-GB"/>
              </w:rPr>
            </w:pPr>
            <w:r w:rsidRPr="005F466F">
              <w:rPr>
                <w:rFonts w:eastAsiaTheme="minorEastAsia"/>
                <w:b/>
                <w:bCs/>
                <w:color w:val="000000" w:themeColor="text1"/>
                <w:kern w:val="24"/>
                <w:szCs w:val="24"/>
                <w:lang w:val="en-US" w:eastAsia="en-GB"/>
              </w:rPr>
              <w:t xml:space="preserve">Controls </w:t>
            </w:r>
            <w:r w:rsidRPr="005F466F">
              <w:rPr>
                <w:rFonts w:eastAsiaTheme="minorEastAsia"/>
                <w:color w:val="000000" w:themeColor="text1"/>
                <w:kern w:val="24"/>
                <w:szCs w:val="24"/>
                <w:lang w:val="en-US" w:eastAsia="en-GB"/>
              </w:rPr>
              <w:t xml:space="preserve">have been </w:t>
            </w:r>
            <w:r w:rsidR="00AA224A" w:rsidRPr="005F466F">
              <w:rPr>
                <w:rFonts w:eastAsiaTheme="minorEastAsia"/>
                <w:color w:val="000000" w:themeColor="text1"/>
                <w:kern w:val="24"/>
                <w:szCs w:val="24"/>
                <w:lang w:val="en-US" w:eastAsia="en-GB"/>
              </w:rPr>
              <w:t xml:space="preserve">fully </w:t>
            </w:r>
            <w:r w:rsidRPr="005F466F">
              <w:rPr>
                <w:rFonts w:eastAsiaTheme="minorEastAsia"/>
                <w:color w:val="000000" w:themeColor="text1"/>
                <w:kern w:val="24"/>
                <w:szCs w:val="24"/>
                <w:lang w:val="en-US" w:eastAsia="en-GB"/>
              </w:rPr>
              <w:t>reviewed and updated as follows:</w:t>
            </w:r>
          </w:p>
          <w:p w14:paraId="7DDF86A5" w14:textId="77777777" w:rsidR="00DD5138" w:rsidRPr="005F466F" w:rsidRDefault="00DD5138" w:rsidP="002E3A7D">
            <w:pPr>
              <w:tabs>
                <w:tab w:val="left" w:pos="174"/>
              </w:tabs>
              <w:jc w:val="both"/>
              <w:rPr>
                <w:rFonts w:eastAsiaTheme="minorEastAsia"/>
                <w:color w:val="000000" w:themeColor="text1"/>
                <w:kern w:val="24"/>
                <w:szCs w:val="24"/>
                <w:lang w:val="en-US" w:eastAsia="en-GB"/>
              </w:rPr>
            </w:pPr>
          </w:p>
          <w:p w14:paraId="375F2254" w14:textId="74CE58E0" w:rsidR="001D6F5F" w:rsidRPr="005F466F" w:rsidRDefault="001D6F5F" w:rsidP="00DD5138">
            <w:pPr>
              <w:pStyle w:val="ListParagraph"/>
              <w:numPr>
                <w:ilvl w:val="0"/>
                <w:numId w:val="28"/>
              </w:numPr>
              <w:tabs>
                <w:tab w:val="left" w:pos="174"/>
              </w:tabs>
              <w:jc w:val="both"/>
              <w:rPr>
                <w:rFonts w:eastAsiaTheme="minorEastAsia"/>
                <w:color w:val="000000" w:themeColor="text1"/>
                <w:kern w:val="24"/>
                <w:szCs w:val="24"/>
                <w:lang w:val="en-US" w:eastAsia="en-GB"/>
              </w:rPr>
            </w:pPr>
            <w:r w:rsidRPr="005F466F">
              <w:rPr>
                <w:color w:val="000000"/>
                <w:szCs w:val="24"/>
                <w:shd w:val="clear" w:color="auto" w:fill="FFFFFF"/>
              </w:rPr>
              <w:t xml:space="preserve">Dental Access and Oral Health Improvement </w:t>
            </w:r>
            <w:r w:rsidR="0067460C" w:rsidRPr="005F466F">
              <w:rPr>
                <w:color w:val="000000"/>
                <w:szCs w:val="24"/>
                <w:shd w:val="clear" w:color="auto" w:fill="FFFFFF"/>
              </w:rPr>
              <w:t xml:space="preserve">5 Year </w:t>
            </w:r>
            <w:r w:rsidRPr="005F466F">
              <w:rPr>
                <w:color w:val="000000"/>
                <w:szCs w:val="24"/>
                <w:shd w:val="clear" w:color="auto" w:fill="FFFFFF"/>
              </w:rPr>
              <w:t>Plan</w:t>
            </w:r>
            <w:r w:rsidR="0067460C" w:rsidRPr="005F466F">
              <w:rPr>
                <w:color w:val="000000"/>
                <w:szCs w:val="24"/>
                <w:shd w:val="clear" w:color="auto" w:fill="FFFFFF"/>
              </w:rPr>
              <w:t xml:space="preserve"> has received board approval.</w:t>
            </w:r>
            <w:r w:rsidRPr="005F466F">
              <w:rPr>
                <w:color w:val="000000"/>
                <w:szCs w:val="24"/>
                <w:shd w:val="clear" w:color="auto" w:fill="FFFFFF"/>
              </w:rPr>
              <w:t xml:space="preserve"> </w:t>
            </w:r>
          </w:p>
          <w:p w14:paraId="38C73968" w14:textId="77777777" w:rsidR="008C57A4" w:rsidRPr="005F466F" w:rsidRDefault="008C57A4" w:rsidP="008C57A4">
            <w:pPr>
              <w:tabs>
                <w:tab w:val="left" w:pos="174"/>
              </w:tabs>
              <w:jc w:val="both"/>
              <w:rPr>
                <w:rFonts w:eastAsiaTheme="minorEastAsia"/>
                <w:color w:val="000000" w:themeColor="text1"/>
                <w:kern w:val="24"/>
                <w:szCs w:val="24"/>
                <w:lang w:eastAsia="en-GB"/>
              </w:rPr>
            </w:pPr>
          </w:p>
          <w:p w14:paraId="33B5E78D" w14:textId="261DA035" w:rsidR="00A74210" w:rsidRPr="005F466F" w:rsidRDefault="00A74210" w:rsidP="008C57A4">
            <w:pPr>
              <w:tabs>
                <w:tab w:val="left" w:pos="174"/>
              </w:tabs>
              <w:jc w:val="both"/>
              <w:rPr>
                <w:rFonts w:eastAsiaTheme="minorEastAsia"/>
                <w:b/>
                <w:bCs/>
                <w:color w:val="000000" w:themeColor="text1"/>
                <w:kern w:val="24"/>
                <w:szCs w:val="24"/>
                <w:lang w:eastAsia="en-GB"/>
              </w:rPr>
            </w:pPr>
            <w:r w:rsidRPr="005F466F">
              <w:rPr>
                <w:rFonts w:eastAsiaTheme="minorEastAsia"/>
                <w:b/>
                <w:bCs/>
                <w:color w:val="000000" w:themeColor="text1"/>
                <w:kern w:val="24"/>
                <w:szCs w:val="24"/>
                <w:lang w:eastAsia="en-GB"/>
              </w:rPr>
              <w:t>Assurances have been strengthened</w:t>
            </w:r>
            <w:r w:rsidR="0028050C" w:rsidRPr="005F466F">
              <w:rPr>
                <w:rFonts w:eastAsiaTheme="minorEastAsia"/>
                <w:b/>
                <w:bCs/>
                <w:color w:val="000000" w:themeColor="text1"/>
                <w:kern w:val="24"/>
                <w:szCs w:val="24"/>
                <w:lang w:eastAsia="en-GB"/>
              </w:rPr>
              <w:t>:</w:t>
            </w:r>
          </w:p>
          <w:p w14:paraId="32F2171A" w14:textId="77777777" w:rsidR="0028050C" w:rsidRPr="005F466F" w:rsidRDefault="0028050C" w:rsidP="008C57A4">
            <w:pPr>
              <w:tabs>
                <w:tab w:val="left" w:pos="174"/>
              </w:tabs>
              <w:jc w:val="both"/>
              <w:rPr>
                <w:rFonts w:eastAsiaTheme="minorEastAsia"/>
                <w:b/>
                <w:bCs/>
                <w:color w:val="000000" w:themeColor="text1"/>
                <w:kern w:val="24"/>
                <w:szCs w:val="24"/>
                <w:lang w:eastAsia="en-GB"/>
              </w:rPr>
            </w:pPr>
          </w:p>
          <w:p w14:paraId="4CFE5D93" w14:textId="0FC9BA09" w:rsidR="0028050C" w:rsidRPr="005F466F" w:rsidRDefault="00277B11" w:rsidP="43A6ED7F">
            <w:pPr>
              <w:pStyle w:val="ListParagraph"/>
              <w:numPr>
                <w:ilvl w:val="0"/>
                <w:numId w:val="27"/>
              </w:numPr>
              <w:tabs>
                <w:tab w:val="left" w:pos="174"/>
              </w:tabs>
              <w:jc w:val="both"/>
              <w:rPr>
                <w:rFonts w:eastAsiaTheme="minorEastAsia"/>
                <w:color w:val="000000" w:themeColor="text1"/>
                <w:kern w:val="24"/>
                <w:szCs w:val="24"/>
                <w:lang w:eastAsia="en-GB"/>
              </w:rPr>
            </w:pPr>
            <w:r w:rsidRPr="005F466F">
              <w:rPr>
                <w:rFonts w:eastAsiaTheme="minorEastAsia"/>
                <w:color w:val="000000" w:themeColor="text1"/>
                <w:kern w:val="24"/>
                <w:szCs w:val="24"/>
                <w:lang w:eastAsia="en-GB"/>
              </w:rPr>
              <w:t>Dental Access and Oral Health Improvement 5 Year Plan is now being mobilised</w:t>
            </w:r>
            <w:r w:rsidR="002B261D" w:rsidRPr="005F466F">
              <w:rPr>
                <w:rFonts w:eastAsiaTheme="minorEastAsia"/>
                <w:color w:val="000000" w:themeColor="text1"/>
                <w:kern w:val="24"/>
                <w:szCs w:val="24"/>
                <w:lang w:eastAsia="en-GB"/>
              </w:rPr>
              <w:t xml:space="preserve"> (see below).</w:t>
            </w:r>
          </w:p>
          <w:p w14:paraId="63882559" w14:textId="77777777" w:rsidR="00DF5B2C" w:rsidRPr="005F466F" w:rsidRDefault="00DF5B2C" w:rsidP="00DF5B2C">
            <w:pPr>
              <w:tabs>
                <w:tab w:val="left" w:pos="174"/>
              </w:tabs>
              <w:jc w:val="both"/>
              <w:rPr>
                <w:rFonts w:eastAsiaTheme="minorEastAsia"/>
                <w:b/>
                <w:bCs/>
                <w:color w:val="000000" w:themeColor="text1"/>
                <w:kern w:val="24"/>
                <w:szCs w:val="24"/>
                <w:lang w:eastAsia="en-GB"/>
              </w:rPr>
            </w:pPr>
          </w:p>
          <w:p w14:paraId="7651F29A" w14:textId="77777777" w:rsidR="00277B11" w:rsidRPr="005F466F" w:rsidRDefault="00CF4255" w:rsidP="00277B11">
            <w:pPr>
              <w:tabs>
                <w:tab w:val="left" w:pos="174"/>
              </w:tabs>
              <w:jc w:val="both"/>
              <w:rPr>
                <w:rFonts w:eastAsiaTheme="minorEastAsia"/>
                <w:b/>
                <w:bCs/>
                <w:color w:val="000000" w:themeColor="text1"/>
                <w:kern w:val="24"/>
                <w:szCs w:val="24"/>
                <w:lang w:eastAsia="en-GB"/>
              </w:rPr>
            </w:pPr>
            <w:r w:rsidRPr="005F466F">
              <w:rPr>
                <w:rFonts w:eastAsiaTheme="minorEastAsia"/>
                <w:b/>
                <w:bCs/>
                <w:color w:val="000000" w:themeColor="text1"/>
                <w:kern w:val="24"/>
                <w:szCs w:val="24"/>
                <w:lang w:eastAsia="en-GB"/>
              </w:rPr>
              <w:t>Actions</w:t>
            </w:r>
            <w:r w:rsidR="00277B11" w:rsidRPr="005F466F">
              <w:rPr>
                <w:rFonts w:eastAsiaTheme="minorEastAsia"/>
                <w:b/>
                <w:bCs/>
                <w:color w:val="000000" w:themeColor="text1"/>
                <w:kern w:val="24"/>
                <w:szCs w:val="24"/>
                <w:lang w:eastAsia="en-GB"/>
              </w:rPr>
              <w:t>:</w:t>
            </w:r>
          </w:p>
          <w:p w14:paraId="6FDEEBE7" w14:textId="37759CF2" w:rsidR="0047757F" w:rsidRPr="005F466F" w:rsidRDefault="002B261D" w:rsidP="002B261D">
            <w:pPr>
              <w:pStyle w:val="ListParagraph"/>
              <w:numPr>
                <w:ilvl w:val="0"/>
                <w:numId w:val="27"/>
              </w:numPr>
              <w:tabs>
                <w:tab w:val="left" w:pos="174"/>
              </w:tabs>
              <w:jc w:val="both"/>
              <w:rPr>
                <w:rFonts w:eastAsiaTheme="minorEastAsia"/>
                <w:color w:val="000000" w:themeColor="text1"/>
                <w:kern w:val="24"/>
                <w:szCs w:val="24"/>
                <w:lang w:eastAsia="en-GB"/>
              </w:rPr>
            </w:pPr>
            <w:r w:rsidRPr="005F466F">
              <w:rPr>
                <w:rFonts w:eastAsiaTheme="minorEastAsia"/>
                <w:b/>
                <w:bCs/>
                <w:color w:val="000000" w:themeColor="text1"/>
                <w:kern w:val="24"/>
                <w:szCs w:val="24"/>
                <w:lang w:eastAsia="en-GB"/>
              </w:rPr>
              <w:t>Dental Access Oral Health Improvement:</w:t>
            </w:r>
            <w:r w:rsidRPr="005F466F">
              <w:rPr>
                <w:rFonts w:eastAsiaTheme="minorEastAsia"/>
                <w:color w:val="000000" w:themeColor="text1"/>
                <w:kern w:val="24"/>
                <w:szCs w:val="24"/>
                <w:lang w:eastAsia="en-GB"/>
              </w:rPr>
              <w:t xml:space="preserve"> </w:t>
            </w:r>
            <w:r w:rsidRPr="005F466F">
              <w:rPr>
                <w:rFonts w:eastAsiaTheme="minorEastAsia"/>
                <w:b/>
                <w:bCs/>
                <w:color w:val="000000" w:themeColor="text1"/>
                <w:kern w:val="24"/>
                <w:szCs w:val="24"/>
                <w:lang w:eastAsia="en-GB"/>
              </w:rPr>
              <w:t>5 Year Plan</w:t>
            </w:r>
            <w:r w:rsidRPr="005F466F">
              <w:rPr>
                <w:rFonts w:eastAsiaTheme="minorEastAsia"/>
                <w:color w:val="000000" w:themeColor="text1"/>
                <w:kern w:val="24"/>
                <w:szCs w:val="24"/>
                <w:lang w:eastAsia="en-GB"/>
              </w:rPr>
              <w:t>: t</w:t>
            </w:r>
            <w:r w:rsidR="00277B11" w:rsidRPr="005F466F">
              <w:rPr>
                <w:rFonts w:eastAsiaTheme="minorEastAsia"/>
                <w:color w:val="000000" w:themeColor="text1"/>
                <w:kern w:val="24"/>
                <w:szCs w:val="24"/>
                <w:lang w:eastAsia="en-GB"/>
              </w:rPr>
              <w:t xml:space="preserve">here are 10 open actions </w:t>
            </w:r>
            <w:r w:rsidRPr="005F466F">
              <w:rPr>
                <w:rFonts w:eastAsiaTheme="minorEastAsia"/>
                <w:color w:val="000000" w:themeColor="text1"/>
                <w:kern w:val="24"/>
                <w:szCs w:val="24"/>
                <w:lang w:eastAsia="en-GB"/>
              </w:rPr>
              <w:t xml:space="preserve">aligned to key deliverables supporting the Dental Access Oral Health Improvement 5 Year Plan.  </w:t>
            </w:r>
            <w:r w:rsidR="00277B11" w:rsidRPr="005F466F">
              <w:rPr>
                <w:rFonts w:eastAsiaTheme="minorEastAsia"/>
                <w:color w:val="000000" w:themeColor="text1"/>
                <w:kern w:val="24"/>
                <w:szCs w:val="24"/>
                <w:lang w:eastAsia="en-GB"/>
              </w:rPr>
              <w:t xml:space="preserve"> </w:t>
            </w:r>
            <w:r w:rsidRPr="005F466F">
              <w:rPr>
                <w:rFonts w:eastAsiaTheme="minorEastAsia"/>
                <w:color w:val="000000" w:themeColor="text1"/>
                <w:kern w:val="24"/>
                <w:szCs w:val="24"/>
                <w:lang w:eastAsia="en-GB"/>
              </w:rPr>
              <w:t>The actions have all been reviewed and are within the delivery due date of 31 March 2026.</w:t>
            </w:r>
          </w:p>
          <w:p w14:paraId="49FA1FAF" w14:textId="77777777" w:rsidR="00277B11" w:rsidRPr="005F466F" w:rsidRDefault="00277B11" w:rsidP="00277B11">
            <w:pPr>
              <w:tabs>
                <w:tab w:val="left" w:pos="174"/>
              </w:tabs>
              <w:jc w:val="both"/>
              <w:rPr>
                <w:rFonts w:eastAsiaTheme="minorEastAsia"/>
                <w:color w:val="000000" w:themeColor="text1"/>
                <w:kern w:val="24"/>
                <w:szCs w:val="24"/>
                <w:lang w:eastAsia="en-GB"/>
              </w:rPr>
            </w:pPr>
          </w:p>
          <w:p w14:paraId="36C906C1" w14:textId="43CDC5A5" w:rsidR="00277B11" w:rsidRPr="002B52BC" w:rsidRDefault="002B261D" w:rsidP="00277B11">
            <w:pPr>
              <w:pStyle w:val="ListParagraph"/>
              <w:numPr>
                <w:ilvl w:val="0"/>
                <w:numId w:val="27"/>
              </w:numPr>
              <w:tabs>
                <w:tab w:val="left" w:pos="174"/>
              </w:tabs>
              <w:jc w:val="both"/>
              <w:rPr>
                <w:rFonts w:eastAsiaTheme="minorEastAsia"/>
                <w:b/>
                <w:bCs/>
                <w:color w:val="000000" w:themeColor="text1"/>
                <w:kern w:val="24"/>
                <w:szCs w:val="24"/>
                <w:lang w:eastAsia="en-GB"/>
              </w:rPr>
            </w:pPr>
            <w:r w:rsidRPr="002B52BC">
              <w:rPr>
                <w:rFonts w:eastAsiaTheme="minorEastAsia"/>
                <w:b/>
                <w:bCs/>
                <w:color w:val="000000" w:themeColor="text1"/>
                <w:kern w:val="24"/>
                <w:szCs w:val="24"/>
                <w:lang w:eastAsia="en-GB"/>
              </w:rPr>
              <w:t xml:space="preserve">Recruitment and retention: </w:t>
            </w:r>
            <w:r w:rsidRPr="002B52BC">
              <w:rPr>
                <w:rFonts w:eastAsiaTheme="minorEastAsia"/>
                <w:color w:val="000000" w:themeColor="text1"/>
                <w:kern w:val="24"/>
                <w:szCs w:val="24"/>
                <w:lang w:eastAsia="en-GB"/>
              </w:rPr>
              <w:t>Funding has been released to three practices who have successfully recruited a Level 1 overse</w:t>
            </w:r>
            <w:r w:rsidR="008C0287" w:rsidRPr="002B52BC">
              <w:rPr>
                <w:rFonts w:eastAsiaTheme="minorEastAsia"/>
                <w:color w:val="000000" w:themeColor="text1"/>
                <w:kern w:val="24"/>
                <w:szCs w:val="24"/>
                <w:lang w:eastAsia="en-GB"/>
              </w:rPr>
              <w:t>a</w:t>
            </w:r>
            <w:r w:rsidRPr="002B52BC">
              <w:rPr>
                <w:rFonts w:eastAsiaTheme="minorEastAsia"/>
                <w:color w:val="000000" w:themeColor="text1"/>
                <w:kern w:val="24"/>
                <w:szCs w:val="24"/>
                <w:lang w:eastAsia="en-GB"/>
              </w:rPr>
              <w:t>s dentist.  Approvement in principle has been given to extend the scheme into 2025/26 (subject to board approval).</w:t>
            </w:r>
          </w:p>
          <w:p w14:paraId="5914FBBE" w14:textId="77777777" w:rsidR="002B261D" w:rsidRPr="002B52BC" w:rsidRDefault="002B261D" w:rsidP="002B261D">
            <w:pPr>
              <w:pStyle w:val="ListParagraph"/>
              <w:rPr>
                <w:rFonts w:eastAsiaTheme="minorEastAsia"/>
                <w:b/>
                <w:bCs/>
                <w:color w:val="000000" w:themeColor="text1"/>
                <w:kern w:val="24"/>
                <w:szCs w:val="24"/>
                <w:lang w:eastAsia="en-GB"/>
              </w:rPr>
            </w:pPr>
          </w:p>
          <w:p w14:paraId="77AFE9BC" w14:textId="611D8AB9" w:rsidR="002B261D" w:rsidRPr="002B261D" w:rsidRDefault="002B261D" w:rsidP="00277B11">
            <w:pPr>
              <w:pStyle w:val="ListParagraph"/>
              <w:numPr>
                <w:ilvl w:val="0"/>
                <w:numId w:val="27"/>
              </w:numPr>
              <w:tabs>
                <w:tab w:val="left" w:pos="174"/>
              </w:tabs>
              <w:jc w:val="both"/>
              <w:rPr>
                <w:rFonts w:eastAsiaTheme="minorEastAsia"/>
                <w:b/>
                <w:bCs/>
                <w:color w:val="000000" w:themeColor="text1"/>
                <w:kern w:val="24"/>
                <w:sz w:val="22"/>
                <w:lang w:eastAsia="en-GB"/>
              </w:rPr>
            </w:pPr>
            <w:r w:rsidRPr="002B52BC">
              <w:rPr>
                <w:rFonts w:eastAsiaTheme="minorEastAsia"/>
                <w:b/>
                <w:bCs/>
                <w:color w:val="000000" w:themeColor="text1"/>
                <w:kern w:val="24"/>
                <w:szCs w:val="24"/>
                <w:lang w:eastAsia="en-GB"/>
              </w:rPr>
              <w:t>Dental Dashboard</w:t>
            </w:r>
            <w:r w:rsidR="005F466F" w:rsidRPr="002B52BC">
              <w:rPr>
                <w:rFonts w:eastAsiaTheme="minorEastAsia"/>
                <w:b/>
                <w:bCs/>
                <w:color w:val="000000" w:themeColor="text1"/>
                <w:kern w:val="24"/>
                <w:szCs w:val="24"/>
                <w:lang w:eastAsia="en-GB"/>
              </w:rPr>
              <w:t xml:space="preserve"> – BI Support</w:t>
            </w:r>
            <w:r w:rsidRPr="005F466F">
              <w:rPr>
                <w:rFonts w:eastAsiaTheme="minorEastAsia"/>
                <w:b/>
                <w:bCs/>
                <w:color w:val="000000" w:themeColor="text1"/>
                <w:kern w:val="24"/>
                <w:szCs w:val="24"/>
                <w:lang w:eastAsia="en-GB"/>
              </w:rPr>
              <w:t xml:space="preserve">: </w:t>
            </w:r>
            <w:r w:rsidRPr="005F466F">
              <w:rPr>
                <w:rFonts w:eastAsiaTheme="minorEastAsia"/>
                <w:color w:val="000000" w:themeColor="text1"/>
                <w:kern w:val="24"/>
                <w:szCs w:val="24"/>
                <w:lang w:eastAsia="en-GB"/>
              </w:rPr>
              <w:t xml:space="preserve">No </w:t>
            </w:r>
            <w:r w:rsidR="008C0287">
              <w:rPr>
                <w:rFonts w:eastAsiaTheme="minorEastAsia"/>
                <w:color w:val="000000" w:themeColor="text1"/>
                <w:kern w:val="24"/>
                <w:szCs w:val="24"/>
                <w:lang w:eastAsia="en-GB"/>
              </w:rPr>
              <w:t xml:space="preserve">further </w:t>
            </w:r>
            <w:r w:rsidRPr="005F466F">
              <w:rPr>
                <w:rFonts w:eastAsiaTheme="minorEastAsia"/>
                <w:color w:val="000000" w:themeColor="text1"/>
                <w:kern w:val="24"/>
                <w:szCs w:val="24"/>
                <w:lang w:eastAsia="en-GB"/>
              </w:rPr>
              <w:t xml:space="preserve">update provided </w:t>
            </w:r>
            <w:r w:rsidR="008C0287">
              <w:rPr>
                <w:rFonts w:eastAsiaTheme="minorEastAsia"/>
                <w:color w:val="000000" w:themeColor="text1"/>
                <w:kern w:val="24"/>
                <w:szCs w:val="24"/>
                <w:lang w:eastAsia="en-GB"/>
              </w:rPr>
              <w:t>in relation to this action</w:t>
            </w:r>
            <w:r w:rsidR="005F466F">
              <w:rPr>
                <w:rFonts w:eastAsiaTheme="minorEastAsia"/>
                <w:color w:val="000000" w:themeColor="text1"/>
                <w:kern w:val="24"/>
                <w:szCs w:val="24"/>
                <w:lang w:eastAsia="en-GB"/>
              </w:rPr>
              <w:t>.</w:t>
            </w:r>
          </w:p>
        </w:tc>
      </w:tr>
    </w:tbl>
    <w:p w14:paraId="6DDBF898" w14:textId="77777777" w:rsidR="003843AE" w:rsidRDefault="003843AE" w:rsidP="003843AE">
      <w:pPr>
        <w:tabs>
          <w:tab w:val="left" w:pos="565"/>
        </w:tabs>
        <w:spacing w:after="0" w:line="240" w:lineRule="auto"/>
        <w:ind w:left="565" w:hanging="565"/>
        <w:jc w:val="both"/>
        <w:rPr>
          <w:lang w:eastAsia="en-GB"/>
        </w:rPr>
      </w:pPr>
    </w:p>
    <w:p w14:paraId="68F2E005" w14:textId="4380DB8B" w:rsidR="00662B91" w:rsidRDefault="008A599E" w:rsidP="00792220">
      <w:pPr>
        <w:tabs>
          <w:tab w:val="left" w:pos="565"/>
        </w:tabs>
        <w:ind w:left="565" w:hanging="565"/>
        <w:jc w:val="both"/>
        <w:rPr>
          <w:lang w:eastAsia="en-GB"/>
        </w:rPr>
      </w:pPr>
      <w:r>
        <w:rPr>
          <w:lang w:eastAsia="en-GB"/>
        </w:rPr>
        <w:t>3</w:t>
      </w:r>
      <w:r w:rsidR="00662B91">
        <w:rPr>
          <w:lang w:eastAsia="en-GB"/>
        </w:rPr>
        <w:t>.</w:t>
      </w:r>
      <w:r w:rsidR="0072688C">
        <w:rPr>
          <w:lang w:eastAsia="en-GB"/>
        </w:rPr>
        <w:t>2</w:t>
      </w:r>
      <w:r w:rsidR="00662B91">
        <w:rPr>
          <w:lang w:eastAsia="en-GB"/>
        </w:rPr>
        <w:tab/>
      </w:r>
      <w:r w:rsidR="0082789A">
        <w:rPr>
          <w:lang w:eastAsia="en-GB"/>
        </w:rPr>
        <w:t xml:space="preserve">The following risk </w:t>
      </w:r>
      <w:r w:rsidR="00D3367D">
        <w:rPr>
          <w:lang w:eastAsia="en-GB"/>
        </w:rPr>
        <w:t xml:space="preserve">is </w:t>
      </w:r>
      <w:r w:rsidR="003A10E0">
        <w:rPr>
          <w:lang w:eastAsia="en-GB"/>
        </w:rPr>
        <w:t xml:space="preserve">jointly </w:t>
      </w:r>
      <w:r w:rsidR="0082789A">
        <w:rPr>
          <w:lang w:eastAsia="en-GB"/>
        </w:rPr>
        <w:t xml:space="preserve">overseen </w:t>
      </w:r>
      <w:r w:rsidR="000B21DF">
        <w:rPr>
          <w:lang w:eastAsia="en-GB"/>
        </w:rPr>
        <w:t>through the</w:t>
      </w:r>
      <w:r w:rsidR="0082789A">
        <w:rPr>
          <w:lang w:eastAsia="en-GB"/>
        </w:rPr>
        <w:t xml:space="preserve"> </w:t>
      </w:r>
      <w:r w:rsidR="00792220">
        <w:rPr>
          <w:rFonts w:eastAsiaTheme="minorEastAsia"/>
          <w:color w:val="000000" w:themeColor="text1"/>
          <w:kern w:val="24"/>
          <w:szCs w:val="24"/>
          <w:lang w:val="en-US" w:eastAsia="en-GB"/>
        </w:rPr>
        <w:t>ICB’s Quality</w:t>
      </w:r>
      <w:r w:rsidR="00FF34F0">
        <w:rPr>
          <w:rFonts w:eastAsiaTheme="minorEastAsia"/>
          <w:color w:val="000000" w:themeColor="text1"/>
          <w:kern w:val="24"/>
          <w:szCs w:val="24"/>
          <w:lang w:val="en-US" w:eastAsia="en-GB"/>
        </w:rPr>
        <w:t xml:space="preserve"> and Outcomes</w:t>
      </w:r>
      <w:r w:rsidR="00792220">
        <w:rPr>
          <w:rFonts w:eastAsiaTheme="minorEastAsia"/>
          <w:color w:val="000000" w:themeColor="text1"/>
          <w:kern w:val="24"/>
          <w:szCs w:val="24"/>
          <w:lang w:val="en-US" w:eastAsia="en-GB"/>
        </w:rPr>
        <w:t xml:space="preserve"> Committe</w:t>
      </w:r>
      <w:r w:rsidR="000B21DF">
        <w:rPr>
          <w:rFonts w:eastAsiaTheme="minorEastAsia"/>
          <w:color w:val="000000" w:themeColor="text1"/>
          <w:kern w:val="24"/>
          <w:szCs w:val="24"/>
          <w:lang w:val="en-US" w:eastAsia="en-GB"/>
        </w:rPr>
        <w:t>e</w:t>
      </w:r>
      <w:r w:rsidR="00662B91">
        <w:rPr>
          <w:lang w:eastAsia="en-GB"/>
        </w:rPr>
        <w:t>:</w:t>
      </w:r>
    </w:p>
    <w:tbl>
      <w:tblPr>
        <w:tblStyle w:val="TableGrid"/>
        <w:tblW w:w="8931" w:type="dxa"/>
        <w:tblInd w:w="562" w:type="dxa"/>
        <w:tblLook w:val="04A0" w:firstRow="1" w:lastRow="0" w:firstColumn="1" w:lastColumn="0" w:noHBand="0" w:noVBand="1"/>
      </w:tblPr>
      <w:tblGrid>
        <w:gridCol w:w="1843"/>
        <w:gridCol w:w="1832"/>
        <w:gridCol w:w="2988"/>
        <w:gridCol w:w="2268"/>
      </w:tblGrid>
      <w:tr w:rsidR="00A560EF" w:rsidRPr="00FD20E0" w14:paraId="6D43C9EB" w14:textId="77777777" w:rsidTr="43A6ED7F">
        <w:tc>
          <w:tcPr>
            <w:tcW w:w="8931" w:type="dxa"/>
            <w:gridSpan w:val="4"/>
            <w:shd w:val="clear" w:color="auto" w:fill="FFFFFF" w:themeFill="background1"/>
          </w:tcPr>
          <w:p w14:paraId="46275063" w14:textId="52CBC0E3" w:rsidR="00A560EF" w:rsidRPr="007757F6" w:rsidRDefault="7B712335" w:rsidP="43A6ED7F">
            <w:pPr>
              <w:tabs>
                <w:tab w:val="left" w:pos="29"/>
              </w:tabs>
              <w:ind w:left="29"/>
              <w:jc w:val="both"/>
              <w:rPr>
                <w:rFonts w:eastAsiaTheme="minorEastAsia"/>
                <w:b/>
                <w:bCs/>
                <w:kern w:val="24"/>
                <w:szCs w:val="24"/>
                <w:lang w:val="en-US" w:eastAsia="en-GB"/>
              </w:rPr>
            </w:pPr>
            <w:r w:rsidRPr="007757F6">
              <w:rPr>
                <w:b/>
                <w:bCs/>
                <w:szCs w:val="24"/>
              </w:rPr>
              <w:t xml:space="preserve">Risk ID ICB 013: </w:t>
            </w:r>
            <w:r w:rsidR="00662B91" w:rsidRPr="007757F6">
              <w:rPr>
                <w:color w:val="000000"/>
                <w:szCs w:val="24"/>
                <w:shd w:val="clear" w:color="auto" w:fill="FFFFFF"/>
              </w:rPr>
              <w:t xml:space="preserve">There is a risk that the ICB is not sighted on and </w:t>
            </w:r>
            <w:r w:rsidR="44AA1CA1" w:rsidRPr="007757F6">
              <w:rPr>
                <w:color w:val="000000"/>
                <w:szCs w:val="24"/>
                <w:shd w:val="clear" w:color="auto" w:fill="FFFFFF"/>
              </w:rPr>
              <w:t>effectively managing</w:t>
            </w:r>
            <w:r w:rsidR="00662B91" w:rsidRPr="007757F6">
              <w:rPr>
                <w:color w:val="000000"/>
                <w:szCs w:val="24"/>
                <w:shd w:val="clear" w:color="auto" w:fill="FFFFFF"/>
              </w:rPr>
              <w:t xml:space="preserve"> the quality of care delivered by Primary Care. This could adversely impact patient safety, experience, outcomes, clinical effectiveness and the ICB</w:t>
            </w:r>
            <w:r w:rsidR="00AE7DA8" w:rsidRPr="007757F6">
              <w:rPr>
                <w:color w:val="000000"/>
                <w:szCs w:val="24"/>
                <w:shd w:val="clear" w:color="auto" w:fill="FFFFFF"/>
              </w:rPr>
              <w:t>’</w:t>
            </w:r>
            <w:r w:rsidR="00662B91" w:rsidRPr="007757F6">
              <w:rPr>
                <w:color w:val="000000"/>
                <w:szCs w:val="24"/>
                <w:shd w:val="clear" w:color="auto" w:fill="FFFFFF"/>
              </w:rPr>
              <w:t>s ability to meet its statutory responsibilities in relation to quality oversight.</w:t>
            </w:r>
          </w:p>
        </w:tc>
      </w:tr>
      <w:tr w:rsidR="00A560EF" w:rsidRPr="00FD20E0" w14:paraId="6C67CD70" w14:textId="77777777" w:rsidTr="43A6ED7F">
        <w:tc>
          <w:tcPr>
            <w:tcW w:w="1843" w:type="dxa"/>
            <w:shd w:val="clear" w:color="auto" w:fill="FF0000"/>
          </w:tcPr>
          <w:p w14:paraId="5CA6220C" w14:textId="77777777" w:rsidR="00A560EF" w:rsidRPr="00352D53" w:rsidRDefault="00A560EF" w:rsidP="00961825">
            <w:pPr>
              <w:tabs>
                <w:tab w:val="left" w:pos="567"/>
              </w:tabs>
              <w:jc w:val="both"/>
              <w:rPr>
                <w:rFonts w:eastAsiaTheme="minorEastAsia"/>
                <w:b/>
                <w:bCs/>
                <w:kern w:val="24"/>
                <w:sz w:val="22"/>
                <w:lang w:val="en-US" w:eastAsia="en-GB"/>
              </w:rPr>
            </w:pPr>
            <w:r w:rsidRPr="00352D53">
              <w:rPr>
                <w:rFonts w:eastAsiaTheme="minorEastAsia"/>
                <w:b/>
                <w:bCs/>
                <w:kern w:val="24"/>
                <w:sz w:val="22"/>
                <w:lang w:val="en-US" w:eastAsia="en-GB"/>
              </w:rPr>
              <w:t>Current score: 16 (C4xL4)</w:t>
            </w:r>
          </w:p>
          <w:p w14:paraId="6C7512EE" w14:textId="77777777" w:rsidR="00A560EF" w:rsidRPr="00352D53" w:rsidRDefault="00A560EF" w:rsidP="00961825">
            <w:pPr>
              <w:tabs>
                <w:tab w:val="left" w:pos="567"/>
              </w:tabs>
              <w:jc w:val="both"/>
              <w:rPr>
                <w:rFonts w:eastAsiaTheme="minorEastAsia"/>
                <w:b/>
                <w:bCs/>
                <w:kern w:val="24"/>
                <w:sz w:val="22"/>
                <w:lang w:val="en-US" w:eastAsia="en-GB"/>
              </w:rPr>
            </w:pPr>
          </w:p>
        </w:tc>
        <w:tc>
          <w:tcPr>
            <w:tcW w:w="1832" w:type="dxa"/>
            <w:shd w:val="clear" w:color="auto" w:fill="F79646" w:themeFill="accent6"/>
          </w:tcPr>
          <w:p w14:paraId="626415DE" w14:textId="77777777" w:rsidR="00A560EF" w:rsidRPr="00352D53" w:rsidRDefault="00A560EF" w:rsidP="00961825">
            <w:pPr>
              <w:tabs>
                <w:tab w:val="left" w:pos="567"/>
              </w:tabs>
              <w:jc w:val="both"/>
              <w:rPr>
                <w:rFonts w:eastAsiaTheme="minorEastAsia"/>
                <w:b/>
                <w:bCs/>
                <w:kern w:val="24"/>
                <w:sz w:val="22"/>
                <w:lang w:val="en-US" w:eastAsia="en-GB"/>
              </w:rPr>
            </w:pPr>
            <w:r w:rsidRPr="00352D53">
              <w:rPr>
                <w:rFonts w:eastAsiaTheme="minorEastAsia"/>
                <w:b/>
                <w:bCs/>
                <w:kern w:val="24"/>
                <w:sz w:val="22"/>
                <w:lang w:val="en-US" w:eastAsia="en-GB"/>
              </w:rPr>
              <w:t>Target score: 8 (C4 x L2)</w:t>
            </w:r>
          </w:p>
          <w:p w14:paraId="34A7C495" w14:textId="77777777" w:rsidR="00A560EF" w:rsidRPr="00352D53" w:rsidRDefault="00A560EF" w:rsidP="00961825">
            <w:pPr>
              <w:tabs>
                <w:tab w:val="left" w:pos="567"/>
              </w:tabs>
              <w:jc w:val="both"/>
              <w:rPr>
                <w:rFonts w:eastAsiaTheme="minorEastAsia"/>
                <w:b/>
                <w:bCs/>
                <w:kern w:val="24"/>
                <w:sz w:val="22"/>
                <w:lang w:val="en-US" w:eastAsia="en-GB"/>
              </w:rPr>
            </w:pPr>
          </w:p>
          <w:p w14:paraId="232D674A" w14:textId="77777777" w:rsidR="00A560EF" w:rsidRPr="00352D53" w:rsidRDefault="00A560EF" w:rsidP="00961825">
            <w:pPr>
              <w:tabs>
                <w:tab w:val="left" w:pos="567"/>
              </w:tabs>
              <w:jc w:val="both"/>
              <w:rPr>
                <w:rFonts w:eastAsiaTheme="minorEastAsia"/>
                <w:b/>
                <w:bCs/>
                <w:kern w:val="24"/>
                <w:sz w:val="22"/>
                <w:lang w:val="en-US" w:eastAsia="en-GB"/>
              </w:rPr>
            </w:pPr>
          </w:p>
        </w:tc>
        <w:tc>
          <w:tcPr>
            <w:tcW w:w="2988" w:type="dxa"/>
            <w:shd w:val="clear" w:color="auto" w:fill="FF0000"/>
          </w:tcPr>
          <w:p w14:paraId="78C710B5" w14:textId="77777777" w:rsidR="00A560EF" w:rsidRDefault="00A560EF" w:rsidP="00352D53">
            <w:pPr>
              <w:tabs>
                <w:tab w:val="left" w:pos="567"/>
              </w:tabs>
              <w:rPr>
                <w:rFonts w:eastAsiaTheme="minorEastAsia"/>
                <w:b/>
                <w:bCs/>
                <w:kern w:val="24"/>
                <w:sz w:val="22"/>
                <w:lang w:val="en-US" w:eastAsia="en-GB"/>
              </w:rPr>
            </w:pPr>
            <w:r w:rsidRPr="00352D53">
              <w:rPr>
                <w:rFonts w:eastAsiaTheme="minorEastAsia"/>
                <w:b/>
                <w:bCs/>
                <w:kern w:val="24"/>
                <w:sz w:val="22"/>
                <w:lang w:val="en-US" w:eastAsia="en-GB"/>
              </w:rPr>
              <w:t xml:space="preserve">In/out of </w:t>
            </w:r>
            <w:r w:rsidR="004A0946">
              <w:rPr>
                <w:rFonts w:eastAsiaTheme="minorEastAsia"/>
                <w:b/>
                <w:bCs/>
                <w:kern w:val="24"/>
                <w:sz w:val="22"/>
                <w:lang w:val="en-US" w:eastAsia="en-GB"/>
              </w:rPr>
              <w:t xml:space="preserve">risk </w:t>
            </w:r>
            <w:r w:rsidRPr="00352D53">
              <w:rPr>
                <w:rFonts w:eastAsiaTheme="minorEastAsia"/>
                <w:b/>
                <w:bCs/>
                <w:kern w:val="24"/>
                <w:sz w:val="22"/>
                <w:lang w:val="en-US" w:eastAsia="en-GB"/>
              </w:rPr>
              <w:t xml:space="preserve">appetite </w:t>
            </w:r>
            <w:r w:rsidR="004A0946">
              <w:rPr>
                <w:rFonts w:eastAsiaTheme="minorEastAsia"/>
                <w:b/>
                <w:bCs/>
                <w:kern w:val="24"/>
                <w:sz w:val="22"/>
                <w:lang w:val="en-US" w:eastAsia="en-GB"/>
              </w:rPr>
              <w:t>(</w:t>
            </w:r>
            <w:r w:rsidRPr="00352D53">
              <w:rPr>
                <w:rFonts w:eastAsiaTheme="minorEastAsia"/>
                <w:b/>
                <w:bCs/>
                <w:kern w:val="24"/>
                <w:sz w:val="22"/>
                <w:lang w:val="en-US" w:eastAsia="en-GB"/>
              </w:rPr>
              <w:t>current</w:t>
            </w:r>
            <w:r w:rsidR="004A0946">
              <w:rPr>
                <w:rFonts w:eastAsiaTheme="minorEastAsia"/>
                <w:b/>
                <w:bCs/>
                <w:kern w:val="24"/>
                <w:sz w:val="22"/>
                <w:lang w:val="en-US" w:eastAsia="en-GB"/>
              </w:rPr>
              <w:t xml:space="preserve"> risk score):</w:t>
            </w:r>
            <w:r w:rsidRPr="00352D53">
              <w:rPr>
                <w:rFonts w:eastAsiaTheme="minorEastAsia"/>
                <w:b/>
                <w:bCs/>
                <w:kern w:val="24"/>
                <w:sz w:val="22"/>
                <w:lang w:val="en-US" w:eastAsia="en-GB"/>
              </w:rPr>
              <w:t xml:space="preserve"> Out</w:t>
            </w:r>
          </w:p>
          <w:p w14:paraId="1FE04F96" w14:textId="33203545" w:rsidR="004A0946" w:rsidRPr="00352D53" w:rsidRDefault="004A0946" w:rsidP="00352D53">
            <w:pPr>
              <w:tabs>
                <w:tab w:val="left" w:pos="567"/>
              </w:tabs>
              <w:rPr>
                <w:rFonts w:eastAsiaTheme="minorEastAsia"/>
                <w:b/>
                <w:bCs/>
                <w:kern w:val="24"/>
                <w:sz w:val="22"/>
                <w:lang w:val="en-US" w:eastAsia="en-GB"/>
              </w:rPr>
            </w:pPr>
            <w:r>
              <w:rPr>
                <w:rFonts w:eastAsiaTheme="minorEastAsia"/>
                <w:b/>
                <w:bCs/>
                <w:kern w:val="24"/>
                <w:sz w:val="22"/>
                <w:lang w:val="en-US" w:eastAsia="en-GB"/>
              </w:rPr>
              <w:t>(4-10)</w:t>
            </w:r>
          </w:p>
        </w:tc>
        <w:tc>
          <w:tcPr>
            <w:tcW w:w="2268" w:type="dxa"/>
            <w:shd w:val="clear" w:color="auto" w:fill="92D050"/>
          </w:tcPr>
          <w:p w14:paraId="442C23D7" w14:textId="0C8F9575" w:rsidR="00A560EF" w:rsidRPr="00352D53" w:rsidRDefault="00A560EF" w:rsidP="004A0946">
            <w:pPr>
              <w:tabs>
                <w:tab w:val="left" w:pos="567"/>
              </w:tabs>
              <w:rPr>
                <w:rFonts w:eastAsiaTheme="minorEastAsia"/>
                <w:b/>
                <w:bCs/>
                <w:kern w:val="24"/>
                <w:sz w:val="22"/>
                <w:lang w:val="en-US" w:eastAsia="en-GB"/>
              </w:rPr>
            </w:pPr>
            <w:r w:rsidRPr="00352D53">
              <w:rPr>
                <w:rFonts w:eastAsiaTheme="minorEastAsia"/>
                <w:b/>
                <w:bCs/>
                <w:kern w:val="24"/>
                <w:sz w:val="22"/>
                <w:lang w:val="en-US" w:eastAsia="en-GB"/>
              </w:rPr>
              <w:t xml:space="preserve">In/out of </w:t>
            </w:r>
            <w:r w:rsidR="004A0946">
              <w:rPr>
                <w:rFonts w:eastAsiaTheme="minorEastAsia"/>
                <w:b/>
                <w:bCs/>
                <w:kern w:val="24"/>
                <w:sz w:val="22"/>
                <w:lang w:val="en-US" w:eastAsia="en-GB"/>
              </w:rPr>
              <w:t xml:space="preserve">risk </w:t>
            </w:r>
            <w:r w:rsidRPr="00352D53">
              <w:rPr>
                <w:rFonts w:eastAsiaTheme="minorEastAsia"/>
                <w:b/>
                <w:bCs/>
                <w:kern w:val="24"/>
                <w:sz w:val="22"/>
                <w:lang w:val="en-US" w:eastAsia="en-GB"/>
              </w:rPr>
              <w:t xml:space="preserve">appetite </w:t>
            </w:r>
            <w:r w:rsidR="004A0946">
              <w:rPr>
                <w:rFonts w:eastAsiaTheme="minorEastAsia"/>
                <w:b/>
                <w:bCs/>
                <w:kern w:val="24"/>
                <w:sz w:val="22"/>
                <w:lang w:val="en-US" w:eastAsia="en-GB"/>
              </w:rPr>
              <w:t>(</w:t>
            </w:r>
            <w:r w:rsidRPr="00352D53">
              <w:rPr>
                <w:rFonts w:eastAsiaTheme="minorEastAsia"/>
                <w:b/>
                <w:bCs/>
                <w:kern w:val="24"/>
                <w:sz w:val="22"/>
                <w:lang w:val="en-US" w:eastAsia="en-GB"/>
              </w:rPr>
              <w:t>target</w:t>
            </w:r>
            <w:r w:rsidR="004A0946">
              <w:rPr>
                <w:rFonts w:eastAsiaTheme="minorEastAsia"/>
                <w:b/>
                <w:bCs/>
                <w:kern w:val="24"/>
                <w:sz w:val="22"/>
                <w:lang w:val="en-US" w:eastAsia="en-GB"/>
              </w:rPr>
              <w:t xml:space="preserve"> risk score)</w:t>
            </w:r>
            <w:r w:rsidRPr="00352D53">
              <w:rPr>
                <w:rFonts w:eastAsiaTheme="minorEastAsia"/>
                <w:b/>
                <w:bCs/>
                <w:kern w:val="24"/>
                <w:sz w:val="22"/>
                <w:lang w:val="en-US" w:eastAsia="en-GB"/>
              </w:rPr>
              <w:t>:</w:t>
            </w:r>
            <w:r w:rsidR="004A0946">
              <w:rPr>
                <w:rFonts w:eastAsiaTheme="minorEastAsia"/>
                <w:b/>
                <w:bCs/>
                <w:kern w:val="24"/>
                <w:sz w:val="22"/>
                <w:lang w:val="en-US" w:eastAsia="en-GB"/>
              </w:rPr>
              <w:t xml:space="preserve"> </w:t>
            </w:r>
            <w:r w:rsidRPr="00352D53">
              <w:rPr>
                <w:rFonts w:eastAsiaTheme="minorEastAsia"/>
                <w:b/>
                <w:bCs/>
                <w:kern w:val="24"/>
                <w:sz w:val="22"/>
                <w:lang w:val="en-US" w:eastAsia="en-GB"/>
              </w:rPr>
              <w:t>In</w:t>
            </w:r>
          </w:p>
        </w:tc>
      </w:tr>
      <w:tr w:rsidR="00A560EF" w:rsidRPr="00FD20E0" w14:paraId="3912FFE2" w14:textId="77777777" w:rsidTr="43A6ED7F">
        <w:trPr>
          <w:trHeight w:val="848"/>
        </w:trPr>
        <w:tc>
          <w:tcPr>
            <w:tcW w:w="8931" w:type="dxa"/>
            <w:gridSpan w:val="4"/>
          </w:tcPr>
          <w:p w14:paraId="7423E2AB" w14:textId="527B5CA2" w:rsidR="002F4A17" w:rsidRDefault="00BA090C" w:rsidP="002F4A17">
            <w:pPr>
              <w:tabs>
                <w:tab w:val="left" w:pos="174"/>
              </w:tabs>
              <w:jc w:val="both"/>
              <w:rPr>
                <w:rFonts w:eastAsiaTheme="minorEastAsia"/>
                <w:color w:val="000000" w:themeColor="text1"/>
                <w:kern w:val="24"/>
                <w:szCs w:val="24"/>
                <w:lang w:val="en-US" w:eastAsia="en-GB"/>
              </w:rPr>
            </w:pPr>
            <w:r w:rsidRPr="007757F6">
              <w:rPr>
                <w:rFonts w:eastAsiaTheme="minorEastAsia"/>
                <w:color w:val="000000" w:themeColor="text1"/>
                <w:kern w:val="24"/>
                <w:szCs w:val="24"/>
                <w:lang w:val="en-US" w:eastAsia="en-GB"/>
              </w:rPr>
              <w:t>The risk has been reviewed with no proposed change in risk score.</w:t>
            </w:r>
          </w:p>
          <w:p w14:paraId="7361FD06" w14:textId="3A1D756F" w:rsidR="00BA090C" w:rsidRPr="007757F6" w:rsidRDefault="00BA090C" w:rsidP="002F4A17">
            <w:pPr>
              <w:tabs>
                <w:tab w:val="left" w:pos="174"/>
              </w:tabs>
              <w:jc w:val="both"/>
              <w:rPr>
                <w:rFonts w:eastAsiaTheme="minorEastAsia"/>
                <w:color w:val="000000" w:themeColor="text1"/>
                <w:kern w:val="24"/>
                <w:szCs w:val="24"/>
                <w:lang w:val="en-US" w:eastAsia="en-GB"/>
              </w:rPr>
            </w:pPr>
          </w:p>
          <w:p w14:paraId="1CC0374D" w14:textId="60B1969A" w:rsidR="00E66F58" w:rsidRDefault="00E66F58" w:rsidP="002F4A17">
            <w:pPr>
              <w:tabs>
                <w:tab w:val="left" w:pos="174"/>
              </w:tabs>
              <w:jc w:val="both"/>
              <w:rPr>
                <w:rFonts w:eastAsiaTheme="minorEastAsia"/>
                <w:color w:val="000000" w:themeColor="text1"/>
                <w:kern w:val="24"/>
                <w:szCs w:val="24"/>
                <w:lang w:val="en-US" w:eastAsia="en-GB"/>
              </w:rPr>
            </w:pPr>
            <w:r w:rsidRPr="007757F6">
              <w:rPr>
                <w:rFonts w:eastAsiaTheme="minorEastAsia"/>
                <w:b/>
                <w:bCs/>
                <w:color w:val="000000" w:themeColor="text1"/>
                <w:kern w:val="24"/>
                <w:szCs w:val="24"/>
                <w:lang w:val="en-US" w:eastAsia="en-GB"/>
              </w:rPr>
              <w:t>Controls</w:t>
            </w:r>
            <w:r w:rsidR="00F0364C">
              <w:rPr>
                <w:rFonts w:eastAsiaTheme="minorEastAsia"/>
                <w:b/>
                <w:bCs/>
                <w:color w:val="000000" w:themeColor="text1"/>
                <w:kern w:val="24"/>
                <w:szCs w:val="24"/>
                <w:lang w:val="en-US" w:eastAsia="en-GB"/>
              </w:rPr>
              <w:t>:</w:t>
            </w:r>
            <w:r w:rsidRPr="007757F6">
              <w:rPr>
                <w:rFonts w:eastAsiaTheme="minorEastAsia"/>
                <w:color w:val="000000" w:themeColor="text1"/>
                <w:kern w:val="24"/>
                <w:szCs w:val="24"/>
                <w:lang w:val="en-US" w:eastAsia="en-GB"/>
              </w:rPr>
              <w:t xml:space="preserve"> </w:t>
            </w:r>
            <w:r w:rsidR="006D727D">
              <w:rPr>
                <w:rFonts w:eastAsiaTheme="minorEastAsia"/>
                <w:color w:val="000000" w:themeColor="text1"/>
                <w:kern w:val="24"/>
                <w:szCs w:val="24"/>
                <w:lang w:val="en-US" w:eastAsia="en-GB"/>
              </w:rPr>
              <w:t>have been updated</w:t>
            </w:r>
            <w:r w:rsidR="008F641C">
              <w:rPr>
                <w:rFonts w:eastAsiaTheme="minorEastAsia"/>
                <w:color w:val="000000" w:themeColor="text1"/>
                <w:kern w:val="24"/>
                <w:szCs w:val="24"/>
                <w:lang w:val="en-US" w:eastAsia="en-GB"/>
              </w:rPr>
              <w:t xml:space="preserve"> as follows</w:t>
            </w:r>
            <w:r w:rsidR="00BC4494">
              <w:rPr>
                <w:rFonts w:eastAsiaTheme="minorEastAsia"/>
                <w:color w:val="000000" w:themeColor="text1"/>
                <w:kern w:val="24"/>
                <w:szCs w:val="24"/>
                <w:lang w:val="en-US" w:eastAsia="en-GB"/>
              </w:rPr>
              <w:t>:</w:t>
            </w:r>
          </w:p>
          <w:p w14:paraId="4BBE2325" w14:textId="77777777" w:rsidR="00BC4494" w:rsidRDefault="00BC4494" w:rsidP="002F4A17">
            <w:pPr>
              <w:tabs>
                <w:tab w:val="left" w:pos="174"/>
              </w:tabs>
              <w:jc w:val="both"/>
              <w:rPr>
                <w:rFonts w:eastAsiaTheme="minorEastAsia"/>
                <w:color w:val="000000" w:themeColor="text1"/>
                <w:kern w:val="24"/>
                <w:szCs w:val="24"/>
                <w:lang w:val="en-US" w:eastAsia="en-GB"/>
              </w:rPr>
            </w:pPr>
          </w:p>
          <w:p w14:paraId="1F411AB6" w14:textId="56F17543" w:rsidR="00BC4494" w:rsidRDefault="002D320F" w:rsidP="00FB7823">
            <w:pPr>
              <w:pStyle w:val="ListParagraph"/>
              <w:numPr>
                <w:ilvl w:val="0"/>
                <w:numId w:val="36"/>
              </w:numPr>
              <w:tabs>
                <w:tab w:val="left" w:pos="174"/>
              </w:tabs>
              <w:jc w:val="both"/>
              <w:rPr>
                <w:rFonts w:eastAsiaTheme="minorEastAsia"/>
                <w:color w:val="000000" w:themeColor="text1"/>
                <w:kern w:val="24"/>
                <w:szCs w:val="24"/>
                <w:lang w:val="en-US" w:eastAsia="en-GB"/>
              </w:rPr>
            </w:pPr>
            <w:r>
              <w:rPr>
                <w:rFonts w:eastAsiaTheme="minorEastAsia"/>
                <w:color w:val="000000" w:themeColor="text1"/>
                <w:kern w:val="24"/>
                <w:szCs w:val="24"/>
                <w:lang w:val="en-US" w:eastAsia="en-GB"/>
              </w:rPr>
              <w:t>Contract monitoring is in place which allows for oversight of operational delivery.</w:t>
            </w:r>
          </w:p>
          <w:p w14:paraId="2D00851D" w14:textId="2EB421B5" w:rsidR="006D727D" w:rsidRDefault="002D320F" w:rsidP="00FB7823">
            <w:pPr>
              <w:pStyle w:val="ListParagraph"/>
              <w:numPr>
                <w:ilvl w:val="0"/>
                <w:numId w:val="36"/>
              </w:numPr>
              <w:tabs>
                <w:tab w:val="left" w:pos="174"/>
              </w:tabs>
              <w:jc w:val="both"/>
              <w:rPr>
                <w:rFonts w:eastAsiaTheme="minorEastAsia"/>
                <w:color w:val="000000" w:themeColor="text1"/>
                <w:kern w:val="24"/>
                <w:szCs w:val="24"/>
                <w:lang w:val="en-US" w:eastAsia="en-GB"/>
              </w:rPr>
            </w:pPr>
            <w:r w:rsidRPr="00B4022E">
              <w:rPr>
                <w:rFonts w:eastAsiaTheme="minorEastAsia"/>
                <w:color w:val="000000" w:themeColor="text1"/>
                <w:kern w:val="24"/>
                <w:szCs w:val="24"/>
                <w:lang w:val="en-US" w:eastAsia="en-GB"/>
              </w:rPr>
              <w:t>There are established roles that support reactive response</w:t>
            </w:r>
            <w:r w:rsidR="00B4022E" w:rsidRPr="00B4022E">
              <w:rPr>
                <w:rFonts w:eastAsiaTheme="minorEastAsia"/>
                <w:color w:val="000000" w:themeColor="text1"/>
                <w:kern w:val="24"/>
                <w:szCs w:val="24"/>
                <w:lang w:val="en-US" w:eastAsia="en-GB"/>
              </w:rPr>
              <w:t xml:space="preserve"> to concerns raised in relation to quality.</w:t>
            </w:r>
          </w:p>
          <w:p w14:paraId="6E070693" w14:textId="4B603A9D" w:rsidR="006D727D" w:rsidRPr="002B52BC" w:rsidRDefault="00FB7823">
            <w:pPr>
              <w:pStyle w:val="ListParagraph"/>
              <w:numPr>
                <w:ilvl w:val="0"/>
                <w:numId w:val="36"/>
              </w:numPr>
              <w:tabs>
                <w:tab w:val="left" w:pos="174"/>
              </w:tabs>
              <w:spacing w:after="200" w:line="276" w:lineRule="auto"/>
              <w:jc w:val="both"/>
              <w:rPr>
                <w:rFonts w:eastAsiaTheme="minorEastAsia"/>
                <w:color w:val="000000" w:themeColor="text1"/>
                <w:kern w:val="24"/>
                <w:szCs w:val="24"/>
                <w:lang w:val="en-US" w:eastAsia="en-GB"/>
              </w:rPr>
            </w:pPr>
            <w:r w:rsidRPr="002B52BC">
              <w:rPr>
                <w:rFonts w:eastAsiaTheme="minorEastAsia"/>
                <w:color w:val="000000" w:themeColor="text1"/>
                <w:kern w:val="24"/>
                <w:szCs w:val="24"/>
                <w:lang w:val="en-US" w:eastAsia="en-GB"/>
              </w:rPr>
              <w:t>The national contract dispute is resolved; LTC LES, Routine LES and Medicines Optimisation schemes commenced.</w:t>
            </w:r>
          </w:p>
          <w:p w14:paraId="099C34CC" w14:textId="24CECA2C" w:rsidR="002F4A17" w:rsidRPr="007757F6" w:rsidRDefault="001B5E77" w:rsidP="002F4A17">
            <w:pPr>
              <w:tabs>
                <w:tab w:val="left" w:pos="174"/>
              </w:tabs>
              <w:jc w:val="both"/>
              <w:rPr>
                <w:rFonts w:eastAsiaTheme="minorEastAsia"/>
                <w:color w:val="000000" w:themeColor="text1"/>
                <w:kern w:val="24"/>
                <w:szCs w:val="24"/>
                <w:lang w:val="en-US" w:eastAsia="en-GB"/>
              </w:rPr>
            </w:pPr>
            <w:r w:rsidRPr="007757F6">
              <w:rPr>
                <w:rFonts w:eastAsiaTheme="minorEastAsia"/>
                <w:b/>
                <w:bCs/>
                <w:color w:val="000000" w:themeColor="text1"/>
                <w:kern w:val="24"/>
                <w:szCs w:val="24"/>
                <w:lang w:val="en-US" w:eastAsia="en-GB"/>
              </w:rPr>
              <w:t>Gaps in controls</w:t>
            </w:r>
            <w:r w:rsidR="00F0364C">
              <w:rPr>
                <w:rFonts w:eastAsiaTheme="minorEastAsia"/>
                <w:b/>
                <w:bCs/>
                <w:color w:val="000000" w:themeColor="text1"/>
                <w:kern w:val="24"/>
                <w:szCs w:val="24"/>
                <w:lang w:val="en-US" w:eastAsia="en-GB"/>
              </w:rPr>
              <w:t xml:space="preserve"> have been updated as follows:</w:t>
            </w:r>
          </w:p>
          <w:p w14:paraId="02B450B0" w14:textId="77777777" w:rsidR="001B5E77" w:rsidRDefault="001B5E77" w:rsidP="002F4A17">
            <w:pPr>
              <w:tabs>
                <w:tab w:val="left" w:pos="174"/>
              </w:tabs>
              <w:jc w:val="both"/>
              <w:rPr>
                <w:rFonts w:eastAsiaTheme="minorEastAsia"/>
                <w:color w:val="000000" w:themeColor="text1"/>
                <w:kern w:val="24"/>
                <w:szCs w:val="24"/>
                <w:lang w:val="en-US" w:eastAsia="en-GB"/>
              </w:rPr>
            </w:pPr>
          </w:p>
          <w:p w14:paraId="19F8A32B" w14:textId="756C580C" w:rsidR="005F1D1E" w:rsidRDefault="005F1D1E" w:rsidP="00FB7823">
            <w:pPr>
              <w:pStyle w:val="ListParagraph"/>
              <w:numPr>
                <w:ilvl w:val="0"/>
                <w:numId w:val="36"/>
              </w:numPr>
              <w:tabs>
                <w:tab w:val="left" w:pos="174"/>
              </w:tabs>
              <w:spacing w:after="200" w:line="276" w:lineRule="auto"/>
              <w:jc w:val="both"/>
              <w:rPr>
                <w:rFonts w:eastAsiaTheme="minorEastAsia"/>
                <w:color w:val="000000" w:themeColor="text1"/>
                <w:kern w:val="24"/>
                <w:szCs w:val="24"/>
                <w:lang w:val="en-US" w:eastAsia="en-GB"/>
              </w:rPr>
            </w:pPr>
            <w:r>
              <w:rPr>
                <w:rFonts w:eastAsiaTheme="minorEastAsia"/>
                <w:color w:val="000000" w:themeColor="text1"/>
                <w:kern w:val="24"/>
                <w:szCs w:val="24"/>
                <w:lang w:val="en-US" w:eastAsia="en-GB"/>
              </w:rPr>
              <w:t>Quality oversight is currently mainly focused on general practice due to capacity and expertise.</w:t>
            </w:r>
          </w:p>
          <w:p w14:paraId="092FEF4C" w14:textId="77777777" w:rsidR="005F1D1E" w:rsidRPr="005F1D1E" w:rsidRDefault="005F1D1E" w:rsidP="005F1D1E">
            <w:pPr>
              <w:pStyle w:val="ListParagraph"/>
              <w:tabs>
                <w:tab w:val="left" w:pos="174"/>
              </w:tabs>
              <w:jc w:val="both"/>
              <w:rPr>
                <w:rFonts w:eastAsiaTheme="minorEastAsia"/>
                <w:color w:val="000000" w:themeColor="text1"/>
                <w:kern w:val="24"/>
                <w:szCs w:val="24"/>
                <w:lang w:val="en-US" w:eastAsia="en-GB"/>
              </w:rPr>
            </w:pPr>
          </w:p>
          <w:p w14:paraId="3BBD098A" w14:textId="44772D19" w:rsidR="005F1D1E" w:rsidRPr="007757F6" w:rsidRDefault="005F1D1E" w:rsidP="005F1D1E">
            <w:pPr>
              <w:tabs>
                <w:tab w:val="left" w:pos="174"/>
              </w:tabs>
              <w:jc w:val="both"/>
              <w:rPr>
                <w:rFonts w:eastAsiaTheme="minorEastAsia"/>
                <w:color w:val="000000" w:themeColor="text1"/>
                <w:kern w:val="24"/>
                <w:szCs w:val="24"/>
                <w:lang w:val="en-US" w:eastAsia="en-GB"/>
              </w:rPr>
            </w:pPr>
            <w:r w:rsidRPr="007757F6">
              <w:rPr>
                <w:rFonts w:eastAsiaTheme="minorEastAsia"/>
                <w:b/>
                <w:bCs/>
                <w:color w:val="000000" w:themeColor="text1"/>
                <w:kern w:val="24"/>
                <w:szCs w:val="24"/>
                <w:lang w:val="en-US" w:eastAsia="en-GB"/>
              </w:rPr>
              <w:t>Assurance</w:t>
            </w:r>
            <w:r w:rsidRPr="007757F6">
              <w:rPr>
                <w:rFonts w:eastAsiaTheme="minorEastAsia"/>
                <w:b/>
                <w:bCs/>
                <w:kern w:val="24"/>
                <w:szCs w:val="24"/>
                <w:lang w:val="en-US" w:eastAsia="en-GB"/>
              </w:rPr>
              <w:t>s</w:t>
            </w:r>
            <w:r w:rsidRPr="007757F6">
              <w:rPr>
                <w:rFonts w:eastAsiaTheme="minorEastAsia"/>
                <w:color w:val="000000" w:themeColor="text1"/>
                <w:kern w:val="24"/>
                <w:szCs w:val="24"/>
                <w:lang w:val="en-US" w:eastAsia="en-GB"/>
              </w:rPr>
              <w:t xml:space="preserve"> have been strengthened</w:t>
            </w:r>
            <w:r w:rsidR="006F3D7F">
              <w:rPr>
                <w:rFonts w:eastAsiaTheme="minorEastAsia"/>
                <w:color w:val="000000" w:themeColor="text1"/>
                <w:kern w:val="24"/>
                <w:szCs w:val="24"/>
                <w:lang w:val="en-US" w:eastAsia="en-GB"/>
              </w:rPr>
              <w:t>:</w:t>
            </w:r>
          </w:p>
          <w:p w14:paraId="5E23D969" w14:textId="77777777" w:rsidR="005F1D1E" w:rsidRDefault="005F1D1E" w:rsidP="005F1D1E">
            <w:pPr>
              <w:tabs>
                <w:tab w:val="left" w:pos="174"/>
              </w:tabs>
              <w:jc w:val="both"/>
              <w:rPr>
                <w:rFonts w:eastAsiaTheme="minorEastAsia"/>
                <w:color w:val="000000" w:themeColor="text1"/>
                <w:kern w:val="24"/>
                <w:szCs w:val="24"/>
                <w:lang w:val="en-US" w:eastAsia="en-GB"/>
              </w:rPr>
            </w:pPr>
          </w:p>
          <w:p w14:paraId="205868AA" w14:textId="5EAD24B6" w:rsidR="005F1D1E" w:rsidRPr="0087245B" w:rsidRDefault="005F1D1E" w:rsidP="00FB7823">
            <w:pPr>
              <w:pStyle w:val="ListParagraph"/>
              <w:numPr>
                <w:ilvl w:val="0"/>
                <w:numId w:val="36"/>
              </w:numPr>
              <w:tabs>
                <w:tab w:val="left" w:pos="174"/>
              </w:tabs>
              <w:jc w:val="both"/>
              <w:rPr>
                <w:rFonts w:eastAsiaTheme="minorEastAsia"/>
                <w:color w:val="000000" w:themeColor="text1"/>
                <w:kern w:val="24"/>
                <w:szCs w:val="24"/>
                <w:lang w:val="en-US" w:eastAsia="en-GB"/>
              </w:rPr>
            </w:pPr>
            <w:r>
              <w:rPr>
                <w:rFonts w:eastAsiaTheme="minorEastAsia"/>
                <w:color w:val="000000" w:themeColor="text1"/>
                <w:kern w:val="24"/>
                <w:szCs w:val="24"/>
                <w:lang w:val="en-US" w:eastAsia="en-GB"/>
              </w:rPr>
              <w:t xml:space="preserve">Integrated performance </w:t>
            </w:r>
            <w:r w:rsidR="00C06B25">
              <w:rPr>
                <w:rFonts w:eastAsiaTheme="minorEastAsia"/>
                <w:color w:val="000000" w:themeColor="text1"/>
                <w:kern w:val="24"/>
                <w:szCs w:val="24"/>
                <w:lang w:val="en-US" w:eastAsia="en-GB"/>
              </w:rPr>
              <w:t>report</w:t>
            </w:r>
            <w:r w:rsidR="00450913">
              <w:rPr>
                <w:rFonts w:eastAsiaTheme="minorEastAsia"/>
                <w:color w:val="000000" w:themeColor="text1"/>
                <w:kern w:val="24"/>
                <w:szCs w:val="24"/>
                <w:lang w:val="en-US" w:eastAsia="en-GB"/>
              </w:rPr>
              <w:t xml:space="preserve"> </w:t>
            </w:r>
            <w:r>
              <w:rPr>
                <w:rFonts w:eastAsiaTheme="minorEastAsia"/>
                <w:color w:val="000000" w:themeColor="text1"/>
                <w:kern w:val="24"/>
                <w:szCs w:val="24"/>
                <w:lang w:val="en-US" w:eastAsia="en-GB"/>
              </w:rPr>
              <w:t>produced and shared with Primary Care Quality Group.</w:t>
            </w:r>
          </w:p>
          <w:p w14:paraId="43A1AFEF" w14:textId="77777777" w:rsidR="0087245B" w:rsidRDefault="0087245B" w:rsidP="0087245B">
            <w:pPr>
              <w:tabs>
                <w:tab w:val="left" w:pos="174"/>
              </w:tabs>
              <w:ind w:left="360"/>
              <w:jc w:val="both"/>
              <w:rPr>
                <w:rFonts w:eastAsiaTheme="minorEastAsia"/>
                <w:color w:val="000000" w:themeColor="text1"/>
                <w:kern w:val="24"/>
                <w:szCs w:val="24"/>
                <w:lang w:val="en-US" w:eastAsia="en-GB"/>
              </w:rPr>
            </w:pPr>
          </w:p>
          <w:p w14:paraId="3AF094F1" w14:textId="42B9C3C3" w:rsidR="00517583" w:rsidRPr="007757F6" w:rsidRDefault="001526B7" w:rsidP="00517583">
            <w:pPr>
              <w:tabs>
                <w:tab w:val="left" w:pos="174"/>
              </w:tabs>
              <w:jc w:val="both"/>
              <w:rPr>
                <w:rFonts w:eastAsiaTheme="minorEastAsia"/>
                <w:color w:val="000000" w:themeColor="text1"/>
                <w:kern w:val="24"/>
                <w:szCs w:val="24"/>
                <w:lang w:val="en-US" w:eastAsia="en-GB"/>
              </w:rPr>
            </w:pPr>
            <w:r w:rsidRPr="007757F6">
              <w:rPr>
                <w:rFonts w:eastAsiaTheme="minorEastAsia"/>
                <w:b/>
                <w:bCs/>
                <w:color w:val="000000" w:themeColor="text1"/>
                <w:kern w:val="24"/>
                <w:szCs w:val="24"/>
                <w:lang w:val="en-US" w:eastAsia="en-GB"/>
              </w:rPr>
              <w:t xml:space="preserve">Gaps in assurance </w:t>
            </w:r>
            <w:r w:rsidRPr="007757F6">
              <w:rPr>
                <w:rFonts w:eastAsiaTheme="minorEastAsia"/>
                <w:color w:val="000000" w:themeColor="text1"/>
                <w:kern w:val="24"/>
                <w:szCs w:val="24"/>
                <w:lang w:val="en-US" w:eastAsia="en-GB"/>
              </w:rPr>
              <w:t>have been identified including:</w:t>
            </w:r>
          </w:p>
          <w:p w14:paraId="3E4885BF" w14:textId="77777777" w:rsidR="001526B7" w:rsidRDefault="001526B7" w:rsidP="00517583">
            <w:pPr>
              <w:tabs>
                <w:tab w:val="left" w:pos="174"/>
              </w:tabs>
              <w:jc w:val="both"/>
              <w:rPr>
                <w:rFonts w:eastAsiaTheme="minorEastAsia"/>
                <w:color w:val="000000" w:themeColor="text1"/>
                <w:kern w:val="24"/>
                <w:szCs w:val="24"/>
                <w:lang w:val="en-US" w:eastAsia="en-GB"/>
              </w:rPr>
            </w:pPr>
          </w:p>
          <w:p w14:paraId="1BFFBF23" w14:textId="2BFDCB32" w:rsidR="00F8569C" w:rsidRDefault="00F8569C" w:rsidP="00FB7823">
            <w:pPr>
              <w:pStyle w:val="ListParagraph"/>
              <w:numPr>
                <w:ilvl w:val="0"/>
                <w:numId w:val="36"/>
              </w:numPr>
              <w:tabs>
                <w:tab w:val="left" w:pos="174"/>
              </w:tabs>
              <w:jc w:val="both"/>
              <w:rPr>
                <w:rFonts w:eastAsiaTheme="minorEastAsia"/>
                <w:color w:val="000000" w:themeColor="text1"/>
                <w:kern w:val="24"/>
                <w:szCs w:val="24"/>
                <w:lang w:val="en-US" w:eastAsia="en-GB"/>
              </w:rPr>
            </w:pPr>
            <w:r>
              <w:rPr>
                <w:rFonts w:eastAsiaTheme="minorEastAsia"/>
                <w:color w:val="000000" w:themeColor="text1"/>
                <w:kern w:val="24"/>
                <w:szCs w:val="24"/>
                <w:lang w:val="en-US" w:eastAsia="en-GB"/>
              </w:rPr>
              <w:t>Aspects of prescribing practice</w:t>
            </w:r>
            <w:r w:rsidR="006F3D7F">
              <w:rPr>
                <w:rFonts w:eastAsiaTheme="minorEastAsia"/>
                <w:color w:val="000000" w:themeColor="text1"/>
                <w:kern w:val="24"/>
                <w:szCs w:val="24"/>
                <w:lang w:val="en-US" w:eastAsia="en-GB"/>
              </w:rPr>
              <w:t>s in primary care.</w:t>
            </w:r>
          </w:p>
          <w:p w14:paraId="78EF7204" w14:textId="7A372392" w:rsidR="000B21DF" w:rsidRPr="002B52BC" w:rsidRDefault="007717DA">
            <w:pPr>
              <w:pStyle w:val="ListParagraph"/>
              <w:numPr>
                <w:ilvl w:val="0"/>
                <w:numId w:val="36"/>
              </w:numPr>
              <w:tabs>
                <w:tab w:val="left" w:pos="174"/>
              </w:tabs>
              <w:jc w:val="both"/>
              <w:rPr>
                <w:rFonts w:eastAsiaTheme="minorEastAsia"/>
                <w:color w:val="000000" w:themeColor="text1"/>
                <w:kern w:val="24"/>
                <w:szCs w:val="24"/>
                <w:lang w:val="en-US" w:eastAsia="en-GB"/>
              </w:rPr>
            </w:pPr>
            <w:r w:rsidRPr="002B52BC">
              <w:rPr>
                <w:rFonts w:eastAsiaTheme="minorEastAsia"/>
                <w:color w:val="000000" w:themeColor="text1"/>
                <w:kern w:val="24"/>
                <w:szCs w:val="24"/>
                <w:lang w:val="en-US" w:eastAsia="en-GB"/>
              </w:rPr>
              <w:t xml:space="preserve">Clinical Effectiveness Group </w:t>
            </w:r>
            <w:r w:rsidR="007F7BE2" w:rsidRPr="002B52BC">
              <w:rPr>
                <w:rFonts w:eastAsiaTheme="minorEastAsia"/>
                <w:color w:val="000000" w:themeColor="text1"/>
                <w:kern w:val="24"/>
                <w:szCs w:val="24"/>
                <w:lang w:val="en-US" w:eastAsia="en-GB"/>
              </w:rPr>
              <w:t xml:space="preserve">is </w:t>
            </w:r>
            <w:r w:rsidRPr="002B52BC">
              <w:rPr>
                <w:rFonts w:eastAsiaTheme="minorEastAsia"/>
                <w:color w:val="000000" w:themeColor="text1"/>
                <w:kern w:val="24"/>
                <w:szCs w:val="24"/>
                <w:lang w:val="en-US" w:eastAsia="en-GB"/>
              </w:rPr>
              <w:t>currently paused.</w:t>
            </w:r>
          </w:p>
          <w:p w14:paraId="48E26885" w14:textId="7874B556" w:rsidR="009C3348" w:rsidRDefault="009C3348" w:rsidP="00FB7823">
            <w:pPr>
              <w:pStyle w:val="ListParagraph"/>
              <w:numPr>
                <w:ilvl w:val="0"/>
                <w:numId w:val="36"/>
              </w:numPr>
              <w:tabs>
                <w:tab w:val="left" w:pos="174"/>
              </w:tabs>
              <w:jc w:val="both"/>
              <w:rPr>
                <w:rFonts w:eastAsiaTheme="minorEastAsia"/>
                <w:color w:val="000000" w:themeColor="text1"/>
                <w:kern w:val="24"/>
                <w:szCs w:val="24"/>
                <w:lang w:val="en-US" w:eastAsia="en-GB"/>
              </w:rPr>
            </w:pPr>
            <w:r>
              <w:rPr>
                <w:rFonts w:eastAsiaTheme="minorEastAsia"/>
                <w:color w:val="000000" w:themeColor="text1"/>
                <w:kern w:val="24"/>
                <w:szCs w:val="24"/>
                <w:lang w:val="en-US" w:eastAsia="en-GB"/>
              </w:rPr>
              <w:t>The interdependenc</w:t>
            </w:r>
            <w:r w:rsidR="000B21DF">
              <w:rPr>
                <w:rFonts w:eastAsiaTheme="minorEastAsia"/>
                <w:color w:val="000000" w:themeColor="text1"/>
                <w:kern w:val="24"/>
                <w:szCs w:val="24"/>
                <w:lang w:val="en-US" w:eastAsia="en-GB"/>
              </w:rPr>
              <w:t>y</w:t>
            </w:r>
            <w:r>
              <w:rPr>
                <w:rFonts w:eastAsiaTheme="minorEastAsia"/>
                <w:color w:val="000000" w:themeColor="text1"/>
                <w:kern w:val="24"/>
                <w:szCs w:val="24"/>
                <w:lang w:val="en-US" w:eastAsia="en-GB"/>
              </w:rPr>
              <w:t xml:space="preserve"> between the </w:t>
            </w:r>
            <w:r w:rsidR="004A2C81">
              <w:rPr>
                <w:rFonts w:eastAsiaTheme="minorEastAsia"/>
                <w:color w:val="000000" w:themeColor="text1"/>
                <w:kern w:val="24"/>
                <w:szCs w:val="24"/>
                <w:lang w:val="en-US" w:eastAsia="en-GB"/>
              </w:rPr>
              <w:t xml:space="preserve">gaps in control relating to </w:t>
            </w:r>
            <w:r>
              <w:rPr>
                <w:rFonts w:eastAsiaTheme="minorEastAsia"/>
                <w:color w:val="000000" w:themeColor="text1"/>
                <w:kern w:val="24"/>
                <w:szCs w:val="24"/>
                <w:lang w:val="en-US" w:eastAsia="en-GB"/>
              </w:rPr>
              <w:t xml:space="preserve">challenging and complex operating environment for primary care </w:t>
            </w:r>
            <w:r w:rsidR="000B21DF">
              <w:rPr>
                <w:rFonts w:eastAsiaTheme="minorEastAsia"/>
                <w:color w:val="000000" w:themeColor="text1"/>
                <w:kern w:val="24"/>
                <w:szCs w:val="24"/>
                <w:lang w:val="en-US" w:eastAsia="en-GB"/>
              </w:rPr>
              <w:t>(</w:t>
            </w:r>
            <w:r>
              <w:rPr>
                <w:rFonts w:eastAsiaTheme="minorEastAsia"/>
                <w:color w:val="000000" w:themeColor="text1"/>
                <w:kern w:val="24"/>
                <w:szCs w:val="24"/>
                <w:lang w:val="en-US" w:eastAsia="en-GB"/>
              </w:rPr>
              <w:t>in relation to finances, quality, estates, resources and ongoing service demands</w:t>
            </w:r>
            <w:r w:rsidR="000B21DF">
              <w:rPr>
                <w:rFonts w:eastAsiaTheme="minorEastAsia"/>
                <w:color w:val="000000" w:themeColor="text1"/>
                <w:kern w:val="24"/>
                <w:szCs w:val="24"/>
                <w:lang w:val="en-US" w:eastAsia="en-GB"/>
              </w:rPr>
              <w:t>)</w:t>
            </w:r>
            <w:r>
              <w:rPr>
                <w:rFonts w:eastAsiaTheme="minorEastAsia"/>
                <w:color w:val="000000" w:themeColor="text1"/>
                <w:kern w:val="24"/>
                <w:szCs w:val="24"/>
                <w:lang w:val="en-US" w:eastAsia="en-GB"/>
              </w:rPr>
              <w:t xml:space="preserve"> and the anticipated ICB operating model due at the end of April 2025.</w:t>
            </w:r>
          </w:p>
          <w:p w14:paraId="38C9BE15" w14:textId="77777777" w:rsidR="00521BF0" w:rsidRPr="00C06B25" w:rsidRDefault="00521BF0" w:rsidP="00521BF0">
            <w:pPr>
              <w:pStyle w:val="ListParagraph"/>
              <w:tabs>
                <w:tab w:val="left" w:pos="174"/>
              </w:tabs>
              <w:jc w:val="both"/>
              <w:rPr>
                <w:rFonts w:eastAsiaTheme="minorEastAsia"/>
                <w:color w:val="000000" w:themeColor="text1"/>
                <w:kern w:val="24"/>
                <w:szCs w:val="24"/>
                <w:lang w:val="en-US" w:eastAsia="en-GB"/>
              </w:rPr>
            </w:pPr>
          </w:p>
          <w:p w14:paraId="0B1741C7" w14:textId="0C48A5DA" w:rsidR="00F45DB3" w:rsidRPr="007717DA" w:rsidRDefault="00871855" w:rsidP="00871855">
            <w:pPr>
              <w:tabs>
                <w:tab w:val="left" w:pos="174"/>
              </w:tabs>
              <w:jc w:val="both"/>
              <w:rPr>
                <w:rFonts w:eastAsiaTheme="minorEastAsia"/>
                <w:color w:val="000000" w:themeColor="text1"/>
                <w:kern w:val="24"/>
                <w:szCs w:val="24"/>
                <w:lang w:val="en-US" w:eastAsia="en-GB"/>
              </w:rPr>
            </w:pPr>
            <w:r w:rsidRPr="007757F6">
              <w:rPr>
                <w:rFonts w:eastAsiaTheme="minorEastAsia"/>
                <w:b/>
                <w:bCs/>
                <w:color w:val="000000" w:themeColor="text1"/>
                <w:kern w:val="24"/>
                <w:szCs w:val="24"/>
                <w:lang w:val="en-US" w:eastAsia="en-GB"/>
              </w:rPr>
              <w:t>Actions</w:t>
            </w:r>
            <w:r w:rsidR="007717DA">
              <w:rPr>
                <w:rFonts w:eastAsiaTheme="minorEastAsia"/>
                <w:b/>
                <w:bCs/>
                <w:color w:val="000000" w:themeColor="text1"/>
                <w:kern w:val="24"/>
                <w:szCs w:val="24"/>
                <w:lang w:val="en-US" w:eastAsia="en-GB"/>
              </w:rPr>
              <w:t xml:space="preserve"> have been updated:</w:t>
            </w:r>
          </w:p>
          <w:p w14:paraId="2B1214CA" w14:textId="77777777" w:rsidR="00F45DB3" w:rsidRDefault="00F45DB3" w:rsidP="00871855">
            <w:pPr>
              <w:tabs>
                <w:tab w:val="left" w:pos="174"/>
              </w:tabs>
              <w:jc w:val="both"/>
              <w:rPr>
                <w:rFonts w:eastAsiaTheme="minorEastAsia"/>
                <w:color w:val="000000" w:themeColor="text1"/>
                <w:kern w:val="24"/>
                <w:szCs w:val="24"/>
                <w:lang w:val="en-US" w:eastAsia="en-GB"/>
              </w:rPr>
            </w:pPr>
          </w:p>
          <w:p w14:paraId="729ABE0E" w14:textId="0478002F" w:rsidR="00F45DB3" w:rsidRDefault="00F45DB3" w:rsidP="00871855">
            <w:pPr>
              <w:tabs>
                <w:tab w:val="left" w:pos="174"/>
              </w:tabs>
              <w:jc w:val="both"/>
              <w:rPr>
                <w:rFonts w:eastAsiaTheme="minorEastAsia"/>
                <w:color w:val="000000" w:themeColor="text1"/>
                <w:kern w:val="24"/>
                <w:szCs w:val="24"/>
                <w:lang w:val="en-US" w:eastAsia="en-GB"/>
              </w:rPr>
            </w:pPr>
            <w:r>
              <w:rPr>
                <w:rFonts w:eastAsiaTheme="minorEastAsia"/>
                <w:color w:val="000000" w:themeColor="text1"/>
                <w:kern w:val="24"/>
                <w:szCs w:val="24"/>
                <w:lang w:val="en-US" w:eastAsia="en-GB"/>
              </w:rPr>
              <w:t xml:space="preserve">There are </w:t>
            </w:r>
            <w:r w:rsidR="00CB4EEB">
              <w:rPr>
                <w:rFonts w:eastAsiaTheme="minorEastAsia"/>
                <w:color w:val="000000" w:themeColor="text1"/>
                <w:kern w:val="24"/>
                <w:szCs w:val="24"/>
                <w:lang w:val="en-US" w:eastAsia="en-GB"/>
              </w:rPr>
              <w:t xml:space="preserve">a total of </w:t>
            </w:r>
            <w:r w:rsidR="00BF3D2F">
              <w:rPr>
                <w:rFonts w:eastAsiaTheme="minorEastAsia"/>
                <w:color w:val="000000" w:themeColor="text1"/>
                <w:kern w:val="24"/>
                <w:szCs w:val="24"/>
                <w:lang w:val="en-US" w:eastAsia="en-GB"/>
              </w:rPr>
              <w:t xml:space="preserve">seven </w:t>
            </w:r>
            <w:r w:rsidR="00CA4711">
              <w:rPr>
                <w:rFonts w:eastAsiaTheme="minorEastAsia"/>
                <w:color w:val="000000" w:themeColor="text1"/>
                <w:kern w:val="24"/>
                <w:szCs w:val="24"/>
                <w:lang w:val="en-US" w:eastAsia="en-GB"/>
              </w:rPr>
              <w:t>open actions held</w:t>
            </w:r>
            <w:r w:rsidR="001213AE">
              <w:rPr>
                <w:rFonts w:eastAsiaTheme="minorEastAsia"/>
                <w:color w:val="000000" w:themeColor="text1"/>
                <w:kern w:val="24"/>
                <w:szCs w:val="24"/>
                <w:lang w:val="en-US" w:eastAsia="en-GB"/>
              </w:rPr>
              <w:t xml:space="preserve">; all have </w:t>
            </w:r>
            <w:r w:rsidR="00AF7F2A">
              <w:rPr>
                <w:rFonts w:eastAsiaTheme="minorEastAsia"/>
                <w:color w:val="000000" w:themeColor="text1"/>
                <w:kern w:val="24"/>
                <w:szCs w:val="24"/>
                <w:lang w:val="en-US" w:eastAsia="en-GB"/>
              </w:rPr>
              <w:t>been reviewed</w:t>
            </w:r>
            <w:r w:rsidR="00627A39">
              <w:rPr>
                <w:rFonts w:eastAsiaTheme="minorEastAsia"/>
                <w:color w:val="000000" w:themeColor="text1"/>
                <w:kern w:val="24"/>
                <w:szCs w:val="24"/>
                <w:lang w:val="en-US" w:eastAsia="en-GB"/>
              </w:rPr>
              <w:t>,</w:t>
            </w:r>
            <w:r w:rsidR="00AF7F2A">
              <w:rPr>
                <w:rFonts w:eastAsiaTheme="minorEastAsia"/>
                <w:color w:val="000000" w:themeColor="text1"/>
                <w:kern w:val="24"/>
                <w:szCs w:val="24"/>
                <w:lang w:val="en-US" w:eastAsia="en-GB"/>
              </w:rPr>
              <w:t xml:space="preserve"> </w:t>
            </w:r>
            <w:r w:rsidR="00627A39">
              <w:rPr>
                <w:rFonts w:eastAsiaTheme="minorEastAsia"/>
                <w:color w:val="000000" w:themeColor="text1"/>
                <w:kern w:val="24"/>
                <w:szCs w:val="24"/>
                <w:lang w:val="en-US" w:eastAsia="en-GB"/>
              </w:rPr>
              <w:t xml:space="preserve">and </w:t>
            </w:r>
            <w:r w:rsidR="003515DA">
              <w:rPr>
                <w:rFonts w:eastAsiaTheme="minorEastAsia"/>
                <w:color w:val="000000" w:themeColor="text1"/>
                <w:kern w:val="24"/>
                <w:szCs w:val="24"/>
                <w:lang w:val="en-US" w:eastAsia="en-GB"/>
              </w:rPr>
              <w:t>no</w:t>
            </w:r>
            <w:r w:rsidR="00627A39">
              <w:rPr>
                <w:rFonts w:eastAsiaTheme="minorEastAsia"/>
                <w:color w:val="000000" w:themeColor="text1"/>
                <w:kern w:val="24"/>
                <w:szCs w:val="24"/>
                <w:lang w:val="en-US" w:eastAsia="en-GB"/>
              </w:rPr>
              <w:t xml:space="preserve"> actions</w:t>
            </w:r>
            <w:r w:rsidR="003515DA">
              <w:rPr>
                <w:rFonts w:eastAsiaTheme="minorEastAsia"/>
                <w:color w:val="000000" w:themeColor="text1"/>
                <w:kern w:val="24"/>
                <w:szCs w:val="24"/>
                <w:lang w:val="en-US" w:eastAsia="en-GB"/>
              </w:rPr>
              <w:t xml:space="preserve"> have gone beyond their expected </w:t>
            </w:r>
            <w:r w:rsidR="00627A39">
              <w:rPr>
                <w:rFonts w:eastAsiaTheme="minorEastAsia"/>
                <w:color w:val="000000" w:themeColor="text1"/>
                <w:kern w:val="24"/>
                <w:szCs w:val="24"/>
                <w:lang w:val="en-US" w:eastAsia="en-GB"/>
              </w:rPr>
              <w:t>completion date.</w:t>
            </w:r>
          </w:p>
          <w:p w14:paraId="68BAD12F" w14:textId="77777777" w:rsidR="00F45DB3" w:rsidRDefault="00F45DB3" w:rsidP="00871855">
            <w:pPr>
              <w:tabs>
                <w:tab w:val="left" w:pos="174"/>
              </w:tabs>
              <w:jc w:val="both"/>
              <w:rPr>
                <w:rFonts w:eastAsiaTheme="minorEastAsia"/>
                <w:color w:val="000000" w:themeColor="text1"/>
                <w:kern w:val="24"/>
                <w:szCs w:val="24"/>
                <w:lang w:val="en-US" w:eastAsia="en-GB"/>
              </w:rPr>
            </w:pPr>
          </w:p>
          <w:p w14:paraId="47231C9F" w14:textId="7BAE3486" w:rsidR="00EF73A2" w:rsidRDefault="00EF73A2" w:rsidP="00871855">
            <w:pPr>
              <w:tabs>
                <w:tab w:val="left" w:pos="174"/>
              </w:tabs>
              <w:jc w:val="both"/>
              <w:rPr>
                <w:rFonts w:eastAsiaTheme="minorEastAsia"/>
                <w:color w:val="000000" w:themeColor="text1"/>
                <w:kern w:val="24"/>
                <w:szCs w:val="24"/>
                <w:lang w:val="en-US" w:eastAsia="en-GB"/>
              </w:rPr>
            </w:pPr>
            <w:r>
              <w:rPr>
                <w:rFonts w:eastAsiaTheme="minorEastAsia"/>
                <w:color w:val="000000" w:themeColor="text1"/>
                <w:kern w:val="24"/>
                <w:szCs w:val="24"/>
                <w:lang w:val="en-US" w:eastAsia="en-GB"/>
              </w:rPr>
              <w:t xml:space="preserve">The following actions have been </w:t>
            </w:r>
            <w:r w:rsidR="00CB4EEB">
              <w:rPr>
                <w:rFonts w:eastAsiaTheme="minorEastAsia"/>
                <w:color w:val="000000" w:themeColor="text1"/>
                <w:kern w:val="24"/>
                <w:szCs w:val="24"/>
                <w:lang w:val="en-US" w:eastAsia="en-GB"/>
              </w:rPr>
              <w:t xml:space="preserve">reviewed and </w:t>
            </w:r>
            <w:r>
              <w:rPr>
                <w:rFonts w:eastAsiaTheme="minorEastAsia"/>
                <w:color w:val="000000" w:themeColor="text1"/>
                <w:kern w:val="24"/>
                <w:szCs w:val="24"/>
                <w:lang w:val="en-US" w:eastAsia="en-GB"/>
              </w:rPr>
              <w:t>updated as follows:</w:t>
            </w:r>
          </w:p>
          <w:p w14:paraId="11470513" w14:textId="77777777" w:rsidR="00EF73A2" w:rsidRDefault="00EF73A2" w:rsidP="00871855">
            <w:pPr>
              <w:tabs>
                <w:tab w:val="left" w:pos="174"/>
              </w:tabs>
              <w:jc w:val="both"/>
              <w:rPr>
                <w:rFonts w:eastAsiaTheme="minorEastAsia"/>
                <w:color w:val="000000" w:themeColor="text1"/>
                <w:kern w:val="24"/>
                <w:szCs w:val="24"/>
                <w:lang w:val="en-US" w:eastAsia="en-GB"/>
              </w:rPr>
            </w:pPr>
          </w:p>
          <w:p w14:paraId="0DED06B8" w14:textId="77777777" w:rsidR="00AA4661" w:rsidRDefault="003F1F5E">
            <w:pPr>
              <w:pStyle w:val="ListParagraph"/>
              <w:numPr>
                <w:ilvl w:val="0"/>
                <w:numId w:val="36"/>
              </w:numPr>
              <w:tabs>
                <w:tab w:val="left" w:pos="174"/>
              </w:tabs>
              <w:jc w:val="both"/>
              <w:rPr>
                <w:rFonts w:eastAsiaTheme="minorEastAsia"/>
                <w:color w:val="000000" w:themeColor="text1"/>
                <w:kern w:val="24"/>
                <w:szCs w:val="24"/>
                <w:lang w:val="en-US" w:eastAsia="en-GB"/>
              </w:rPr>
            </w:pPr>
            <w:r w:rsidRPr="003B0AED">
              <w:rPr>
                <w:rFonts w:eastAsiaTheme="minorEastAsia"/>
                <w:b/>
                <w:bCs/>
                <w:color w:val="000000" w:themeColor="text1"/>
                <w:kern w:val="24"/>
                <w:szCs w:val="24"/>
                <w:lang w:val="en-US" w:eastAsia="en-GB"/>
              </w:rPr>
              <w:t xml:space="preserve">Primary Care integrated Performance Reporting </w:t>
            </w:r>
            <w:r w:rsidR="00E61EAC" w:rsidRPr="003B0AED">
              <w:rPr>
                <w:rFonts w:eastAsiaTheme="minorEastAsia"/>
                <w:b/>
                <w:bCs/>
                <w:color w:val="000000" w:themeColor="text1"/>
                <w:kern w:val="24"/>
                <w:szCs w:val="24"/>
                <w:lang w:val="en-US" w:eastAsia="en-GB"/>
              </w:rPr>
              <w:t xml:space="preserve">Performance </w:t>
            </w:r>
            <w:r w:rsidR="00016E3D" w:rsidRPr="003B0AED">
              <w:rPr>
                <w:rFonts w:eastAsiaTheme="minorEastAsia"/>
                <w:b/>
                <w:bCs/>
                <w:color w:val="000000" w:themeColor="text1"/>
                <w:kern w:val="24"/>
                <w:szCs w:val="24"/>
                <w:lang w:val="en-US" w:eastAsia="en-GB"/>
              </w:rPr>
              <w:t>indicators</w:t>
            </w:r>
            <w:r w:rsidR="00E61EAC" w:rsidRPr="003B0AED">
              <w:rPr>
                <w:rFonts w:eastAsiaTheme="minorEastAsia"/>
                <w:color w:val="000000" w:themeColor="text1"/>
                <w:kern w:val="24"/>
                <w:szCs w:val="24"/>
                <w:lang w:val="en-US" w:eastAsia="en-GB"/>
              </w:rPr>
              <w:t xml:space="preserve">: </w:t>
            </w:r>
            <w:r w:rsidR="00912DDC" w:rsidRPr="003B0AED">
              <w:rPr>
                <w:rFonts w:eastAsiaTheme="minorEastAsia"/>
                <w:color w:val="000000" w:themeColor="text1"/>
                <w:kern w:val="24"/>
                <w:szCs w:val="24"/>
                <w:lang w:val="en-US" w:eastAsia="en-GB"/>
              </w:rPr>
              <w:t xml:space="preserve">Further to </w:t>
            </w:r>
            <w:r w:rsidR="007E3FEF" w:rsidRPr="003B0AED">
              <w:rPr>
                <w:rFonts w:eastAsiaTheme="minorEastAsia"/>
                <w:color w:val="000000" w:themeColor="text1"/>
                <w:kern w:val="24"/>
                <w:szCs w:val="24"/>
                <w:lang w:val="en-US" w:eastAsia="en-GB"/>
              </w:rPr>
              <w:t xml:space="preserve">the </w:t>
            </w:r>
            <w:r w:rsidR="00016E3D" w:rsidRPr="003B0AED">
              <w:rPr>
                <w:rFonts w:eastAsiaTheme="minorEastAsia"/>
                <w:color w:val="000000" w:themeColor="text1"/>
                <w:kern w:val="24"/>
                <w:szCs w:val="24"/>
                <w:lang w:val="en-US" w:eastAsia="en-GB"/>
              </w:rPr>
              <w:t xml:space="preserve">check and challenge </w:t>
            </w:r>
            <w:r w:rsidRPr="003B0AED">
              <w:rPr>
                <w:rFonts w:eastAsiaTheme="minorEastAsia"/>
                <w:color w:val="000000" w:themeColor="text1"/>
                <w:kern w:val="24"/>
                <w:szCs w:val="24"/>
                <w:lang w:val="en-US" w:eastAsia="en-GB"/>
              </w:rPr>
              <w:t xml:space="preserve">review </w:t>
            </w:r>
            <w:r w:rsidR="003E10E0" w:rsidRPr="003B0AED">
              <w:rPr>
                <w:rFonts w:eastAsiaTheme="minorEastAsia"/>
                <w:color w:val="000000" w:themeColor="text1"/>
                <w:kern w:val="24"/>
                <w:szCs w:val="24"/>
                <w:lang w:val="en-US" w:eastAsia="en-GB"/>
              </w:rPr>
              <w:t xml:space="preserve">meeting held </w:t>
            </w:r>
            <w:r w:rsidR="007E3FEF" w:rsidRPr="003B0AED">
              <w:rPr>
                <w:rFonts w:eastAsiaTheme="minorEastAsia"/>
                <w:color w:val="000000" w:themeColor="text1"/>
                <w:kern w:val="24"/>
                <w:szCs w:val="24"/>
                <w:lang w:val="en-US" w:eastAsia="en-GB"/>
              </w:rPr>
              <w:t>in February</w:t>
            </w:r>
            <w:r w:rsidR="00B633A3" w:rsidRPr="003B0AED">
              <w:rPr>
                <w:rFonts w:eastAsiaTheme="minorEastAsia"/>
                <w:color w:val="000000" w:themeColor="text1"/>
                <w:kern w:val="24"/>
                <w:szCs w:val="24"/>
                <w:lang w:val="en-US" w:eastAsia="en-GB"/>
              </w:rPr>
              <w:t xml:space="preserve">, a </w:t>
            </w:r>
            <w:r w:rsidR="005A5D57" w:rsidRPr="003B0AED">
              <w:rPr>
                <w:rFonts w:eastAsiaTheme="minorEastAsia"/>
                <w:color w:val="000000" w:themeColor="text1"/>
                <w:kern w:val="24"/>
                <w:szCs w:val="24"/>
                <w:lang w:val="en-US" w:eastAsia="en-GB"/>
              </w:rPr>
              <w:t xml:space="preserve">workshop has been convened to review and refine the integrated performance report; this work will be re-evaluated and aligned once the </w:t>
            </w:r>
            <w:r w:rsidR="0008228F" w:rsidRPr="003B0AED">
              <w:rPr>
                <w:rFonts w:eastAsiaTheme="minorEastAsia"/>
                <w:color w:val="000000" w:themeColor="text1"/>
                <w:kern w:val="24"/>
                <w:szCs w:val="24"/>
                <w:lang w:val="en-US" w:eastAsia="en-GB"/>
              </w:rPr>
              <w:t xml:space="preserve">ICB model blueprint requirements for strategic commissioning </w:t>
            </w:r>
            <w:r w:rsidR="003B0AED" w:rsidRPr="003B0AED">
              <w:rPr>
                <w:rFonts w:eastAsiaTheme="minorEastAsia"/>
                <w:color w:val="000000" w:themeColor="text1"/>
                <w:kern w:val="24"/>
                <w:szCs w:val="24"/>
                <w:lang w:val="en-US" w:eastAsia="en-GB"/>
              </w:rPr>
              <w:t>in relation to primary care are available.</w:t>
            </w:r>
            <w:r w:rsidR="005E519C">
              <w:rPr>
                <w:rFonts w:eastAsiaTheme="minorEastAsia"/>
                <w:color w:val="000000" w:themeColor="text1"/>
                <w:kern w:val="24"/>
                <w:szCs w:val="24"/>
                <w:lang w:val="en-US" w:eastAsia="en-GB"/>
              </w:rPr>
              <w:t xml:space="preserve">   A review of the indicators </w:t>
            </w:r>
            <w:r w:rsidR="00B36AB5">
              <w:rPr>
                <w:rFonts w:eastAsiaTheme="minorEastAsia"/>
                <w:color w:val="000000" w:themeColor="text1"/>
                <w:kern w:val="24"/>
                <w:szCs w:val="24"/>
                <w:lang w:val="en-US" w:eastAsia="en-GB"/>
              </w:rPr>
              <w:t xml:space="preserve">(both national and local) </w:t>
            </w:r>
            <w:r w:rsidR="005E519C">
              <w:rPr>
                <w:rFonts w:eastAsiaTheme="minorEastAsia"/>
                <w:color w:val="000000" w:themeColor="text1"/>
                <w:kern w:val="24"/>
                <w:szCs w:val="24"/>
                <w:lang w:val="en-US" w:eastAsia="en-GB"/>
              </w:rPr>
              <w:t>from the primary care</w:t>
            </w:r>
            <w:r w:rsidR="00B36AB5">
              <w:rPr>
                <w:rFonts w:eastAsiaTheme="minorEastAsia"/>
                <w:color w:val="000000" w:themeColor="text1"/>
                <w:kern w:val="24"/>
                <w:szCs w:val="24"/>
                <w:lang w:val="en-US" w:eastAsia="en-GB"/>
              </w:rPr>
              <w:t xml:space="preserve"> dashboard will be presented to the Quality and Outcomes Committee</w:t>
            </w:r>
            <w:r w:rsidR="00AA4661">
              <w:rPr>
                <w:rFonts w:eastAsiaTheme="minorEastAsia"/>
                <w:color w:val="000000" w:themeColor="text1"/>
                <w:kern w:val="24"/>
                <w:szCs w:val="24"/>
                <w:lang w:val="en-US" w:eastAsia="en-GB"/>
              </w:rPr>
              <w:t>.</w:t>
            </w:r>
          </w:p>
          <w:p w14:paraId="13BAD69C" w14:textId="77777777" w:rsidR="00EF73A2" w:rsidRPr="007757F6" w:rsidRDefault="00EF73A2" w:rsidP="00871855">
            <w:pPr>
              <w:tabs>
                <w:tab w:val="left" w:pos="174"/>
              </w:tabs>
              <w:jc w:val="both"/>
              <w:rPr>
                <w:rFonts w:eastAsiaTheme="minorEastAsia"/>
                <w:color w:val="000000" w:themeColor="text1"/>
                <w:kern w:val="24"/>
                <w:szCs w:val="24"/>
                <w:lang w:val="en-US" w:eastAsia="en-GB"/>
              </w:rPr>
            </w:pPr>
          </w:p>
          <w:p w14:paraId="2C649527" w14:textId="77777777" w:rsidR="0065792E" w:rsidRDefault="00535779" w:rsidP="00FB7823">
            <w:pPr>
              <w:pStyle w:val="ListParagraph"/>
              <w:numPr>
                <w:ilvl w:val="0"/>
                <w:numId w:val="36"/>
              </w:numPr>
              <w:tabs>
                <w:tab w:val="left" w:pos="738"/>
              </w:tabs>
              <w:jc w:val="both"/>
              <w:rPr>
                <w:rFonts w:eastAsiaTheme="minorEastAsia"/>
                <w:color w:val="000000" w:themeColor="text1"/>
                <w:kern w:val="24"/>
                <w:szCs w:val="24"/>
                <w:lang w:val="en-US" w:eastAsia="en-GB"/>
              </w:rPr>
            </w:pPr>
            <w:r w:rsidRPr="000B21DF">
              <w:rPr>
                <w:rFonts w:eastAsiaTheme="minorEastAsia"/>
                <w:b/>
                <w:bCs/>
                <w:color w:val="000000" w:themeColor="text1"/>
                <w:kern w:val="24"/>
                <w:szCs w:val="24"/>
                <w:lang w:val="en-US" w:eastAsia="en-GB"/>
              </w:rPr>
              <w:t>Freedom to Speak Up (primary care):</w:t>
            </w:r>
            <w:r w:rsidR="0041227B">
              <w:rPr>
                <w:rFonts w:eastAsiaTheme="minorEastAsia"/>
                <w:b/>
                <w:bCs/>
                <w:color w:val="000000" w:themeColor="text1"/>
                <w:kern w:val="24"/>
                <w:szCs w:val="24"/>
                <w:lang w:val="en-US" w:eastAsia="en-GB"/>
              </w:rPr>
              <w:t xml:space="preserve"> </w:t>
            </w:r>
            <w:r w:rsidR="00CC4BB5">
              <w:rPr>
                <w:rFonts w:eastAsiaTheme="minorEastAsia"/>
                <w:color w:val="000000" w:themeColor="text1"/>
                <w:kern w:val="24"/>
                <w:szCs w:val="24"/>
                <w:lang w:val="en-US" w:eastAsia="en-GB"/>
              </w:rPr>
              <w:t>there has been no further guidance provided in</w:t>
            </w:r>
            <w:r w:rsidR="000B21DF">
              <w:rPr>
                <w:rFonts w:eastAsiaTheme="minorEastAsia"/>
                <w:color w:val="000000" w:themeColor="text1"/>
                <w:kern w:val="24"/>
                <w:szCs w:val="24"/>
                <w:lang w:val="en-US" w:eastAsia="en-GB"/>
              </w:rPr>
              <w:t xml:space="preserve"> relation to </w:t>
            </w:r>
            <w:r w:rsidR="000349B8">
              <w:rPr>
                <w:rFonts w:eastAsiaTheme="minorEastAsia"/>
                <w:color w:val="000000" w:themeColor="text1"/>
                <w:kern w:val="24"/>
                <w:szCs w:val="24"/>
                <w:lang w:val="en-US" w:eastAsia="en-GB"/>
              </w:rPr>
              <w:t xml:space="preserve">FTSU </w:t>
            </w:r>
            <w:r w:rsidR="00A55F5D">
              <w:rPr>
                <w:rFonts w:eastAsiaTheme="minorEastAsia"/>
                <w:color w:val="000000" w:themeColor="text1"/>
                <w:kern w:val="24"/>
                <w:szCs w:val="24"/>
                <w:lang w:val="en-US" w:eastAsia="en-GB"/>
              </w:rPr>
              <w:t xml:space="preserve">in primary care </w:t>
            </w:r>
            <w:r w:rsidR="002F2F9A" w:rsidRPr="000B21DF">
              <w:rPr>
                <w:rFonts w:eastAsiaTheme="minorEastAsia"/>
                <w:color w:val="000000" w:themeColor="text1"/>
                <w:kern w:val="24"/>
                <w:szCs w:val="24"/>
                <w:lang w:val="en-US" w:eastAsia="en-GB"/>
              </w:rPr>
              <w:t>from NHS Englan</w:t>
            </w:r>
            <w:r w:rsidR="000349B8">
              <w:rPr>
                <w:rFonts w:eastAsiaTheme="minorEastAsia"/>
                <w:color w:val="000000" w:themeColor="text1"/>
                <w:kern w:val="24"/>
                <w:szCs w:val="24"/>
                <w:lang w:val="en-US" w:eastAsia="en-GB"/>
              </w:rPr>
              <w:t>d</w:t>
            </w:r>
            <w:r w:rsidR="00CC4BB5">
              <w:rPr>
                <w:rFonts w:eastAsiaTheme="minorEastAsia"/>
                <w:color w:val="000000" w:themeColor="text1"/>
                <w:kern w:val="24"/>
                <w:szCs w:val="24"/>
                <w:lang w:val="en-US" w:eastAsia="en-GB"/>
              </w:rPr>
              <w:t>.</w:t>
            </w:r>
            <w:r w:rsidR="000349B8">
              <w:rPr>
                <w:rFonts w:eastAsiaTheme="minorEastAsia"/>
                <w:color w:val="000000" w:themeColor="text1"/>
                <w:kern w:val="24"/>
                <w:szCs w:val="24"/>
                <w:lang w:val="en-US" w:eastAsia="en-GB"/>
              </w:rPr>
              <w:t xml:space="preserve"> </w:t>
            </w:r>
            <w:r w:rsidR="00A55F5D">
              <w:rPr>
                <w:rFonts w:eastAsiaTheme="minorEastAsia"/>
                <w:color w:val="000000" w:themeColor="text1"/>
                <w:kern w:val="24"/>
                <w:szCs w:val="24"/>
                <w:lang w:val="en-US" w:eastAsia="en-GB"/>
              </w:rPr>
              <w:t xml:space="preserve"> This will remain under review.</w:t>
            </w:r>
          </w:p>
          <w:p w14:paraId="29BABBEE" w14:textId="77777777" w:rsidR="00BE6ADD" w:rsidRPr="00BE6ADD" w:rsidRDefault="00BE6ADD" w:rsidP="00BE6ADD">
            <w:pPr>
              <w:pStyle w:val="ListParagraph"/>
              <w:rPr>
                <w:rFonts w:eastAsiaTheme="minorEastAsia"/>
                <w:color w:val="000000" w:themeColor="text1"/>
                <w:kern w:val="24"/>
                <w:szCs w:val="24"/>
                <w:lang w:val="en-US" w:eastAsia="en-GB"/>
              </w:rPr>
            </w:pPr>
          </w:p>
          <w:p w14:paraId="37AF0D45" w14:textId="77777777" w:rsidR="00BE6ADD" w:rsidRDefault="00BE6ADD" w:rsidP="00BE6ADD">
            <w:pPr>
              <w:tabs>
                <w:tab w:val="left" w:pos="738"/>
              </w:tabs>
              <w:jc w:val="both"/>
              <w:rPr>
                <w:rFonts w:eastAsiaTheme="minorEastAsia"/>
                <w:color w:val="000000" w:themeColor="text1"/>
                <w:kern w:val="24"/>
                <w:szCs w:val="24"/>
                <w:lang w:val="en-US" w:eastAsia="en-GB"/>
              </w:rPr>
            </w:pPr>
            <w:r>
              <w:rPr>
                <w:rFonts w:eastAsiaTheme="minorEastAsia"/>
                <w:color w:val="000000" w:themeColor="text1"/>
                <w:kern w:val="24"/>
                <w:szCs w:val="24"/>
                <w:lang w:val="en-US" w:eastAsia="en-GB"/>
              </w:rPr>
              <w:t>The following new action has been added:</w:t>
            </w:r>
          </w:p>
          <w:p w14:paraId="08B57E43" w14:textId="77777777" w:rsidR="00BE6ADD" w:rsidRDefault="00BE6ADD" w:rsidP="00BE6ADD">
            <w:pPr>
              <w:tabs>
                <w:tab w:val="left" w:pos="738"/>
              </w:tabs>
              <w:jc w:val="both"/>
              <w:rPr>
                <w:rFonts w:eastAsiaTheme="minorEastAsia"/>
                <w:color w:val="000000" w:themeColor="text1"/>
                <w:kern w:val="24"/>
                <w:szCs w:val="24"/>
                <w:lang w:val="en-US" w:eastAsia="en-GB"/>
              </w:rPr>
            </w:pPr>
          </w:p>
          <w:p w14:paraId="760F03D5" w14:textId="459191B0" w:rsidR="00BE6ADD" w:rsidRPr="00BE6ADD" w:rsidRDefault="00BE6ADD" w:rsidP="00BE6ADD">
            <w:pPr>
              <w:pStyle w:val="ListParagraph"/>
              <w:numPr>
                <w:ilvl w:val="0"/>
                <w:numId w:val="37"/>
              </w:numPr>
              <w:tabs>
                <w:tab w:val="left" w:pos="738"/>
              </w:tabs>
              <w:jc w:val="both"/>
              <w:rPr>
                <w:rFonts w:eastAsiaTheme="minorEastAsia"/>
                <w:color w:val="000000" w:themeColor="text1"/>
                <w:kern w:val="24"/>
                <w:szCs w:val="24"/>
                <w:lang w:val="en-US" w:eastAsia="en-GB"/>
              </w:rPr>
            </w:pPr>
            <w:r w:rsidRPr="001F331A">
              <w:rPr>
                <w:rFonts w:eastAsiaTheme="minorEastAsia"/>
                <w:b/>
                <w:bCs/>
                <w:color w:val="000000" w:themeColor="text1"/>
                <w:kern w:val="24"/>
                <w:szCs w:val="24"/>
                <w:lang w:val="en-US" w:eastAsia="en-GB"/>
              </w:rPr>
              <w:t>Primary Care Commissioning Assurance Framework</w:t>
            </w:r>
            <w:r>
              <w:rPr>
                <w:rFonts w:eastAsiaTheme="minorEastAsia"/>
                <w:color w:val="000000" w:themeColor="text1"/>
                <w:kern w:val="24"/>
                <w:szCs w:val="24"/>
                <w:lang w:val="en-US" w:eastAsia="en-GB"/>
              </w:rPr>
              <w:t xml:space="preserve"> </w:t>
            </w:r>
            <w:r w:rsidR="005919DE">
              <w:rPr>
                <w:rFonts w:eastAsiaTheme="minorEastAsia"/>
                <w:color w:val="000000" w:themeColor="text1"/>
                <w:kern w:val="24"/>
                <w:szCs w:val="24"/>
                <w:lang w:val="en-US" w:eastAsia="en-GB"/>
              </w:rPr>
              <w:t>–</w:t>
            </w:r>
            <w:r>
              <w:rPr>
                <w:rFonts w:eastAsiaTheme="minorEastAsia"/>
                <w:color w:val="000000" w:themeColor="text1"/>
                <w:kern w:val="24"/>
                <w:szCs w:val="24"/>
                <w:lang w:val="en-US" w:eastAsia="en-GB"/>
              </w:rPr>
              <w:t xml:space="preserve"> </w:t>
            </w:r>
            <w:r w:rsidR="005919DE">
              <w:rPr>
                <w:rFonts w:eastAsiaTheme="minorEastAsia"/>
                <w:color w:val="000000" w:themeColor="text1"/>
                <w:kern w:val="24"/>
                <w:szCs w:val="24"/>
                <w:lang w:val="en-US" w:eastAsia="en-GB"/>
              </w:rPr>
              <w:t>a gap analysis us being undertaken to assess differences between Primary Care Commissioning Assurance Framework requirements and National Quality Board requirements (due to be presented to Primary Care Quality Group in May 25).</w:t>
            </w:r>
          </w:p>
        </w:tc>
      </w:tr>
    </w:tbl>
    <w:p w14:paraId="31322399" w14:textId="77777777" w:rsidR="00806779" w:rsidRDefault="00806779" w:rsidP="00E77565">
      <w:pPr>
        <w:spacing w:after="0" w:line="240" w:lineRule="auto"/>
        <w:rPr>
          <w:rFonts w:eastAsiaTheme="minorEastAsia"/>
          <w:b/>
          <w:bCs/>
          <w:color w:val="272727" w:themeColor="text1" w:themeTint="D8"/>
          <w:kern w:val="24"/>
          <w:szCs w:val="24"/>
          <w:lang w:val="en-US" w:eastAsia="en-GB"/>
        </w:rPr>
      </w:pPr>
    </w:p>
    <w:p w14:paraId="7036425A" w14:textId="01D49F8D" w:rsidR="00D3367D" w:rsidRDefault="00D3367D" w:rsidP="001C78B3">
      <w:pPr>
        <w:pStyle w:val="ListParagraph"/>
        <w:numPr>
          <w:ilvl w:val="0"/>
          <w:numId w:val="4"/>
        </w:numPr>
        <w:tabs>
          <w:tab w:val="left" w:pos="426"/>
        </w:tabs>
        <w:ind w:hanging="930"/>
        <w:jc w:val="both"/>
        <w:rPr>
          <w:b/>
          <w:bCs/>
          <w:szCs w:val="24"/>
        </w:rPr>
      </w:pPr>
      <w:r>
        <w:rPr>
          <w:b/>
          <w:bCs/>
          <w:szCs w:val="24"/>
        </w:rPr>
        <w:t>Risks recommended for closure during the reporting period</w:t>
      </w:r>
    </w:p>
    <w:p w14:paraId="464B6CC0" w14:textId="07E20ED5" w:rsidR="00D3367D" w:rsidRPr="002B52BC" w:rsidRDefault="00A8453D" w:rsidP="0086524F">
      <w:pPr>
        <w:tabs>
          <w:tab w:val="left" w:pos="426"/>
        </w:tabs>
        <w:ind w:left="426" w:hanging="568"/>
        <w:jc w:val="both"/>
        <w:rPr>
          <w:b/>
          <w:bCs/>
          <w:szCs w:val="24"/>
        </w:rPr>
      </w:pPr>
      <w:r>
        <w:rPr>
          <w:szCs w:val="24"/>
        </w:rPr>
        <w:t>4.1</w:t>
      </w:r>
      <w:r>
        <w:rPr>
          <w:szCs w:val="24"/>
        </w:rPr>
        <w:tab/>
        <w:t xml:space="preserve">The following risk has been reviewed and </w:t>
      </w:r>
      <w:r w:rsidR="00553FD4">
        <w:rPr>
          <w:szCs w:val="24"/>
        </w:rPr>
        <w:t xml:space="preserve">will </w:t>
      </w:r>
      <w:r w:rsidR="002B52BC">
        <w:rPr>
          <w:szCs w:val="24"/>
        </w:rPr>
        <w:t xml:space="preserve">be </w:t>
      </w:r>
      <w:r>
        <w:rPr>
          <w:szCs w:val="24"/>
        </w:rPr>
        <w:t xml:space="preserve">recommended </w:t>
      </w:r>
      <w:r w:rsidR="00553FD4">
        <w:rPr>
          <w:szCs w:val="24"/>
        </w:rPr>
        <w:t xml:space="preserve">to EMT </w:t>
      </w:r>
      <w:r>
        <w:rPr>
          <w:szCs w:val="24"/>
        </w:rPr>
        <w:t>for closure</w:t>
      </w:r>
      <w:r w:rsidR="00553FD4">
        <w:rPr>
          <w:szCs w:val="24"/>
        </w:rPr>
        <w:t xml:space="preserve"> </w:t>
      </w:r>
      <w:r w:rsidR="00553FD4" w:rsidRPr="002B52BC">
        <w:rPr>
          <w:szCs w:val="24"/>
        </w:rPr>
        <w:t>on 4 June</w:t>
      </w:r>
      <w:r w:rsidR="00363113" w:rsidRPr="002B52BC">
        <w:rPr>
          <w:szCs w:val="24"/>
        </w:rPr>
        <w:t>:</w:t>
      </w:r>
    </w:p>
    <w:p w14:paraId="371B1EAA" w14:textId="6C9C613E" w:rsidR="00D3367D" w:rsidRPr="002B52BC" w:rsidRDefault="00D3367D" w:rsidP="001C78B3">
      <w:pPr>
        <w:pStyle w:val="ListParagraph"/>
        <w:numPr>
          <w:ilvl w:val="0"/>
          <w:numId w:val="30"/>
        </w:numPr>
        <w:tabs>
          <w:tab w:val="left" w:pos="851"/>
        </w:tabs>
        <w:jc w:val="both"/>
        <w:rPr>
          <w:szCs w:val="24"/>
        </w:rPr>
      </w:pPr>
      <w:r w:rsidRPr="002B52BC">
        <w:rPr>
          <w:b/>
          <w:bCs/>
          <w:szCs w:val="24"/>
        </w:rPr>
        <w:t xml:space="preserve">Risk ID ICB 009: GP Contract 2024/25 dispute Collective Action; </w:t>
      </w:r>
      <w:r w:rsidRPr="002B52BC">
        <w:rPr>
          <w:szCs w:val="24"/>
        </w:rPr>
        <w:t>there is a risk that collective action may further result in reduced level of service and impact on patients’ ability to access healthcare via their GP; reduce the number of patient contacts; result in practices not engaging with advice and guidance; with further impact on secondary care.</w:t>
      </w:r>
    </w:p>
    <w:p w14:paraId="2ACF2FFC" w14:textId="36F6910C" w:rsidR="002C0B58" w:rsidRPr="002C0B58" w:rsidRDefault="004D38F8" w:rsidP="002B52BC">
      <w:pPr>
        <w:spacing w:after="0" w:line="288" w:lineRule="auto"/>
        <w:ind w:left="720" w:hanging="720"/>
        <w:jc w:val="both"/>
        <w:rPr>
          <w:rFonts w:eastAsiaTheme="minorEastAsia"/>
          <w:color w:val="272727" w:themeColor="text1" w:themeTint="D8"/>
          <w:kern w:val="24"/>
          <w:szCs w:val="24"/>
          <w:lang w:val="en-US" w:eastAsia="en-GB"/>
        </w:rPr>
      </w:pPr>
      <w:r w:rsidRPr="002B52BC">
        <w:rPr>
          <w:rFonts w:eastAsiaTheme="minorEastAsia"/>
          <w:color w:val="272727" w:themeColor="text1" w:themeTint="D8"/>
          <w:kern w:val="24"/>
          <w:szCs w:val="24"/>
          <w:lang w:val="en-US" w:eastAsia="en-GB"/>
        </w:rPr>
        <w:t>4</w:t>
      </w:r>
      <w:r w:rsidR="002C0B58" w:rsidRPr="002B52BC">
        <w:rPr>
          <w:rFonts w:eastAsiaTheme="minorEastAsia"/>
          <w:color w:val="272727" w:themeColor="text1" w:themeTint="D8"/>
          <w:kern w:val="24"/>
          <w:szCs w:val="24"/>
          <w:lang w:val="en-US" w:eastAsia="en-GB"/>
        </w:rPr>
        <w:t>.2</w:t>
      </w:r>
      <w:r w:rsidR="004D3D8B" w:rsidRPr="002B52BC">
        <w:rPr>
          <w:rFonts w:eastAsiaTheme="minorEastAsia"/>
          <w:color w:val="272727" w:themeColor="text1" w:themeTint="D8"/>
          <w:kern w:val="24"/>
          <w:szCs w:val="24"/>
          <w:lang w:val="en-US" w:eastAsia="en-GB"/>
        </w:rPr>
        <w:tab/>
      </w:r>
      <w:r w:rsidR="00363113" w:rsidRPr="002B52BC">
        <w:rPr>
          <w:rFonts w:eastAsiaTheme="minorEastAsia"/>
          <w:color w:val="272727" w:themeColor="text1" w:themeTint="D8"/>
          <w:kern w:val="24"/>
          <w:szCs w:val="24"/>
          <w:lang w:val="en-US" w:eastAsia="en-GB"/>
        </w:rPr>
        <w:t>T</w:t>
      </w:r>
      <w:r w:rsidR="003579F5" w:rsidRPr="002B52BC">
        <w:rPr>
          <w:rFonts w:eastAsiaTheme="minorEastAsia"/>
          <w:color w:val="272727" w:themeColor="text1" w:themeTint="D8"/>
          <w:kern w:val="24"/>
          <w:szCs w:val="24"/>
          <w:lang w:val="en-US" w:eastAsia="en-GB"/>
        </w:rPr>
        <w:t xml:space="preserve">he </w:t>
      </w:r>
      <w:r w:rsidR="009E4F97" w:rsidRPr="002B52BC">
        <w:rPr>
          <w:rFonts w:eastAsiaTheme="minorEastAsia"/>
          <w:color w:val="272727" w:themeColor="text1" w:themeTint="D8"/>
          <w:kern w:val="24"/>
          <w:szCs w:val="24"/>
          <w:lang w:val="en-US" w:eastAsia="en-GB"/>
        </w:rPr>
        <w:t xml:space="preserve">national </w:t>
      </w:r>
      <w:r w:rsidR="00532648" w:rsidRPr="002B52BC">
        <w:rPr>
          <w:rFonts w:eastAsiaTheme="minorEastAsia"/>
          <w:color w:val="272727" w:themeColor="text1" w:themeTint="D8"/>
          <w:kern w:val="24"/>
          <w:szCs w:val="24"/>
          <w:lang w:val="en-US" w:eastAsia="en-GB"/>
        </w:rPr>
        <w:t xml:space="preserve">GP </w:t>
      </w:r>
      <w:r w:rsidR="003579F5" w:rsidRPr="002B52BC">
        <w:rPr>
          <w:rFonts w:eastAsiaTheme="minorEastAsia"/>
          <w:color w:val="272727" w:themeColor="text1" w:themeTint="D8"/>
          <w:kern w:val="24"/>
          <w:szCs w:val="24"/>
          <w:lang w:val="en-US" w:eastAsia="en-GB"/>
        </w:rPr>
        <w:t>2025/26 contract</w:t>
      </w:r>
      <w:r w:rsidR="009E4F97" w:rsidRPr="002B52BC">
        <w:rPr>
          <w:rFonts w:eastAsiaTheme="minorEastAsia"/>
          <w:color w:val="272727" w:themeColor="text1" w:themeTint="D8"/>
          <w:kern w:val="24"/>
          <w:szCs w:val="24"/>
          <w:lang w:val="en-US" w:eastAsia="en-GB"/>
        </w:rPr>
        <w:t xml:space="preserve"> </w:t>
      </w:r>
      <w:r w:rsidR="00351C35" w:rsidRPr="002B52BC">
        <w:rPr>
          <w:rFonts w:eastAsiaTheme="minorEastAsia"/>
          <w:color w:val="272727" w:themeColor="text1" w:themeTint="D8"/>
          <w:kern w:val="24"/>
          <w:szCs w:val="24"/>
          <w:lang w:val="en-US" w:eastAsia="en-GB"/>
        </w:rPr>
        <w:t xml:space="preserve">deal </w:t>
      </w:r>
      <w:r w:rsidR="00363113" w:rsidRPr="002B52BC">
        <w:rPr>
          <w:rFonts w:eastAsiaTheme="minorEastAsia"/>
          <w:color w:val="272727" w:themeColor="text1" w:themeTint="D8"/>
          <w:kern w:val="24"/>
          <w:szCs w:val="24"/>
          <w:lang w:val="en-US" w:eastAsia="en-GB"/>
        </w:rPr>
        <w:t xml:space="preserve">was accepted </w:t>
      </w:r>
      <w:r w:rsidR="00DA42B6" w:rsidRPr="002B52BC">
        <w:rPr>
          <w:rFonts w:eastAsiaTheme="minorEastAsia"/>
          <w:color w:val="272727" w:themeColor="text1" w:themeTint="D8"/>
          <w:kern w:val="24"/>
          <w:szCs w:val="24"/>
          <w:lang w:val="en-US" w:eastAsia="en-GB"/>
        </w:rPr>
        <w:t>on 28 February</w:t>
      </w:r>
      <w:r w:rsidR="00557C34" w:rsidRPr="002B52BC">
        <w:rPr>
          <w:rFonts w:eastAsiaTheme="minorEastAsia"/>
          <w:color w:val="272727" w:themeColor="text1" w:themeTint="D8"/>
          <w:kern w:val="24"/>
          <w:szCs w:val="24"/>
          <w:lang w:val="en-US" w:eastAsia="en-GB"/>
        </w:rPr>
        <w:t>.</w:t>
      </w:r>
      <w:r w:rsidR="00492194" w:rsidRPr="002B52BC">
        <w:rPr>
          <w:rFonts w:eastAsiaTheme="minorEastAsia"/>
          <w:color w:val="272727" w:themeColor="text1" w:themeTint="D8"/>
          <w:kern w:val="24"/>
          <w:szCs w:val="24"/>
          <w:lang w:val="en-US" w:eastAsia="en-GB"/>
        </w:rPr>
        <w:t xml:space="preserve"> </w:t>
      </w:r>
      <w:r w:rsidR="00557C34" w:rsidRPr="002B52BC">
        <w:rPr>
          <w:rFonts w:eastAsiaTheme="minorEastAsia"/>
          <w:color w:val="272727" w:themeColor="text1" w:themeTint="D8"/>
          <w:kern w:val="24"/>
          <w:szCs w:val="24"/>
          <w:lang w:val="en-US" w:eastAsia="en-GB"/>
        </w:rPr>
        <w:t xml:space="preserve"> </w:t>
      </w:r>
      <w:r w:rsidR="00036D99" w:rsidRPr="002B52BC">
        <w:rPr>
          <w:rFonts w:eastAsiaTheme="minorEastAsia"/>
          <w:color w:val="272727" w:themeColor="text1" w:themeTint="D8"/>
          <w:kern w:val="24"/>
          <w:szCs w:val="24"/>
          <w:lang w:val="en-US" w:eastAsia="en-GB"/>
        </w:rPr>
        <w:t xml:space="preserve">In </w:t>
      </w:r>
      <w:r w:rsidR="00557C34" w:rsidRPr="002B52BC">
        <w:rPr>
          <w:rFonts w:eastAsiaTheme="minorEastAsia"/>
          <w:color w:val="272727" w:themeColor="text1" w:themeTint="D8"/>
          <w:kern w:val="24"/>
          <w:szCs w:val="24"/>
          <w:lang w:val="en-US" w:eastAsia="en-GB"/>
        </w:rPr>
        <w:t xml:space="preserve">addition </w:t>
      </w:r>
      <w:r w:rsidR="00BF28EE" w:rsidRPr="002B52BC">
        <w:rPr>
          <w:rFonts w:eastAsiaTheme="minorEastAsia"/>
          <w:color w:val="272727" w:themeColor="text1" w:themeTint="D8"/>
          <w:kern w:val="24"/>
          <w:szCs w:val="24"/>
          <w:lang w:val="en-US" w:eastAsia="en-GB"/>
        </w:rPr>
        <w:t xml:space="preserve">the development of a </w:t>
      </w:r>
      <w:r w:rsidR="00530318" w:rsidRPr="002B52BC">
        <w:rPr>
          <w:rFonts w:eastAsiaTheme="minorEastAsia"/>
          <w:color w:val="272727" w:themeColor="text1" w:themeTint="D8"/>
          <w:kern w:val="24"/>
          <w:szCs w:val="24"/>
          <w:lang w:val="en-US" w:eastAsia="en-GB"/>
        </w:rPr>
        <w:t xml:space="preserve">consistent commissioning approach was approved by the </w:t>
      </w:r>
      <w:r w:rsidR="00064A45" w:rsidRPr="002B52BC">
        <w:rPr>
          <w:rFonts w:eastAsiaTheme="minorEastAsia"/>
          <w:color w:val="272727" w:themeColor="text1" w:themeTint="D8"/>
          <w:kern w:val="24"/>
          <w:szCs w:val="24"/>
          <w:lang w:val="en-US" w:eastAsia="en-GB"/>
        </w:rPr>
        <w:t xml:space="preserve">ICB </w:t>
      </w:r>
      <w:r w:rsidR="00530318" w:rsidRPr="002B52BC">
        <w:rPr>
          <w:rFonts w:eastAsiaTheme="minorEastAsia"/>
          <w:color w:val="272727" w:themeColor="text1" w:themeTint="D8"/>
          <w:kern w:val="24"/>
          <w:szCs w:val="24"/>
          <w:lang w:val="en-US" w:eastAsia="en-GB"/>
        </w:rPr>
        <w:t>board on 24 April</w:t>
      </w:r>
      <w:r w:rsidR="00C46EF6" w:rsidRPr="002B52BC">
        <w:rPr>
          <w:rFonts w:eastAsiaTheme="minorEastAsia"/>
          <w:color w:val="272727" w:themeColor="text1" w:themeTint="D8"/>
          <w:kern w:val="24"/>
          <w:szCs w:val="24"/>
          <w:lang w:val="en-US" w:eastAsia="en-GB"/>
        </w:rPr>
        <w:t xml:space="preserve">.  This has seen the </w:t>
      </w:r>
      <w:r w:rsidR="00281F4C" w:rsidRPr="002B52BC">
        <w:rPr>
          <w:rFonts w:eastAsiaTheme="minorEastAsia"/>
          <w:color w:val="272727" w:themeColor="text1" w:themeTint="D8"/>
          <w:kern w:val="24"/>
          <w:szCs w:val="24"/>
          <w:lang w:val="en-US" w:eastAsia="en-GB"/>
        </w:rPr>
        <w:t>commencement of</w:t>
      </w:r>
      <w:r w:rsidR="00C46EF6" w:rsidRPr="002B52BC">
        <w:rPr>
          <w:rFonts w:eastAsiaTheme="minorEastAsia"/>
          <w:color w:val="272727" w:themeColor="text1" w:themeTint="D8"/>
          <w:kern w:val="24"/>
          <w:szCs w:val="24"/>
          <w:lang w:val="en-US" w:eastAsia="en-GB"/>
        </w:rPr>
        <w:t xml:space="preserve"> </w:t>
      </w:r>
      <w:r w:rsidR="00036D99" w:rsidRPr="002B52BC">
        <w:rPr>
          <w:rFonts w:eastAsiaTheme="minorEastAsia"/>
          <w:color w:val="272727" w:themeColor="text1" w:themeTint="D8"/>
          <w:kern w:val="24"/>
          <w:szCs w:val="24"/>
          <w:lang w:val="en-US" w:eastAsia="en-GB"/>
        </w:rPr>
        <w:t>t</w:t>
      </w:r>
      <w:r w:rsidR="00492194" w:rsidRPr="002B52BC">
        <w:rPr>
          <w:rFonts w:eastAsiaTheme="minorEastAsia"/>
          <w:color w:val="272727" w:themeColor="text1" w:themeTint="D8"/>
          <w:kern w:val="24"/>
          <w:szCs w:val="24"/>
          <w:lang w:val="en-US" w:eastAsia="en-GB"/>
        </w:rPr>
        <w:t xml:space="preserve">he </w:t>
      </w:r>
      <w:r w:rsidR="000412D2" w:rsidRPr="002B52BC">
        <w:rPr>
          <w:rFonts w:eastAsiaTheme="minorEastAsia"/>
          <w:color w:val="272727" w:themeColor="text1" w:themeTint="D8"/>
          <w:kern w:val="24"/>
          <w:szCs w:val="24"/>
          <w:lang w:val="en-US" w:eastAsia="en-GB"/>
        </w:rPr>
        <w:t>Long</w:t>
      </w:r>
      <w:r w:rsidR="001B443B" w:rsidRPr="002B52BC">
        <w:rPr>
          <w:rFonts w:eastAsiaTheme="minorEastAsia"/>
          <w:color w:val="272727" w:themeColor="text1" w:themeTint="D8"/>
          <w:kern w:val="24"/>
          <w:szCs w:val="24"/>
          <w:lang w:val="en-US" w:eastAsia="en-GB"/>
        </w:rPr>
        <w:t>-T</w:t>
      </w:r>
      <w:r w:rsidR="000412D2" w:rsidRPr="002B52BC">
        <w:rPr>
          <w:rFonts w:eastAsiaTheme="minorEastAsia"/>
          <w:color w:val="272727" w:themeColor="text1" w:themeTint="D8"/>
          <w:kern w:val="24"/>
          <w:szCs w:val="24"/>
          <w:lang w:val="en-US" w:eastAsia="en-GB"/>
        </w:rPr>
        <w:t xml:space="preserve">erm Conditions LES, </w:t>
      </w:r>
      <w:r w:rsidR="001619FF" w:rsidRPr="002B52BC">
        <w:rPr>
          <w:rFonts w:eastAsiaTheme="minorEastAsia"/>
          <w:color w:val="272727" w:themeColor="text1" w:themeTint="D8"/>
          <w:kern w:val="24"/>
          <w:szCs w:val="24"/>
          <w:lang w:val="en-US" w:eastAsia="en-GB"/>
        </w:rPr>
        <w:t>R</w:t>
      </w:r>
      <w:r w:rsidR="000412D2" w:rsidRPr="002B52BC">
        <w:rPr>
          <w:rFonts w:eastAsiaTheme="minorEastAsia"/>
          <w:color w:val="272727" w:themeColor="text1" w:themeTint="D8"/>
          <w:kern w:val="24"/>
          <w:szCs w:val="24"/>
          <w:lang w:val="en-US" w:eastAsia="en-GB"/>
        </w:rPr>
        <w:t xml:space="preserve">outine LES and </w:t>
      </w:r>
      <w:r w:rsidR="001619FF" w:rsidRPr="002B52BC">
        <w:rPr>
          <w:rFonts w:eastAsiaTheme="minorEastAsia"/>
          <w:color w:val="272727" w:themeColor="text1" w:themeTint="D8"/>
          <w:kern w:val="24"/>
          <w:szCs w:val="24"/>
          <w:lang w:val="en-US" w:eastAsia="en-GB"/>
        </w:rPr>
        <w:t>M</w:t>
      </w:r>
      <w:r w:rsidR="00532648" w:rsidRPr="002B52BC">
        <w:rPr>
          <w:rFonts w:eastAsiaTheme="minorEastAsia"/>
          <w:color w:val="272727" w:themeColor="text1" w:themeTint="D8"/>
          <w:kern w:val="24"/>
          <w:szCs w:val="24"/>
          <w:lang w:val="en-US" w:eastAsia="en-GB"/>
        </w:rPr>
        <w:t xml:space="preserve">edicines </w:t>
      </w:r>
      <w:r w:rsidR="001619FF" w:rsidRPr="002B52BC">
        <w:rPr>
          <w:rFonts w:eastAsiaTheme="minorEastAsia"/>
          <w:color w:val="272727" w:themeColor="text1" w:themeTint="D8"/>
          <w:kern w:val="24"/>
          <w:szCs w:val="24"/>
          <w:lang w:val="en-US" w:eastAsia="en-GB"/>
        </w:rPr>
        <w:t>O</w:t>
      </w:r>
      <w:r w:rsidR="00532648" w:rsidRPr="002B52BC">
        <w:rPr>
          <w:rFonts w:eastAsiaTheme="minorEastAsia"/>
          <w:color w:val="272727" w:themeColor="text1" w:themeTint="D8"/>
          <w:kern w:val="24"/>
          <w:szCs w:val="24"/>
          <w:lang w:val="en-US" w:eastAsia="en-GB"/>
        </w:rPr>
        <w:t xml:space="preserve">ptimisation </w:t>
      </w:r>
      <w:r w:rsidR="001619FF" w:rsidRPr="002B52BC">
        <w:rPr>
          <w:rFonts w:eastAsiaTheme="minorEastAsia"/>
          <w:color w:val="272727" w:themeColor="text1" w:themeTint="D8"/>
          <w:kern w:val="24"/>
          <w:szCs w:val="24"/>
          <w:lang w:val="en-US" w:eastAsia="en-GB"/>
        </w:rPr>
        <w:t>S</w:t>
      </w:r>
      <w:r w:rsidR="008C272C" w:rsidRPr="002B52BC">
        <w:rPr>
          <w:rFonts w:eastAsiaTheme="minorEastAsia"/>
          <w:color w:val="272727" w:themeColor="text1" w:themeTint="D8"/>
          <w:kern w:val="24"/>
          <w:szCs w:val="24"/>
          <w:lang w:val="en-US" w:eastAsia="en-GB"/>
        </w:rPr>
        <w:t>cheme</w:t>
      </w:r>
      <w:r w:rsidR="00503AEA" w:rsidRPr="002B52BC">
        <w:rPr>
          <w:rFonts w:eastAsiaTheme="minorEastAsia"/>
          <w:color w:val="272727" w:themeColor="text1" w:themeTint="D8"/>
          <w:kern w:val="24"/>
          <w:szCs w:val="24"/>
          <w:lang w:val="en-US" w:eastAsia="en-GB"/>
        </w:rPr>
        <w:t xml:space="preserve">. </w:t>
      </w:r>
      <w:r w:rsidR="00DA42B6" w:rsidRPr="002B52BC">
        <w:rPr>
          <w:rFonts w:eastAsiaTheme="minorEastAsia"/>
          <w:color w:val="272727" w:themeColor="text1" w:themeTint="D8"/>
          <w:kern w:val="24"/>
          <w:szCs w:val="24"/>
          <w:lang w:val="en-US" w:eastAsia="en-GB"/>
        </w:rPr>
        <w:t xml:space="preserve">Any residual risk </w:t>
      </w:r>
      <w:r w:rsidR="009D593F" w:rsidRPr="002B52BC">
        <w:rPr>
          <w:rFonts w:eastAsiaTheme="minorEastAsia"/>
          <w:color w:val="272727" w:themeColor="text1" w:themeTint="D8"/>
          <w:kern w:val="24"/>
          <w:szCs w:val="24"/>
          <w:lang w:val="en-US" w:eastAsia="en-GB"/>
        </w:rPr>
        <w:t xml:space="preserve">is being mitigated </w:t>
      </w:r>
      <w:r w:rsidR="00C46EF6" w:rsidRPr="002B52BC">
        <w:rPr>
          <w:rFonts w:eastAsiaTheme="minorEastAsia"/>
          <w:color w:val="272727" w:themeColor="text1" w:themeTint="D8"/>
          <w:kern w:val="24"/>
          <w:szCs w:val="24"/>
          <w:lang w:val="en-US" w:eastAsia="en-GB"/>
        </w:rPr>
        <w:t xml:space="preserve">locally </w:t>
      </w:r>
      <w:r w:rsidR="009D593F" w:rsidRPr="002B52BC">
        <w:rPr>
          <w:rFonts w:eastAsiaTheme="minorEastAsia"/>
          <w:color w:val="272727" w:themeColor="text1" w:themeTint="D8"/>
          <w:kern w:val="24"/>
          <w:szCs w:val="24"/>
          <w:lang w:val="en-US" w:eastAsia="en-GB"/>
        </w:rPr>
        <w:t xml:space="preserve">through </w:t>
      </w:r>
      <w:r w:rsidR="000A31F7" w:rsidRPr="002B52BC">
        <w:rPr>
          <w:rFonts w:eastAsiaTheme="minorEastAsia"/>
          <w:color w:val="272727" w:themeColor="text1" w:themeTint="D8"/>
          <w:kern w:val="24"/>
          <w:szCs w:val="24"/>
          <w:lang w:val="en-US" w:eastAsia="en-GB"/>
        </w:rPr>
        <w:t xml:space="preserve">collaboration via </w:t>
      </w:r>
      <w:r w:rsidR="00C971C0" w:rsidRPr="002B52BC">
        <w:rPr>
          <w:rFonts w:eastAsiaTheme="minorEastAsia"/>
          <w:color w:val="272727" w:themeColor="text1" w:themeTint="D8"/>
          <w:kern w:val="24"/>
          <w:szCs w:val="24"/>
          <w:lang w:val="en-US" w:eastAsia="en-GB"/>
        </w:rPr>
        <w:t xml:space="preserve">relevant </w:t>
      </w:r>
      <w:r w:rsidR="009D593F" w:rsidRPr="002B52BC">
        <w:rPr>
          <w:rFonts w:eastAsiaTheme="minorEastAsia"/>
          <w:color w:val="272727" w:themeColor="text1" w:themeTint="D8"/>
          <w:kern w:val="24"/>
          <w:szCs w:val="24"/>
          <w:lang w:val="en-US" w:eastAsia="en-GB"/>
        </w:rPr>
        <w:t>primary and secondary care</w:t>
      </w:r>
      <w:r w:rsidR="00C971C0" w:rsidRPr="002B52BC">
        <w:rPr>
          <w:rFonts w:eastAsiaTheme="minorEastAsia"/>
          <w:color w:val="272727" w:themeColor="text1" w:themeTint="D8"/>
          <w:kern w:val="24"/>
          <w:szCs w:val="24"/>
          <w:lang w:val="en-US" w:eastAsia="en-GB"/>
        </w:rPr>
        <w:t xml:space="preserve"> leads.</w:t>
      </w:r>
      <w:r w:rsidR="009D593F">
        <w:rPr>
          <w:rFonts w:eastAsiaTheme="minorEastAsia"/>
          <w:color w:val="272727" w:themeColor="text1" w:themeTint="D8"/>
          <w:kern w:val="24"/>
          <w:szCs w:val="24"/>
          <w:lang w:val="en-US" w:eastAsia="en-GB"/>
        </w:rPr>
        <w:t xml:space="preserve"> </w:t>
      </w:r>
      <w:r w:rsidR="000A31F7">
        <w:rPr>
          <w:rFonts w:eastAsiaTheme="minorEastAsia"/>
          <w:color w:val="272727" w:themeColor="text1" w:themeTint="D8"/>
          <w:kern w:val="24"/>
          <w:szCs w:val="24"/>
          <w:lang w:val="en-US" w:eastAsia="en-GB"/>
        </w:rPr>
        <w:t xml:space="preserve"> </w:t>
      </w:r>
    </w:p>
    <w:p w14:paraId="5D739B56" w14:textId="77777777" w:rsidR="00D3367D" w:rsidRDefault="00D3367D" w:rsidP="00E77565">
      <w:pPr>
        <w:spacing w:after="0" w:line="240" w:lineRule="auto"/>
        <w:rPr>
          <w:rFonts w:eastAsiaTheme="minorEastAsia"/>
          <w:b/>
          <w:bCs/>
          <w:color w:val="272727" w:themeColor="text1" w:themeTint="D8"/>
          <w:kern w:val="24"/>
          <w:szCs w:val="24"/>
          <w:lang w:val="en-US" w:eastAsia="en-GB"/>
        </w:rPr>
      </w:pPr>
    </w:p>
    <w:p w14:paraId="689488D4" w14:textId="41D39F88" w:rsidR="00E92653" w:rsidRPr="00E77565" w:rsidRDefault="002C0B58" w:rsidP="00E77565">
      <w:pPr>
        <w:spacing w:after="0" w:line="240" w:lineRule="auto"/>
        <w:rPr>
          <w:rFonts w:eastAsia="Times New Roman"/>
          <w:b/>
          <w:bCs/>
          <w:szCs w:val="24"/>
          <w:lang w:eastAsia="en-GB"/>
        </w:rPr>
      </w:pPr>
      <w:r>
        <w:rPr>
          <w:rFonts w:eastAsiaTheme="minorEastAsia"/>
          <w:b/>
          <w:bCs/>
          <w:color w:val="272727" w:themeColor="text1" w:themeTint="D8"/>
          <w:kern w:val="24"/>
          <w:szCs w:val="24"/>
          <w:lang w:val="en-US" w:eastAsia="en-GB"/>
        </w:rPr>
        <w:t>5</w:t>
      </w:r>
      <w:r w:rsidR="00E77565">
        <w:rPr>
          <w:rFonts w:eastAsiaTheme="minorEastAsia"/>
          <w:b/>
          <w:bCs/>
          <w:color w:val="272727" w:themeColor="text1" w:themeTint="D8"/>
          <w:kern w:val="24"/>
          <w:szCs w:val="24"/>
          <w:lang w:val="en-US" w:eastAsia="en-GB"/>
        </w:rPr>
        <w:t>.</w:t>
      </w:r>
      <w:r w:rsidR="00E77565">
        <w:rPr>
          <w:rFonts w:eastAsiaTheme="minorEastAsia"/>
          <w:b/>
          <w:bCs/>
          <w:color w:val="272727" w:themeColor="text1" w:themeTint="D8"/>
          <w:kern w:val="24"/>
          <w:szCs w:val="24"/>
          <w:lang w:val="en-US" w:eastAsia="en-GB"/>
        </w:rPr>
        <w:tab/>
      </w:r>
      <w:r w:rsidR="00E92653" w:rsidRPr="00E77565">
        <w:rPr>
          <w:rFonts w:eastAsiaTheme="minorEastAsia"/>
          <w:b/>
          <w:bCs/>
          <w:color w:val="272727" w:themeColor="text1" w:themeTint="D8"/>
          <w:kern w:val="24"/>
          <w:szCs w:val="24"/>
          <w:lang w:val="en-US" w:eastAsia="en-GB"/>
        </w:rPr>
        <w:t>Recommendations</w:t>
      </w:r>
    </w:p>
    <w:p w14:paraId="25521F22" w14:textId="71110416" w:rsidR="00E92653" w:rsidRPr="00972E8A" w:rsidRDefault="002C0B58" w:rsidP="007B62EC">
      <w:pPr>
        <w:tabs>
          <w:tab w:val="left" w:pos="426"/>
        </w:tabs>
        <w:spacing w:before="100" w:after="0" w:line="240" w:lineRule="auto"/>
        <w:ind w:left="567" w:hanging="567"/>
        <w:rPr>
          <w:rFonts w:eastAsia="Times New Roman"/>
          <w:szCs w:val="24"/>
          <w:lang w:eastAsia="en-GB"/>
        </w:rPr>
      </w:pPr>
      <w:r>
        <w:rPr>
          <w:rFonts w:eastAsiaTheme="minorEastAsia"/>
          <w:color w:val="272727" w:themeColor="text1" w:themeTint="D8"/>
          <w:kern w:val="24"/>
          <w:szCs w:val="24"/>
          <w:lang w:eastAsia="en-GB"/>
        </w:rPr>
        <w:t>5</w:t>
      </w:r>
      <w:r w:rsidR="007B62EC">
        <w:rPr>
          <w:rFonts w:eastAsiaTheme="minorEastAsia"/>
          <w:color w:val="272727" w:themeColor="text1" w:themeTint="D8"/>
          <w:kern w:val="24"/>
          <w:szCs w:val="24"/>
          <w:lang w:eastAsia="en-GB"/>
        </w:rPr>
        <w:t>.1</w:t>
      </w:r>
      <w:r w:rsidR="007B62EC">
        <w:rPr>
          <w:rFonts w:eastAsiaTheme="minorEastAsia"/>
          <w:color w:val="272727" w:themeColor="text1" w:themeTint="D8"/>
          <w:kern w:val="24"/>
          <w:szCs w:val="24"/>
          <w:lang w:eastAsia="en-GB"/>
        </w:rPr>
        <w:tab/>
        <w:t xml:space="preserve">   </w:t>
      </w:r>
      <w:r w:rsidR="00E92653" w:rsidRPr="00972E8A">
        <w:rPr>
          <w:rFonts w:eastAsiaTheme="minorEastAsia"/>
          <w:color w:val="272727" w:themeColor="text1" w:themeTint="D8"/>
          <w:kern w:val="24"/>
          <w:szCs w:val="24"/>
          <w:lang w:val="en-US" w:eastAsia="en-GB"/>
        </w:rPr>
        <w:t xml:space="preserve">The </w:t>
      </w:r>
      <w:r w:rsidR="00A130FF">
        <w:rPr>
          <w:rFonts w:eastAsiaTheme="minorEastAsia"/>
          <w:color w:val="272727" w:themeColor="text1" w:themeTint="D8"/>
          <w:kern w:val="24"/>
          <w:szCs w:val="24"/>
          <w:lang w:val="en-US" w:eastAsia="en-GB"/>
        </w:rPr>
        <w:t>committee</w:t>
      </w:r>
      <w:r w:rsidR="00E92653" w:rsidRPr="00972E8A">
        <w:rPr>
          <w:rFonts w:eastAsiaTheme="minorEastAsia"/>
          <w:color w:val="272727" w:themeColor="text1" w:themeTint="D8"/>
          <w:kern w:val="24"/>
          <w:szCs w:val="24"/>
          <w:lang w:val="en-US" w:eastAsia="en-GB"/>
        </w:rPr>
        <w:t xml:space="preserve"> is requested to:</w:t>
      </w:r>
    </w:p>
    <w:p w14:paraId="7C44D69A" w14:textId="77777777" w:rsidR="00D753BC" w:rsidRPr="00D24D12" w:rsidRDefault="00D753BC" w:rsidP="00D753BC">
      <w:pPr>
        <w:pStyle w:val="ListParagraph"/>
        <w:numPr>
          <w:ilvl w:val="0"/>
          <w:numId w:val="7"/>
        </w:numPr>
        <w:spacing w:before="120"/>
        <w:rPr>
          <w:rFonts w:eastAsia="Times New Roman"/>
          <w:szCs w:val="24"/>
          <w:lang w:eastAsia="en-GB"/>
        </w:rPr>
      </w:pPr>
      <w:r>
        <w:rPr>
          <w:rFonts w:eastAsiaTheme="minorEastAsia"/>
          <w:b/>
          <w:bCs/>
          <w:color w:val="000000" w:themeColor="text1"/>
          <w:kern w:val="24"/>
          <w:szCs w:val="24"/>
          <w:lang w:val="en-US" w:eastAsia="en-GB"/>
        </w:rPr>
        <w:t xml:space="preserve">Note </w:t>
      </w:r>
      <w:r>
        <w:rPr>
          <w:rFonts w:eastAsiaTheme="minorEastAsia"/>
          <w:color w:val="000000" w:themeColor="text1"/>
          <w:kern w:val="24"/>
          <w:szCs w:val="24"/>
          <w:lang w:val="en-US" w:eastAsia="en-GB"/>
        </w:rPr>
        <w:t>the contents of the report.</w:t>
      </w:r>
    </w:p>
    <w:p w14:paraId="77E9CD93" w14:textId="77777777" w:rsidR="00D753BC" w:rsidRPr="00F3277A" w:rsidRDefault="00D753BC" w:rsidP="00D753BC">
      <w:pPr>
        <w:pStyle w:val="ListParagraph"/>
        <w:numPr>
          <w:ilvl w:val="0"/>
          <w:numId w:val="7"/>
        </w:numPr>
        <w:spacing w:before="120"/>
        <w:rPr>
          <w:rFonts w:eastAsia="Times New Roman"/>
          <w:szCs w:val="24"/>
          <w:lang w:eastAsia="en-GB"/>
        </w:rPr>
      </w:pPr>
      <w:r>
        <w:rPr>
          <w:rFonts w:eastAsiaTheme="minorEastAsia"/>
          <w:b/>
          <w:bCs/>
          <w:color w:val="000000" w:themeColor="text1"/>
          <w:kern w:val="24"/>
          <w:szCs w:val="24"/>
          <w:lang w:val="en-US" w:eastAsia="en-GB"/>
        </w:rPr>
        <w:t xml:space="preserve">Note </w:t>
      </w:r>
      <w:r>
        <w:rPr>
          <w:rFonts w:eastAsiaTheme="minorEastAsia"/>
          <w:color w:val="000000" w:themeColor="text1"/>
          <w:kern w:val="24"/>
          <w:szCs w:val="24"/>
          <w:lang w:val="en-US" w:eastAsia="en-GB"/>
        </w:rPr>
        <w:t>the risk management activity undertaken during the reporting period.</w:t>
      </w:r>
    </w:p>
    <w:p w14:paraId="5F807583" w14:textId="699DC199" w:rsidR="00D753BC" w:rsidRPr="006E4863" w:rsidRDefault="00D753BC" w:rsidP="00D753BC">
      <w:pPr>
        <w:pStyle w:val="ListParagraph"/>
        <w:numPr>
          <w:ilvl w:val="0"/>
          <w:numId w:val="7"/>
        </w:numPr>
        <w:spacing w:before="120"/>
        <w:rPr>
          <w:rFonts w:eastAsia="Times New Roman"/>
          <w:szCs w:val="24"/>
          <w:lang w:eastAsia="en-GB"/>
        </w:rPr>
      </w:pPr>
      <w:r>
        <w:rPr>
          <w:rFonts w:eastAsiaTheme="minorEastAsia"/>
          <w:b/>
          <w:bCs/>
          <w:color w:val="000000" w:themeColor="text1"/>
          <w:kern w:val="24"/>
          <w:szCs w:val="24"/>
          <w:lang w:val="en-US" w:eastAsia="en-GB"/>
        </w:rPr>
        <w:t xml:space="preserve">Review </w:t>
      </w:r>
      <w:r>
        <w:rPr>
          <w:rFonts w:eastAsiaTheme="minorEastAsia"/>
          <w:color w:val="000000" w:themeColor="text1"/>
          <w:kern w:val="24"/>
          <w:szCs w:val="24"/>
          <w:lang w:val="en-US" w:eastAsia="en-GB"/>
        </w:rPr>
        <w:t xml:space="preserve">the risks relating to the business of the </w:t>
      </w:r>
      <w:r w:rsidR="00B87A3B">
        <w:rPr>
          <w:rFonts w:eastAsiaTheme="minorEastAsia"/>
          <w:color w:val="000000" w:themeColor="text1"/>
          <w:kern w:val="24"/>
          <w:szCs w:val="24"/>
          <w:lang w:val="en-US" w:eastAsia="en-GB"/>
        </w:rPr>
        <w:t xml:space="preserve">Primary Care Contracts Sub-Committee </w:t>
      </w:r>
      <w:r>
        <w:rPr>
          <w:rFonts w:eastAsiaTheme="minorEastAsia"/>
          <w:color w:val="000000" w:themeColor="text1"/>
          <w:kern w:val="24"/>
          <w:szCs w:val="24"/>
          <w:lang w:val="en-US" w:eastAsia="en-GB"/>
        </w:rPr>
        <w:t>(Appendix 1).</w:t>
      </w:r>
    </w:p>
    <w:p w14:paraId="3448F8AD" w14:textId="32AFC148" w:rsidR="006E4863" w:rsidRPr="00F3277A" w:rsidRDefault="006E4863" w:rsidP="00D753BC">
      <w:pPr>
        <w:pStyle w:val="ListParagraph"/>
        <w:numPr>
          <w:ilvl w:val="0"/>
          <w:numId w:val="7"/>
        </w:numPr>
        <w:spacing w:before="120"/>
        <w:rPr>
          <w:rFonts w:eastAsia="Times New Roman"/>
          <w:szCs w:val="24"/>
          <w:lang w:eastAsia="en-GB"/>
        </w:rPr>
      </w:pPr>
      <w:r>
        <w:rPr>
          <w:rFonts w:eastAsiaTheme="minorEastAsia"/>
          <w:b/>
          <w:bCs/>
          <w:color w:val="000000" w:themeColor="text1"/>
          <w:kern w:val="24"/>
          <w:szCs w:val="24"/>
          <w:lang w:val="en-US" w:eastAsia="en-GB"/>
        </w:rPr>
        <w:t xml:space="preserve">Note </w:t>
      </w:r>
      <w:r>
        <w:rPr>
          <w:rFonts w:eastAsiaTheme="minorEastAsia"/>
          <w:color w:val="000000" w:themeColor="text1"/>
          <w:kern w:val="24"/>
          <w:szCs w:val="24"/>
          <w:lang w:val="en-US" w:eastAsia="en-GB"/>
        </w:rPr>
        <w:t xml:space="preserve">the recommendation </w:t>
      </w:r>
      <w:r w:rsidR="009079E7">
        <w:rPr>
          <w:rFonts w:eastAsiaTheme="minorEastAsia"/>
          <w:color w:val="000000" w:themeColor="text1"/>
          <w:kern w:val="24"/>
          <w:szCs w:val="24"/>
          <w:lang w:val="en-US" w:eastAsia="en-GB"/>
        </w:rPr>
        <w:t xml:space="preserve">to </w:t>
      </w:r>
      <w:r w:rsidR="008A3564">
        <w:rPr>
          <w:rFonts w:eastAsiaTheme="minorEastAsia"/>
          <w:color w:val="000000" w:themeColor="text1"/>
          <w:kern w:val="24"/>
          <w:szCs w:val="24"/>
          <w:lang w:val="en-US" w:eastAsia="en-GB"/>
        </w:rPr>
        <w:t xml:space="preserve">EMT for </w:t>
      </w:r>
      <w:r>
        <w:rPr>
          <w:rFonts w:eastAsiaTheme="minorEastAsia"/>
          <w:color w:val="000000" w:themeColor="text1"/>
          <w:kern w:val="24"/>
          <w:szCs w:val="24"/>
          <w:lang w:val="en-US" w:eastAsia="en-GB"/>
        </w:rPr>
        <w:t>clos</w:t>
      </w:r>
      <w:r w:rsidR="008A3564">
        <w:rPr>
          <w:rFonts w:eastAsiaTheme="minorEastAsia"/>
          <w:color w:val="000000" w:themeColor="text1"/>
          <w:kern w:val="24"/>
          <w:szCs w:val="24"/>
          <w:lang w:val="en-US" w:eastAsia="en-GB"/>
        </w:rPr>
        <w:t>ure</w:t>
      </w:r>
      <w:r>
        <w:rPr>
          <w:rFonts w:eastAsiaTheme="minorEastAsia"/>
          <w:color w:val="000000" w:themeColor="text1"/>
          <w:kern w:val="24"/>
          <w:szCs w:val="24"/>
          <w:lang w:val="en-US" w:eastAsia="en-GB"/>
        </w:rPr>
        <w:t xml:space="preserve"> </w:t>
      </w:r>
      <w:r w:rsidR="008A3564">
        <w:rPr>
          <w:rFonts w:eastAsiaTheme="minorEastAsia"/>
          <w:color w:val="000000" w:themeColor="text1"/>
          <w:kern w:val="24"/>
          <w:szCs w:val="24"/>
          <w:lang w:val="en-US" w:eastAsia="en-GB"/>
        </w:rPr>
        <w:t xml:space="preserve">of </w:t>
      </w:r>
      <w:r>
        <w:rPr>
          <w:rFonts w:eastAsiaTheme="minorEastAsia"/>
          <w:color w:val="000000" w:themeColor="text1"/>
          <w:kern w:val="24"/>
          <w:szCs w:val="24"/>
          <w:lang w:val="en-US" w:eastAsia="en-GB"/>
        </w:rPr>
        <w:t>Risk ICB009</w:t>
      </w:r>
      <w:r w:rsidR="008A3564">
        <w:rPr>
          <w:rFonts w:eastAsiaTheme="minorEastAsia"/>
          <w:color w:val="000000" w:themeColor="text1"/>
          <w:kern w:val="24"/>
          <w:szCs w:val="24"/>
          <w:lang w:val="en-US" w:eastAsia="en-GB"/>
        </w:rPr>
        <w:t>.</w:t>
      </w:r>
      <w:r>
        <w:rPr>
          <w:rFonts w:eastAsiaTheme="minorEastAsia"/>
          <w:color w:val="000000" w:themeColor="text1"/>
          <w:kern w:val="24"/>
          <w:szCs w:val="24"/>
          <w:lang w:val="en-US" w:eastAsia="en-GB"/>
        </w:rPr>
        <w:t xml:space="preserve"> </w:t>
      </w:r>
    </w:p>
    <w:p w14:paraId="5E291F32" w14:textId="4F5E37DE" w:rsidR="00D753BC" w:rsidRPr="00F3277A" w:rsidRDefault="00D753BC" w:rsidP="00D753BC">
      <w:pPr>
        <w:pStyle w:val="ListParagraph"/>
        <w:numPr>
          <w:ilvl w:val="0"/>
          <w:numId w:val="7"/>
        </w:numPr>
        <w:spacing w:before="120"/>
        <w:rPr>
          <w:rFonts w:eastAsia="Times New Roman"/>
          <w:b/>
          <w:bCs/>
          <w:szCs w:val="24"/>
          <w:lang w:eastAsia="en-GB"/>
        </w:rPr>
      </w:pPr>
      <w:r w:rsidRPr="00F3277A">
        <w:rPr>
          <w:rFonts w:eastAsia="Times New Roman"/>
          <w:b/>
          <w:bCs/>
          <w:szCs w:val="24"/>
          <w:lang w:eastAsia="en-GB"/>
        </w:rPr>
        <w:t xml:space="preserve">Note for information </w:t>
      </w:r>
      <w:r>
        <w:rPr>
          <w:rFonts w:eastAsia="Times New Roman"/>
          <w:szCs w:val="24"/>
          <w:lang w:eastAsia="en-GB"/>
        </w:rPr>
        <w:t xml:space="preserve">all risks </w:t>
      </w:r>
      <w:r w:rsidR="008A3564">
        <w:rPr>
          <w:rFonts w:eastAsia="Times New Roman"/>
          <w:szCs w:val="24"/>
          <w:lang w:eastAsia="en-GB"/>
        </w:rPr>
        <w:t xml:space="preserve">currently </w:t>
      </w:r>
      <w:r>
        <w:rPr>
          <w:rFonts w:eastAsia="Times New Roman"/>
          <w:szCs w:val="24"/>
          <w:lang w:eastAsia="en-GB"/>
        </w:rPr>
        <w:t xml:space="preserve">held on the </w:t>
      </w:r>
      <w:r w:rsidR="008A3564">
        <w:rPr>
          <w:rFonts w:eastAsia="Times New Roman"/>
          <w:szCs w:val="24"/>
          <w:lang w:eastAsia="en-GB"/>
        </w:rPr>
        <w:t xml:space="preserve">ICB’s </w:t>
      </w:r>
      <w:r>
        <w:rPr>
          <w:rFonts w:eastAsia="Times New Roman"/>
          <w:szCs w:val="24"/>
          <w:lang w:eastAsia="en-GB"/>
        </w:rPr>
        <w:t>ORR (Appendix 2).</w:t>
      </w:r>
    </w:p>
    <w:p w14:paraId="2D416F67" w14:textId="77777777" w:rsidR="00B87A3B" w:rsidRDefault="00B87A3B" w:rsidP="001042F4">
      <w:pPr>
        <w:spacing w:before="120" w:line="240" w:lineRule="auto"/>
        <w:rPr>
          <w:szCs w:val="24"/>
          <w:u w:val="single"/>
        </w:rPr>
      </w:pPr>
    </w:p>
    <w:p w14:paraId="18C22553" w14:textId="6418FA26" w:rsidR="00DB1C72" w:rsidRPr="00B87A3B" w:rsidRDefault="00DB1C72" w:rsidP="001042F4">
      <w:pPr>
        <w:spacing w:before="120" w:line="240" w:lineRule="auto"/>
        <w:rPr>
          <w:szCs w:val="24"/>
          <w:u w:val="single"/>
        </w:rPr>
      </w:pPr>
      <w:r w:rsidRPr="00B87A3B">
        <w:rPr>
          <w:szCs w:val="24"/>
          <w:u w:val="single"/>
        </w:rPr>
        <w:t>Claire Moore</w:t>
      </w:r>
    </w:p>
    <w:p w14:paraId="4549E619" w14:textId="202DD146" w:rsidR="00DB1C72" w:rsidRPr="00B87A3B" w:rsidRDefault="00DB1C72" w:rsidP="00DB1C72">
      <w:pPr>
        <w:spacing w:line="240" w:lineRule="auto"/>
        <w:rPr>
          <w:szCs w:val="24"/>
          <w:u w:val="single"/>
        </w:rPr>
      </w:pPr>
      <w:r w:rsidRPr="00B87A3B">
        <w:rPr>
          <w:szCs w:val="24"/>
          <w:u w:val="single"/>
        </w:rPr>
        <w:t>Head of Risk, Assurance and Delivery</w:t>
      </w:r>
    </w:p>
    <w:p w14:paraId="531AC085" w14:textId="2F0EDC1C" w:rsidR="00DB1C72" w:rsidRDefault="00DB1C72" w:rsidP="00DB1C72">
      <w:pPr>
        <w:spacing w:line="240" w:lineRule="auto"/>
        <w:rPr>
          <w:szCs w:val="24"/>
        </w:rPr>
      </w:pPr>
    </w:p>
    <w:p w14:paraId="07EF3353" w14:textId="77777777" w:rsidR="00477F3E" w:rsidRDefault="00477F3E" w:rsidP="00DB1C72">
      <w:pPr>
        <w:spacing w:line="240" w:lineRule="auto"/>
        <w:rPr>
          <w:szCs w:val="24"/>
        </w:rPr>
      </w:pPr>
    </w:p>
    <w:p w14:paraId="0FC64A77" w14:textId="77777777" w:rsidR="00477F3E" w:rsidRDefault="00477F3E" w:rsidP="00DB1C72">
      <w:pPr>
        <w:spacing w:line="240" w:lineRule="auto"/>
        <w:rPr>
          <w:szCs w:val="24"/>
        </w:rPr>
      </w:pPr>
    </w:p>
    <w:p w14:paraId="4F63EAC7" w14:textId="77777777" w:rsidR="00FF34F0" w:rsidRDefault="00FF34F0" w:rsidP="00DB1C72">
      <w:pPr>
        <w:spacing w:line="240" w:lineRule="auto"/>
        <w:rPr>
          <w:szCs w:val="24"/>
        </w:rPr>
      </w:pPr>
    </w:p>
    <w:p w14:paraId="7AA44939" w14:textId="77777777" w:rsidR="00064A45" w:rsidRDefault="00064A45" w:rsidP="00DB1C72">
      <w:pPr>
        <w:spacing w:line="240" w:lineRule="auto"/>
        <w:rPr>
          <w:szCs w:val="24"/>
        </w:rPr>
      </w:pPr>
    </w:p>
    <w:p w14:paraId="304190BE" w14:textId="77777777" w:rsidR="00064A45" w:rsidRDefault="00064A45" w:rsidP="00DB1C72">
      <w:pPr>
        <w:spacing w:line="240" w:lineRule="auto"/>
        <w:rPr>
          <w:szCs w:val="24"/>
        </w:rPr>
      </w:pPr>
    </w:p>
    <w:p w14:paraId="516120EB" w14:textId="77777777" w:rsidR="00064A45" w:rsidRDefault="00064A45" w:rsidP="00DB1C72">
      <w:pPr>
        <w:spacing w:line="240" w:lineRule="auto"/>
        <w:rPr>
          <w:szCs w:val="24"/>
        </w:rPr>
      </w:pPr>
    </w:p>
    <w:p w14:paraId="068D7660" w14:textId="0B054CDB" w:rsidR="00E90C54" w:rsidRDefault="00AE7DA8" w:rsidP="00AE7DA8">
      <w:pPr>
        <w:spacing w:line="240" w:lineRule="auto"/>
        <w:jc w:val="right"/>
        <w:rPr>
          <w:b/>
          <w:bCs/>
          <w:szCs w:val="24"/>
        </w:rPr>
      </w:pPr>
      <w:r w:rsidRPr="00AE7DA8">
        <w:rPr>
          <w:b/>
          <w:bCs/>
          <w:szCs w:val="24"/>
        </w:rPr>
        <w:t>Appendix 2</w:t>
      </w:r>
    </w:p>
    <w:p w14:paraId="2F4E0BAA" w14:textId="5A77766D" w:rsidR="00AE7DA8" w:rsidRDefault="00D011DA" w:rsidP="00D011DA">
      <w:pPr>
        <w:spacing w:line="240" w:lineRule="auto"/>
        <w:jc w:val="center"/>
        <w:rPr>
          <w:b/>
          <w:bCs/>
          <w:szCs w:val="24"/>
        </w:rPr>
      </w:pPr>
      <w:r>
        <w:rPr>
          <w:b/>
          <w:bCs/>
          <w:szCs w:val="24"/>
        </w:rPr>
        <w:t xml:space="preserve">High level summary dashboard of all </w:t>
      </w:r>
      <w:r w:rsidR="00D42A23">
        <w:rPr>
          <w:b/>
          <w:bCs/>
          <w:szCs w:val="24"/>
        </w:rPr>
        <w:t>risks held on Operational Risk Register (Corporate Oversight)</w:t>
      </w:r>
    </w:p>
    <w:p w14:paraId="6BDA5BAF" w14:textId="77777777" w:rsidR="00AB34FE" w:rsidRDefault="00AB34FE" w:rsidP="00D011DA">
      <w:pPr>
        <w:spacing w:line="240" w:lineRule="auto"/>
        <w:jc w:val="center"/>
        <w:rPr>
          <w:b/>
          <w:bCs/>
          <w:szCs w:val="24"/>
        </w:rPr>
      </w:pPr>
    </w:p>
    <w:p w14:paraId="0F2E1DE9" w14:textId="15F3B8B5" w:rsidR="00AB34FE" w:rsidRDefault="001A075B" w:rsidP="001A075B">
      <w:pPr>
        <w:spacing w:line="240" w:lineRule="auto"/>
        <w:ind w:hanging="709"/>
        <w:jc w:val="both"/>
        <w:rPr>
          <w:b/>
          <w:bCs/>
          <w:szCs w:val="24"/>
        </w:rPr>
      </w:pPr>
      <w:r w:rsidRPr="00C72A55">
        <w:rPr>
          <w:b/>
          <w:bCs/>
          <w:noProof/>
        </w:rPr>
        <w:drawing>
          <wp:inline distT="0" distB="0" distL="0" distR="0" wp14:anchorId="4201B053" wp14:editId="5CD24DF3">
            <wp:extent cx="6858776" cy="4343400"/>
            <wp:effectExtent l="0" t="0" r="0" b="0"/>
            <wp:docPr id="3535501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50130" name="Picture 1" descr="A screenshot of a computer&#10;&#10;AI-generated content may be incorrect."/>
                    <pic:cNvPicPr/>
                  </pic:nvPicPr>
                  <pic:blipFill>
                    <a:blip r:embed="rId11"/>
                    <a:stretch>
                      <a:fillRect/>
                    </a:stretch>
                  </pic:blipFill>
                  <pic:spPr>
                    <a:xfrm>
                      <a:off x="0" y="0"/>
                      <a:ext cx="6878021" cy="4355587"/>
                    </a:xfrm>
                    <a:prstGeom prst="rect">
                      <a:avLst/>
                    </a:prstGeom>
                  </pic:spPr>
                </pic:pic>
              </a:graphicData>
            </a:graphic>
          </wp:inline>
        </w:drawing>
      </w:r>
    </w:p>
    <w:p w14:paraId="24C35535" w14:textId="150FBB7F" w:rsidR="00AB34FE" w:rsidRDefault="00AB34FE" w:rsidP="00D011DA">
      <w:pPr>
        <w:spacing w:line="240" w:lineRule="auto"/>
        <w:jc w:val="center"/>
        <w:rPr>
          <w:b/>
          <w:bCs/>
          <w:szCs w:val="24"/>
        </w:rPr>
      </w:pPr>
    </w:p>
    <w:sectPr w:rsidR="00AB34FE" w:rsidSect="00107C92">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395B" w14:textId="77777777" w:rsidR="00D22FC9" w:rsidRDefault="00D22FC9" w:rsidP="00811A35">
      <w:pPr>
        <w:spacing w:after="0" w:line="240" w:lineRule="auto"/>
      </w:pPr>
      <w:r>
        <w:separator/>
      </w:r>
    </w:p>
  </w:endnote>
  <w:endnote w:type="continuationSeparator" w:id="0">
    <w:p w14:paraId="41E85EC3" w14:textId="77777777" w:rsidR="00D22FC9" w:rsidRDefault="00D22FC9" w:rsidP="00811A35">
      <w:pPr>
        <w:spacing w:after="0" w:line="240" w:lineRule="auto"/>
      </w:pPr>
      <w:r>
        <w:continuationSeparator/>
      </w:r>
    </w:p>
  </w:endnote>
  <w:endnote w:type="continuationNotice" w:id="1">
    <w:p w14:paraId="2766432D" w14:textId="77777777" w:rsidR="00D22FC9" w:rsidRDefault="00D22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01A8" w14:textId="77777777" w:rsidR="00172F87" w:rsidRDefault="00172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47445"/>
      <w:docPartObj>
        <w:docPartGallery w:val="Page Numbers (Bottom of Page)"/>
        <w:docPartUnique/>
      </w:docPartObj>
    </w:sdtPr>
    <w:sdtEndPr>
      <w:rPr>
        <w:noProof/>
      </w:rPr>
    </w:sdtEndPr>
    <w:sdtContent>
      <w:p w14:paraId="149E7C47" w14:textId="77777777" w:rsidR="00CA5ED8" w:rsidRDefault="00CA5ED8">
        <w:pPr>
          <w:pStyle w:val="Footer"/>
          <w:jc w:val="right"/>
        </w:pPr>
        <w:r>
          <w:fldChar w:fldCharType="begin"/>
        </w:r>
        <w:r>
          <w:instrText xml:space="preserve"> PAGE   \* MERGEFORMAT </w:instrText>
        </w:r>
        <w:r>
          <w:fldChar w:fldCharType="separate"/>
        </w:r>
        <w:r w:rsidR="00DE0E3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7C84" w14:textId="77777777" w:rsidR="00172F87" w:rsidRPr="005209E2" w:rsidRDefault="00172F87" w:rsidP="00172F87">
    <w:pPr>
      <w:pStyle w:val="Footer"/>
      <w:jc w:val="center"/>
      <w:rPr>
        <w:sz w:val="16"/>
        <w:szCs w:val="16"/>
      </w:rPr>
    </w:pPr>
    <w:r>
      <w:rPr>
        <w:sz w:val="16"/>
        <w:szCs w:val="16"/>
      </w:rPr>
      <w:t>Committee Report Template Master_V2_May_2023</w:t>
    </w:r>
  </w:p>
  <w:p w14:paraId="20B2D4FB" w14:textId="77777777" w:rsidR="00172F87" w:rsidRDefault="00172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1B64" w14:textId="77777777" w:rsidR="00D22FC9" w:rsidRDefault="00D22FC9" w:rsidP="00811A35">
      <w:pPr>
        <w:spacing w:after="0" w:line="240" w:lineRule="auto"/>
      </w:pPr>
      <w:r>
        <w:separator/>
      </w:r>
    </w:p>
  </w:footnote>
  <w:footnote w:type="continuationSeparator" w:id="0">
    <w:p w14:paraId="43395787" w14:textId="77777777" w:rsidR="00D22FC9" w:rsidRDefault="00D22FC9" w:rsidP="00811A35">
      <w:pPr>
        <w:spacing w:after="0" w:line="240" w:lineRule="auto"/>
      </w:pPr>
      <w:r>
        <w:continuationSeparator/>
      </w:r>
    </w:p>
  </w:footnote>
  <w:footnote w:type="continuationNotice" w:id="1">
    <w:p w14:paraId="638E183D" w14:textId="77777777" w:rsidR="00D22FC9" w:rsidRDefault="00D22F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37BC" w14:textId="77777777" w:rsidR="00172F87" w:rsidRDefault="00172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B9F3" w14:textId="77777777" w:rsidR="00811A35" w:rsidRPr="006E3B6E" w:rsidRDefault="00811A35" w:rsidP="006E3B6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1BA9" w14:textId="77777777" w:rsidR="006E3B6E" w:rsidRDefault="006E3B6E" w:rsidP="006E3B6E">
    <w:pPr>
      <w:pStyle w:val="Header"/>
      <w:jc w:val="right"/>
    </w:pPr>
    <w:r>
      <w:rPr>
        <w:noProof/>
      </w:rPr>
      <w:drawing>
        <wp:inline distT="0" distB="0" distL="0" distR="0" wp14:anchorId="6D36E664" wp14:editId="6E317CD1">
          <wp:extent cx="1591310" cy="1036320"/>
          <wp:effectExtent l="0" t="0" r="8890" b="0"/>
          <wp:docPr id="78542728" name="Picture 7854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1036320"/>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qYv3YLnQ" int2:invalidationBookmarkName="" int2:hashCode="Dr1ZpJyPfLlBq9" int2:id="VDdT846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6CB"/>
    <w:multiLevelType w:val="hybridMultilevel"/>
    <w:tmpl w:val="3F6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E1522"/>
    <w:multiLevelType w:val="hybridMultilevel"/>
    <w:tmpl w:val="C744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005C9"/>
    <w:multiLevelType w:val="hybridMultilevel"/>
    <w:tmpl w:val="9A36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A546A"/>
    <w:multiLevelType w:val="hybridMultilevel"/>
    <w:tmpl w:val="5A0E2D0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4" w15:restartNumberingAfterBreak="0">
    <w:nsid w:val="1B7A5236"/>
    <w:multiLevelType w:val="hybridMultilevel"/>
    <w:tmpl w:val="5DE6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575A0"/>
    <w:multiLevelType w:val="hybridMultilevel"/>
    <w:tmpl w:val="A03A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25750"/>
    <w:multiLevelType w:val="multilevel"/>
    <w:tmpl w:val="B3E2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4B62B5"/>
    <w:multiLevelType w:val="hybridMultilevel"/>
    <w:tmpl w:val="162E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37B75"/>
    <w:multiLevelType w:val="multilevel"/>
    <w:tmpl w:val="19B82770"/>
    <w:lvl w:ilvl="0">
      <w:start w:val="10"/>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9" w15:restartNumberingAfterBreak="0">
    <w:nsid w:val="26622B84"/>
    <w:multiLevelType w:val="hybridMultilevel"/>
    <w:tmpl w:val="57E8C080"/>
    <w:lvl w:ilvl="0" w:tplc="78749688">
      <w:numFmt w:val="bullet"/>
      <w:pStyle w:val="Bulletlis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E3B40"/>
    <w:multiLevelType w:val="hybridMultilevel"/>
    <w:tmpl w:val="9344004E"/>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1" w15:restartNumberingAfterBreak="0">
    <w:nsid w:val="29EF685F"/>
    <w:multiLevelType w:val="hybridMultilevel"/>
    <w:tmpl w:val="C56C4B1A"/>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12" w15:restartNumberingAfterBreak="0">
    <w:nsid w:val="2C0E458B"/>
    <w:multiLevelType w:val="hybridMultilevel"/>
    <w:tmpl w:val="096A95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25077"/>
    <w:multiLevelType w:val="multilevel"/>
    <w:tmpl w:val="6E0C32B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C73F4A"/>
    <w:multiLevelType w:val="hybridMultilevel"/>
    <w:tmpl w:val="5F80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24107"/>
    <w:multiLevelType w:val="hybridMultilevel"/>
    <w:tmpl w:val="E344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E43FF9"/>
    <w:multiLevelType w:val="hybridMultilevel"/>
    <w:tmpl w:val="A974397E"/>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7" w15:restartNumberingAfterBreak="0">
    <w:nsid w:val="50842797"/>
    <w:multiLevelType w:val="multilevel"/>
    <w:tmpl w:val="F88826A2"/>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AD39BE"/>
    <w:multiLevelType w:val="multilevel"/>
    <w:tmpl w:val="F5A4581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3D371D"/>
    <w:multiLevelType w:val="hybridMultilevel"/>
    <w:tmpl w:val="0D666622"/>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0" w15:restartNumberingAfterBreak="0">
    <w:nsid w:val="581C0160"/>
    <w:multiLevelType w:val="multilevel"/>
    <w:tmpl w:val="02FC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614094"/>
    <w:multiLevelType w:val="hybridMultilevel"/>
    <w:tmpl w:val="5B9C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E71162"/>
    <w:multiLevelType w:val="hybridMultilevel"/>
    <w:tmpl w:val="FB14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E10250"/>
    <w:multiLevelType w:val="hybridMultilevel"/>
    <w:tmpl w:val="4580A2B6"/>
    <w:lvl w:ilvl="0" w:tplc="08090001">
      <w:start w:val="1"/>
      <w:numFmt w:val="bullet"/>
      <w:lvlText w:val=""/>
      <w:lvlJc w:val="left"/>
      <w:pPr>
        <w:ind w:left="930" w:hanging="360"/>
      </w:pPr>
      <w:rPr>
        <w:rFonts w:ascii="Symbol" w:hAnsi="Symbol" w:hint="default"/>
      </w:rPr>
    </w:lvl>
    <w:lvl w:ilvl="1" w:tplc="08090003">
      <w:start w:val="1"/>
      <w:numFmt w:val="bullet"/>
      <w:lvlText w:val="o"/>
      <w:lvlJc w:val="left"/>
      <w:pPr>
        <w:ind w:left="1650" w:hanging="360"/>
      </w:pPr>
      <w:rPr>
        <w:rFonts w:ascii="Courier New" w:hAnsi="Courier New" w:cs="Courier New" w:hint="default"/>
      </w:rPr>
    </w:lvl>
    <w:lvl w:ilvl="2" w:tplc="08090005">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4" w15:restartNumberingAfterBreak="0">
    <w:nsid w:val="5E400663"/>
    <w:multiLevelType w:val="hybridMultilevel"/>
    <w:tmpl w:val="D340E524"/>
    <w:lvl w:ilvl="0" w:tplc="18D614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0776FD1"/>
    <w:multiLevelType w:val="hybridMultilevel"/>
    <w:tmpl w:val="3A7C02AE"/>
    <w:lvl w:ilvl="0" w:tplc="26B0B18E">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0E1618"/>
    <w:multiLevelType w:val="hybridMultilevel"/>
    <w:tmpl w:val="3474CF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2B92376"/>
    <w:multiLevelType w:val="hybridMultilevel"/>
    <w:tmpl w:val="FE9677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B136F7"/>
    <w:multiLevelType w:val="hybridMultilevel"/>
    <w:tmpl w:val="9762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7A5BED"/>
    <w:multiLevelType w:val="hybridMultilevel"/>
    <w:tmpl w:val="62582228"/>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30" w15:restartNumberingAfterBreak="0">
    <w:nsid w:val="6BB41453"/>
    <w:multiLevelType w:val="hybridMultilevel"/>
    <w:tmpl w:val="E7F67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0735BA"/>
    <w:multiLevelType w:val="hybridMultilevel"/>
    <w:tmpl w:val="F51A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A976FB"/>
    <w:multiLevelType w:val="multilevel"/>
    <w:tmpl w:val="52804992"/>
    <w:lvl w:ilvl="0">
      <w:start w:val="1"/>
      <w:numFmt w:val="decimal"/>
      <w:lvlText w:val="%1."/>
      <w:lvlJc w:val="left"/>
      <w:pPr>
        <w:ind w:left="930" w:hanging="570"/>
      </w:pPr>
      <w:rPr>
        <w:rFonts w:eastAsiaTheme="minorEastAsia" w:hint="default"/>
        <w:b/>
        <w:color w:val="000000" w:themeColor="text1"/>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3EA3670"/>
    <w:multiLevelType w:val="hybridMultilevel"/>
    <w:tmpl w:val="54D61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A4968"/>
    <w:multiLevelType w:val="hybridMultilevel"/>
    <w:tmpl w:val="DE1EA27C"/>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35" w15:restartNumberingAfterBreak="0">
    <w:nsid w:val="79E465EE"/>
    <w:multiLevelType w:val="hybridMultilevel"/>
    <w:tmpl w:val="D382DF6A"/>
    <w:lvl w:ilvl="0" w:tplc="08090001">
      <w:start w:val="1"/>
      <w:numFmt w:val="bullet"/>
      <w:lvlText w:val=""/>
      <w:lvlJc w:val="left"/>
      <w:pPr>
        <w:ind w:left="930" w:hanging="360"/>
      </w:pPr>
      <w:rPr>
        <w:rFonts w:ascii="Symbol" w:hAnsi="Symbol" w:hint="default"/>
        <w:color w:val="000000" w:themeColor="text1"/>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6" w15:restartNumberingAfterBreak="0">
    <w:nsid w:val="7EE32348"/>
    <w:multiLevelType w:val="hybridMultilevel"/>
    <w:tmpl w:val="4BE2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33660">
    <w:abstractNumId w:val="9"/>
  </w:num>
  <w:num w:numId="2" w16cid:durableId="880703598">
    <w:abstractNumId w:val="25"/>
  </w:num>
  <w:num w:numId="3" w16cid:durableId="335118004">
    <w:abstractNumId w:val="17"/>
  </w:num>
  <w:num w:numId="4" w16cid:durableId="962273909">
    <w:abstractNumId w:val="32"/>
  </w:num>
  <w:num w:numId="5" w16cid:durableId="669866326">
    <w:abstractNumId w:val="23"/>
  </w:num>
  <w:num w:numId="6" w16cid:durableId="350380533">
    <w:abstractNumId w:val="16"/>
  </w:num>
  <w:num w:numId="7" w16cid:durableId="907423140">
    <w:abstractNumId w:val="35"/>
  </w:num>
  <w:num w:numId="8" w16cid:durableId="1830176479">
    <w:abstractNumId w:val="24"/>
  </w:num>
  <w:num w:numId="9" w16cid:durableId="279383551">
    <w:abstractNumId w:val="5"/>
  </w:num>
  <w:num w:numId="10" w16cid:durableId="1152797683">
    <w:abstractNumId w:val="27"/>
  </w:num>
  <w:num w:numId="11" w16cid:durableId="1437215307">
    <w:abstractNumId w:val="10"/>
  </w:num>
  <w:num w:numId="12" w16cid:durableId="1529174262">
    <w:abstractNumId w:val="11"/>
  </w:num>
  <w:num w:numId="13" w16cid:durableId="1771579170">
    <w:abstractNumId w:val="34"/>
  </w:num>
  <w:num w:numId="14" w16cid:durableId="1363362437">
    <w:abstractNumId w:val="1"/>
  </w:num>
  <w:num w:numId="15" w16cid:durableId="829561876">
    <w:abstractNumId w:val="28"/>
  </w:num>
  <w:num w:numId="16" w16cid:durableId="245461762">
    <w:abstractNumId w:val="19"/>
  </w:num>
  <w:num w:numId="17" w16cid:durableId="1238630666">
    <w:abstractNumId w:val="3"/>
  </w:num>
  <w:num w:numId="18" w16cid:durableId="98264042">
    <w:abstractNumId w:val="26"/>
  </w:num>
  <w:num w:numId="19" w16cid:durableId="1047877933">
    <w:abstractNumId w:val="29"/>
  </w:num>
  <w:num w:numId="20" w16cid:durableId="1074166343">
    <w:abstractNumId w:val="15"/>
  </w:num>
  <w:num w:numId="21" w16cid:durableId="916281681">
    <w:abstractNumId w:val="8"/>
  </w:num>
  <w:num w:numId="22" w16cid:durableId="1615790540">
    <w:abstractNumId w:val="18"/>
  </w:num>
  <w:num w:numId="23" w16cid:durableId="2129354571">
    <w:abstractNumId w:val="0"/>
  </w:num>
  <w:num w:numId="24" w16cid:durableId="2007395939">
    <w:abstractNumId w:val="7"/>
  </w:num>
  <w:num w:numId="25" w16cid:durableId="2142571543">
    <w:abstractNumId w:val="31"/>
  </w:num>
  <w:num w:numId="26" w16cid:durableId="1288389881">
    <w:abstractNumId w:val="21"/>
  </w:num>
  <w:num w:numId="27" w16cid:durableId="1782022028">
    <w:abstractNumId w:val="36"/>
  </w:num>
  <w:num w:numId="28" w16cid:durableId="609357506">
    <w:abstractNumId w:val="22"/>
  </w:num>
  <w:num w:numId="29" w16cid:durableId="1143083179">
    <w:abstractNumId w:val="14"/>
  </w:num>
  <w:num w:numId="30" w16cid:durableId="1002508439">
    <w:abstractNumId w:val="12"/>
  </w:num>
  <w:num w:numId="31" w16cid:durableId="2113090207">
    <w:abstractNumId w:val="13"/>
  </w:num>
  <w:num w:numId="32" w16cid:durableId="2055152237">
    <w:abstractNumId w:val="6"/>
  </w:num>
  <w:num w:numId="33" w16cid:durableId="1401832592">
    <w:abstractNumId w:val="20"/>
  </w:num>
  <w:num w:numId="34" w16cid:durableId="1493061123">
    <w:abstractNumId w:val="2"/>
  </w:num>
  <w:num w:numId="35" w16cid:durableId="1840805445">
    <w:abstractNumId w:val="33"/>
  </w:num>
  <w:num w:numId="36" w16cid:durableId="1909269246">
    <w:abstractNumId w:val="4"/>
  </w:num>
  <w:num w:numId="37" w16cid:durableId="1866557162">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86"/>
    <w:rsid w:val="0000142C"/>
    <w:rsid w:val="00002B42"/>
    <w:rsid w:val="0000334F"/>
    <w:rsid w:val="000034EF"/>
    <w:rsid w:val="00007A4A"/>
    <w:rsid w:val="000113F3"/>
    <w:rsid w:val="00011493"/>
    <w:rsid w:val="00011750"/>
    <w:rsid w:val="00013586"/>
    <w:rsid w:val="00014395"/>
    <w:rsid w:val="00014746"/>
    <w:rsid w:val="00015813"/>
    <w:rsid w:val="00016E3D"/>
    <w:rsid w:val="00020562"/>
    <w:rsid w:val="00021233"/>
    <w:rsid w:val="00022A76"/>
    <w:rsid w:val="00022EED"/>
    <w:rsid w:val="00023A41"/>
    <w:rsid w:val="00023CC0"/>
    <w:rsid w:val="00025535"/>
    <w:rsid w:val="00025A85"/>
    <w:rsid w:val="00025CE3"/>
    <w:rsid w:val="00026BD0"/>
    <w:rsid w:val="0003429A"/>
    <w:rsid w:val="000349B8"/>
    <w:rsid w:val="00036D99"/>
    <w:rsid w:val="000378A8"/>
    <w:rsid w:val="00040120"/>
    <w:rsid w:val="00040996"/>
    <w:rsid w:val="000412D2"/>
    <w:rsid w:val="00041995"/>
    <w:rsid w:val="000420E6"/>
    <w:rsid w:val="00044A30"/>
    <w:rsid w:val="00045BB1"/>
    <w:rsid w:val="00046CB1"/>
    <w:rsid w:val="00047DE4"/>
    <w:rsid w:val="0005223F"/>
    <w:rsid w:val="000529F4"/>
    <w:rsid w:val="00052E19"/>
    <w:rsid w:val="00053876"/>
    <w:rsid w:val="000538D2"/>
    <w:rsid w:val="000538EC"/>
    <w:rsid w:val="000613D3"/>
    <w:rsid w:val="000616D1"/>
    <w:rsid w:val="000617CE"/>
    <w:rsid w:val="00063B9F"/>
    <w:rsid w:val="00064A45"/>
    <w:rsid w:val="0006524E"/>
    <w:rsid w:val="000660CD"/>
    <w:rsid w:val="00066185"/>
    <w:rsid w:val="000707E9"/>
    <w:rsid w:val="0007226B"/>
    <w:rsid w:val="000729BA"/>
    <w:rsid w:val="0007300D"/>
    <w:rsid w:val="00074A13"/>
    <w:rsid w:val="000750DB"/>
    <w:rsid w:val="0008228F"/>
    <w:rsid w:val="00082659"/>
    <w:rsid w:val="00082B27"/>
    <w:rsid w:val="00082EFE"/>
    <w:rsid w:val="00083FE5"/>
    <w:rsid w:val="00087FFD"/>
    <w:rsid w:val="00090366"/>
    <w:rsid w:val="00091CB0"/>
    <w:rsid w:val="000924A2"/>
    <w:rsid w:val="00092742"/>
    <w:rsid w:val="00094123"/>
    <w:rsid w:val="00094360"/>
    <w:rsid w:val="000970F1"/>
    <w:rsid w:val="000A06A0"/>
    <w:rsid w:val="000A0A6B"/>
    <w:rsid w:val="000A31F7"/>
    <w:rsid w:val="000A344D"/>
    <w:rsid w:val="000A3594"/>
    <w:rsid w:val="000A69F8"/>
    <w:rsid w:val="000A7F3F"/>
    <w:rsid w:val="000B18A3"/>
    <w:rsid w:val="000B21DF"/>
    <w:rsid w:val="000B3E51"/>
    <w:rsid w:val="000B4497"/>
    <w:rsid w:val="000B45A9"/>
    <w:rsid w:val="000B4EA2"/>
    <w:rsid w:val="000B554E"/>
    <w:rsid w:val="000B6001"/>
    <w:rsid w:val="000B6F1C"/>
    <w:rsid w:val="000B7103"/>
    <w:rsid w:val="000C20ED"/>
    <w:rsid w:val="000C3FA9"/>
    <w:rsid w:val="000C4F73"/>
    <w:rsid w:val="000C773E"/>
    <w:rsid w:val="000D088B"/>
    <w:rsid w:val="000D13B8"/>
    <w:rsid w:val="000D2FA6"/>
    <w:rsid w:val="000D3766"/>
    <w:rsid w:val="000D48D2"/>
    <w:rsid w:val="000D4B18"/>
    <w:rsid w:val="000D5083"/>
    <w:rsid w:val="000D54EE"/>
    <w:rsid w:val="000D6B3E"/>
    <w:rsid w:val="000E1967"/>
    <w:rsid w:val="000E3966"/>
    <w:rsid w:val="000E4695"/>
    <w:rsid w:val="000E495C"/>
    <w:rsid w:val="000E5228"/>
    <w:rsid w:val="000E5D9A"/>
    <w:rsid w:val="000E6994"/>
    <w:rsid w:val="000E7145"/>
    <w:rsid w:val="000E7E84"/>
    <w:rsid w:val="000F223B"/>
    <w:rsid w:val="000F299A"/>
    <w:rsid w:val="000F3242"/>
    <w:rsid w:val="000F3753"/>
    <w:rsid w:val="000F62AF"/>
    <w:rsid w:val="000F66E7"/>
    <w:rsid w:val="000F6A59"/>
    <w:rsid w:val="000F72A7"/>
    <w:rsid w:val="000F7EA6"/>
    <w:rsid w:val="00101DA7"/>
    <w:rsid w:val="001037A0"/>
    <w:rsid w:val="00103ACB"/>
    <w:rsid w:val="001042F4"/>
    <w:rsid w:val="00105F65"/>
    <w:rsid w:val="00106B6E"/>
    <w:rsid w:val="00107728"/>
    <w:rsid w:val="00107C92"/>
    <w:rsid w:val="00112C06"/>
    <w:rsid w:val="00112DE3"/>
    <w:rsid w:val="001130A7"/>
    <w:rsid w:val="00113AEA"/>
    <w:rsid w:val="00113FCF"/>
    <w:rsid w:val="0011628E"/>
    <w:rsid w:val="001163DD"/>
    <w:rsid w:val="001165F4"/>
    <w:rsid w:val="00116881"/>
    <w:rsid w:val="0011740F"/>
    <w:rsid w:val="001200C0"/>
    <w:rsid w:val="0012014D"/>
    <w:rsid w:val="001205C2"/>
    <w:rsid w:val="001213AE"/>
    <w:rsid w:val="00121A70"/>
    <w:rsid w:val="0012252C"/>
    <w:rsid w:val="00122766"/>
    <w:rsid w:val="00123E3A"/>
    <w:rsid w:val="00127A75"/>
    <w:rsid w:val="00130DE4"/>
    <w:rsid w:val="0013156E"/>
    <w:rsid w:val="00131A8F"/>
    <w:rsid w:val="001350E5"/>
    <w:rsid w:val="00136CEA"/>
    <w:rsid w:val="0013788E"/>
    <w:rsid w:val="001406DD"/>
    <w:rsid w:val="00140C7F"/>
    <w:rsid w:val="00142DC4"/>
    <w:rsid w:val="00143586"/>
    <w:rsid w:val="00143C87"/>
    <w:rsid w:val="001461DC"/>
    <w:rsid w:val="001467DD"/>
    <w:rsid w:val="00150605"/>
    <w:rsid w:val="001507CA"/>
    <w:rsid w:val="0015088F"/>
    <w:rsid w:val="001517C1"/>
    <w:rsid w:val="00151FB1"/>
    <w:rsid w:val="001526B7"/>
    <w:rsid w:val="00153119"/>
    <w:rsid w:val="0015387E"/>
    <w:rsid w:val="00156538"/>
    <w:rsid w:val="00156F39"/>
    <w:rsid w:val="00161939"/>
    <w:rsid w:val="001619FF"/>
    <w:rsid w:val="0016223B"/>
    <w:rsid w:val="00163083"/>
    <w:rsid w:val="00163EBF"/>
    <w:rsid w:val="00163ED5"/>
    <w:rsid w:val="00165834"/>
    <w:rsid w:val="001670F1"/>
    <w:rsid w:val="00172F87"/>
    <w:rsid w:val="00175074"/>
    <w:rsid w:val="001756FC"/>
    <w:rsid w:val="0017607E"/>
    <w:rsid w:val="00176C53"/>
    <w:rsid w:val="00177712"/>
    <w:rsid w:val="00177A2A"/>
    <w:rsid w:val="001801CF"/>
    <w:rsid w:val="0018021F"/>
    <w:rsid w:val="00181EB2"/>
    <w:rsid w:val="00183200"/>
    <w:rsid w:val="00183237"/>
    <w:rsid w:val="001834AE"/>
    <w:rsid w:val="00184887"/>
    <w:rsid w:val="00186477"/>
    <w:rsid w:val="00190124"/>
    <w:rsid w:val="001937CB"/>
    <w:rsid w:val="0019544E"/>
    <w:rsid w:val="00196E40"/>
    <w:rsid w:val="00197D97"/>
    <w:rsid w:val="001A075B"/>
    <w:rsid w:val="001A151D"/>
    <w:rsid w:val="001A2FFB"/>
    <w:rsid w:val="001A3FA4"/>
    <w:rsid w:val="001A41A7"/>
    <w:rsid w:val="001A4374"/>
    <w:rsid w:val="001A748E"/>
    <w:rsid w:val="001B0D7D"/>
    <w:rsid w:val="001B170C"/>
    <w:rsid w:val="001B3428"/>
    <w:rsid w:val="001B443B"/>
    <w:rsid w:val="001B444F"/>
    <w:rsid w:val="001B5E77"/>
    <w:rsid w:val="001C1557"/>
    <w:rsid w:val="001C595C"/>
    <w:rsid w:val="001C7473"/>
    <w:rsid w:val="001C78B3"/>
    <w:rsid w:val="001C7D17"/>
    <w:rsid w:val="001D0DF6"/>
    <w:rsid w:val="001D462A"/>
    <w:rsid w:val="001D4776"/>
    <w:rsid w:val="001D6F5F"/>
    <w:rsid w:val="001E00C1"/>
    <w:rsid w:val="001E08B4"/>
    <w:rsid w:val="001E2920"/>
    <w:rsid w:val="001E32ED"/>
    <w:rsid w:val="001E43B1"/>
    <w:rsid w:val="001E5AB8"/>
    <w:rsid w:val="001E60B7"/>
    <w:rsid w:val="001E695C"/>
    <w:rsid w:val="001F0AA8"/>
    <w:rsid w:val="001F331A"/>
    <w:rsid w:val="001F3F3D"/>
    <w:rsid w:val="001F40A5"/>
    <w:rsid w:val="001F63D3"/>
    <w:rsid w:val="001F76C1"/>
    <w:rsid w:val="00201366"/>
    <w:rsid w:val="002015A6"/>
    <w:rsid w:val="00202FE7"/>
    <w:rsid w:val="002047F3"/>
    <w:rsid w:val="0020561C"/>
    <w:rsid w:val="0020709C"/>
    <w:rsid w:val="00211BB2"/>
    <w:rsid w:val="002126CA"/>
    <w:rsid w:val="00213CBC"/>
    <w:rsid w:val="00214E80"/>
    <w:rsid w:val="0021603E"/>
    <w:rsid w:val="00216AD6"/>
    <w:rsid w:val="00217D1B"/>
    <w:rsid w:val="00220B5C"/>
    <w:rsid w:val="00221B01"/>
    <w:rsid w:val="00222DFF"/>
    <w:rsid w:val="0022353D"/>
    <w:rsid w:val="00225456"/>
    <w:rsid w:val="0023015A"/>
    <w:rsid w:val="0023206F"/>
    <w:rsid w:val="00233D44"/>
    <w:rsid w:val="002346FF"/>
    <w:rsid w:val="00234B02"/>
    <w:rsid w:val="002352D2"/>
    <w:rsid w:val="00235550"/>
    <w:rsid w:val="00240C5A"/>
    <w:rsid w:val="00240E51"/>
    <w:rsid w:val="0024127E"/>
    <w:rsid w:val="002527EF"/>
    <w:rsid w:val="00253D55"/>
    <w:rsid w:val="00260F20"/>
    <w:rsid w:val="0026235D"/>
    <w:rsid w:val="00262E4E"/>
    <w:rsid w:val="00263112"/>
    <w:rsid w:val="002635EE"/>
    <w:rsid w:val="00263A6B"/>
    <w:rsid w:val="00263B62"/>
    <w:rsid w:val="00264222"/>
    <w:rsid w:val="0026479F"/>
    <w:rsid w:val="00265435"/>
    <w:rsid w:val="00265932"/>
    <w:rsid w:val="0026612D"/>
    <w:rsid w:val="002661E1"/>
    <w:rsid w:val="0026666E"/>
    <w:rsid w:val="002668A6"/>
    <w:rsid w:val="00266DD3"/>
    <w:rsid w:val="002675B7"/>
    <w:rsid w:val="00267E80"/>
    <w:rsid w:val="00273A33"/>
    <w:rsid w:val="00273CB5"/>
    <w:rsid w:val="00274CE8"/>
    <w:rsid w:val="002752BA"/>
    <w:rsid w:val="00275F22"/>
    <w:rsid w:val="0027668F"/>
    <w:rsid w:val="00276A55"/>
    <w:rsid w:val="00276ECF"/>
    <w:rsid w:val="00277173"/>
    <w:rsid w:val="00277B11"/>
    <w:rsid w:val="00277C8F"/>
    <w:rsid w:val="0028050C"/>
    <w:rsid w:val="002810F5"/>
    <w:rsid w:val="002816EE"/>
    <w:rsid w:val="00281F4C"/>
    <w:rsid w:val="002838FB"/>
    <w:rsid w:val="002857A3"/>
    <w:rsid w:val="00287D35"/>
    <w:rsid w:val="00287D7D"/>
    <w:rsid w:val="0029035E"/>
    <w:rsid w:val="002904D4"/>
    <w:rsid w:val="00290E6F"/>
    <w:rsid w:val="002937F6"/>
    <w:rsid w:val="00293ED3"/>
    <w:rsid w:val="00294A81"/>
    <w:rsid w:val="00295922"/>
    <w:rsid w:val="002967A5"/>
    <w:rsid w:val="0029765B"/>
    <w:rsid w:val="002A0AB6"/>
    <w:rsid w:val="002A0C97"/>
    <w:rsid w:val="002A4B37"/>
    <w:rsid w:val="002A57BD"/>
    <w:rsid w:val="002B1338"/>
    <w:rsid w:val="002B1C03"/>
    <w:rsid w:val="002B25A5"/>
    <w:rsid w:val="002B261D"/>
    <w:rsid w:val="002B42B8"/>
    <w:rsid w:val="002B52BC"/>
    <w:rsid w:val="002B5E5C"/>
    <w:rsid w:val="002B6BA0"/>
    <w:rsid w:val="002C0B58"/>
    <w:rsid w:val="002C23D7"/>
    <w:rsid w:val="002C2823"/>
    <w:rsid w:val="002C3B30"/>
    <w:rsid w:val="002C63F0"/>
    <w:rsid w:val="002C6A06"/>
    <w:rsid w:val="002C709E"/>
    <w:rsid w:val="002C72FF"/>
    <w:rsid w:val="002D082F"/>
    <w:rsid w:val="002D09B5"/>
    <w:rsid w:val="002D2C38"/>
    <w:rsid w:val="002D320F"/>
    <w:rsid w:val="002D49E0"/>
    <w:rsid w:val="002D4B22"/>
    <w:rsid w:val="002D5D41"/>
    <w:rsid w:val="002D5DC1"/>
    <w:rsid w:val="002D7D81"/>
    <w:rsid w:val="002E2154"/>
    <w:rsid w:val="002E3A7D"/>
    <w:rsid w:val="002E3BC2"/>
    <w:rsid w:val="002E5D2E"/>
    <w:rsid w:val="002F20E4"/>
    <w:rsid w:val="002F24B0"/>
    <w:rsid w:val="002F2705"/>
    <w:rsid w:val="002F2F9A"/>
    <w:rsid w:val="002F31E3"/>
    <w:rsid w:val="002F48EB"/>
    <w:rsid w:val="002F4A17"/>
    <w:rsid w:val="002F5777"/>
    <w:rsid w:val="002F641D"/>
    <w:rsid w:val="002F705E"/>
    <w:rsid w:val="00302D5C"/>
    <w:rsid w:val="00303DD5"/>
    <w:rsid w:val="003047DB"/>
    <w:rsid w:val="00304EA8"/>
    <w:rsid w:val="00305BFD"/>
    <w:rsid w:val="00306E0F"/>
    <w:rsid w:val="00307AE6"/>
    <w:rsid w:val="00307E1D"/>
    <w:rsid w:val="00312241"/>
    <w:rsid w:val="00313B89"/>
    <w:rsid w:val="00316A4A"/>
    <w:rsid w:val="00317436"/>
    <w:rsid w:val="00317D45"/>
    <w:rsid w:val="003200D1"/>
    <w:rsid w:val="0032038F"/>
    <w:rsid w:val="00327C38"/>
    <w:rsid w:val="00327D43"/>
    <w:rsid w:val="00331D6E"/>
    <w:rsid w:val="003338E0"/>
    <w:rsid w:val="00333D2D"/>
    <w:rsid w:val="0033570D"/>
    <w:rsid w:val="00335721"/>
    <w:rsid w:val="00336821"/>
    <w:rsid w:val="00337080"/>
    <w:rsid w:val="0033751F"/>
    <w:rsid w:val="00337860"/>
    <w:rsid w:val="00340661"/>
    <w:rsid w:val="003437DE"/>
    <w:rsid w:val="00344083"/>
    <w:rsid w:val="003442AC"/>
    <w:rsid w:val="0034460C"/>
    <w:rsid w:val="003449D0"/>
    <w:rsid w:val="00346A3F"/>
    <w:rsid w:val="003504FB"/>
    <w:rsid w:val="003514A5"/>
    <w:rsid w:val="003515DA"/>
    <w:rsid w:val="003518D5"/>
    <w:rsid w:val="00351AD4"/>
    <w:rsid w:val="00351C35"/>
    <w:rsid w:val="00351EAF"/>
    <w:rsid w:val="00352D53"/>
    <w:rsid w:val="00353E5F"/>
    <w:rsid w:val="00354C73"/>
    <w:rsid w:val="003568EE"/>
    <w:rsid w:val="003579F5"/>
    <w:rsid w:val="00360A41"/>
    <w:rsid w:val="00361098"/>
    <w:rsid w:val="00361F48"/>
    <w:rsid w:val="00363113"/>
    <w:rsid w:val="00363927"/>
    <w:rsid w:val="00365C0E"/>
    <w:rsid w:val="0037186E"/>
    <w:rsid w:val="00376891"/>
    <w:rsid w:val="00376CE9"/>
    <w:rsid w:val="003779A5"/>
    <w:rsid w:val="00382467"/>
    <w:rsid w:val="00382511"/>
    <w:rsid w:val="0038367C"/>
    <w:rsid w:val="003839D2"/>
    <w:rsid w:val="003843AE"/>
    <w:rsid w:val="00386779"/>
    <w:rsid w:val="00387BA7"/>
    <w:rsid w:val="00390975"/>
    <w:rsid w:val="00390A38"/>
    <w:rsid w:val="00391555"/>
    <w:rsid w:val="00391813"/>
    <w:rsid w:val="00392DFD"/>
    <w:rsid w:val="00393004"/>
    <w:rsid w:val="00393552"/>
    <w:rsid w:val="00393C03"/>
    <w:rsid w:val="003949BC"/>
    <w:rsid w:val="00395B3F"/>
    <w:rsid w:val="0039622E"/>
    <w:rsid w:val="00397249"/>
    <w:rsid w:val="00397DD3"/>
    <w:rsid w:val="003A10E0"/>
    <w:rsid w:val="003A20D9"/>
    <w:rsid w:val="003A353B"/>
    <w:rsid w:val="003A488D"/>
    <w:rsid w:val="003A4FFE"/>
    <w:rsid w:val="003A7527"/>
    <w:rsid w:val="003B066E"/>
    <w:rsid w:val="003B0AED"/>
    <w:rsid w:val="003B2BFF"/>
    <w:rsid w:val="003B4405"/>
    <w:rsid w:val="003B6531"/>
    <w:rsid w:val="003B6A24"/>
    <w:rsid w:val="003B717F"/>
    <w:rsid w:val="003B7854"/>
    <w:rsid w:val="003C10E2"/>
    <w:rsid w:val="003C4167"/>
    <w:rsid w:val="003D04EA"/>
    <w:rsid w:val="003D0539"/>
    <w:rsid w:val="003D3594"/>
    <w:rsid w:val="003D3A40"/>
    <w:rsid w:val="003D530E"/>
    <w:rsid w:val="003D565E"/>
    <w:rsid w:val="003D593E"/>
    <w:rsid w:val="003D6884"/>
    <w:rsid w:val="003E10E0"/>
    <w:rsid w:val="003E30D6"/>
    <w:rsid w:val="003E3A0C"/>
    <w:rsid w:val="003E3A5B"/>
    <w:rsid w:val="003E501D"/>
    <w:rsid w:val="003E5EC5"/>
    <w:rsid w:val="003E6530"/>
    <w:rsid w:val="003E7090"/>
    <w:rsid w:val="003E7C50"/>
    <w:rsid w:val="003F0111"/>
    <w:rsid w:val="003F0666"/>
    <w:rsid w:val="003F13B4"/>
    <w:rsid w:val="003F1F5E"/>
    <w:rsid w:val="003F4722"/>
    <w:rsid w:val="003F5B1A"/>
    <w:rsid w:val="00400DD1"/>
    <w:rsid w:val="00401261"/>
    <w:rsid w:val="004025BF"/>
    <w:rsid w:val="00405004"/>
    <w:rsid w:val="00405484"/>
    <w:rsid w:val="004064C8"/>
    <w:rsid w:val="00406A79"/>
    <w:rsid w:val="00407BC5"/>
    <w:rsid w:val="00410299"/>
    <w:rsid w:val="00410BBA"/>
    <w:rsid w:val="00411C00"/>
    <w:rsid w:val="0041227B"/>
    <w:rsid w:val="0041265E"/>
    <w:rsid w:val="00412C1E"/>
    <w:rsid w:val="00412D1B"/>
    <w:rsid w:val="00416201"/>
    <w:rsid w:val="004200D2"/>
    <w:rsid w:val="004228C2"/>
    <w:rsid w:val="00422A68"/>
    <w:rsid w:val="00423EEA"/>
    <w:rsid w:val="004241EA"/>
    <w:rsid w:val="0042423D"/>
    <w:rsid w:val="004242D8"/>
    <w:rsid w:val="00425BF1"/>
    <w:rsid w:val="00426058"/>
    <w:rsid w:val="00427C06"/>
    <w:rsid w:val="00430889"/>
    <w:rsid w:val="00431E7F"/>
    <w:rsid w:val="00432E6E"/>
    <w:rsid w:val="004345DA"/>
    <w:rsid w:val="00436142"/>
    <w:rsid w:val="00437DD9"/>
    <w:rsid w:val="00437E26"/>
    <w:rsid w:val="004405AD"/>
    <w:rsid w:val="00440ECB"/>
    <w:rsid w:val="00441433"/>
    <w:rsid w:val="00441799"/>
    <w:rsid w:val="00441890"/>
    <w:rsid w:val="004427E0"/>
    <w:rsid w:val="00444233"/>
    <w:rsid w:val="00445ABA"/>
    <w:rsid w:val="00445E9A"/>
    <w:rsid w:val="00447390"/>
    <w:rsid w:val="0044758D"/>
    <w:rsid w:val="00450913"/>
    <w:rsid w:val="0045162B"/>
    <w:rsid w:val="004520F2"/>
    <w:rsid w:val="00452AAC"/>
    <w:rsid w:val="00453F21"/>
    <w:rsid w:val="00455A14"/>
    <w:rsid w:val="004608A2"/>
    <w:rsid w:val="00460B69"/>
    <w:rsid w:val="00460E35"/>
    <w:rsid w:val="00462789"/>
    <w:rsid w:val="004654B9"/>
    <w:rsid w:val="00465EB4"/>
    <w:rsid w:val="0046615E"/>
    <w:rsid w:val="00466E12"/>
    <w:rsid w:val="004673BC"/>
    <w:rsid w:val="004702B1"/>
    <w:rsid w:val="004716E5"/>
    <w:rsid w:val="004718BE"/>
    <w:rsid w:val="00472727"/>
    <w:rsid w:val="0047333E"/>
    <w:rsid w:val="00476712"/>
    <w:rsid w:val="00476BFE"/>
    <w:rsid w:val="0047757F"/>
    <w:rsid w:val="00477AC4"/>
    <w:rsid w:val="00477F3E"/>
    <w:rsid w:val="00481ACB"/>
    <w:rsid w:val="00481E0B"/>
    <w:rsid w:val="00482CC4"/>
    <w:rsid w:val="00483957"/>
    <w:rsid w:val="00484880"/>
    <w:rsid w:val="00484E87"/>
    <w:rsid w:val="00484FBA"/>
    <w:rsid w:val="00485019"/>
    <w:rsid w:val="0049016F"/>
    <w:rsid w:val="00490AA4"/>
    <w:rsid w:val="004911CA"/>
    <w:rsid w:val="00492194"/>
    <w:rsid w:val="00492F58"/>
    <w:rsid w:val="00496080"/>
    <w:rsid w:val="00496444"/>
    <w:rsid w:val="00496940"/>
    <w:rsid w:val="004A0690"/>
    <w:rsid w:val="004A0946"/>
    <w:rsid w:val="004A2C81"/>
    <w:rsid w:val="004A32FA"/>
    <w:rsid w:val="004A4ABE"/>
    <w:rsid w:val="004A55A9"/>
    <w:rsid w:val="004A7E02"/>
    <w:rsid w:val="004B1D01"/>
    <w:rsid w:val="004B43E3"/>
    <w:rsid w:val="004B575C"/>
    <w:rsid w:val="004B678C"/>
    <w:rsid w:val="004B6924"/>
    <w:rsid w:val="004C1970"/>
    <w:rsid w:val="004C2A05"/>
    <w:rsid w:val="004C2D88"/>
    <w:rsid w:val="004C3417"/>
    <w:rsid w:val="004C3761"/>
    <w:rsid w:val="004C3F42"/>
    <w:rsid w:val="004C4C12"/>
    <w:rsid w:val="004D38F8"/>
    <w:rsid w:val="004D3B8A"/>
    <w:rsid w:val="004D3D8B"/>
    <w:rsid w:val="004D3E2F"/>
    <w:rsid w:val="004D538C"/>
    <w:rsid w:val="004D641A"/>
    <w:rsid w:val="004E2699"/>
    <w:rsid w:val="004E4428"/>
    <w:rsid w:val="004E5437"/>
    <w:rsid w:val="004E62BC"/>
    <w:rsid w:val="004F1165"/>
    <w:rsid w:val="004F3147"/>
    <w:rsid w:val="004F37D0"/>
    <w:rsid w:val="004F614B"/>
    <w:rsid w:val="00501842"/>
    <w:rsid w:val="005037C6"/>
    <w:rsid w:val="00503AE0"/>
    <w:rsid w:val="00503AEA"/>
    <w:rsid w:val="00504738"/>
    <w:rsid w:val="00506934"/>
    <w:rsid w:val="00506E76"/>
    <w:rsid w:val="0050790E"/>
    <w:rsid w:val="00511E61"/>
    <w:rsid w:val="00515965"/>
    <w:rsid w:val="00515F8D"/>
    <w:rsid w:val="00517583"/>
    <w:rsid w:val="005200AB"/>
    <w:rsid w:val="00520771"/>
    <w:rsid w:val="005209E2"/>
    <w:rsid w:val="00521908"/>
    <w:rsid w:val="0052190B"/>
    <w:rsid w:val="00521BF0"/>
    <w:rsid w:val="005227CB"/>
    <w:rsid w:val="00523A5E"/>
    <w:rsid w:val="005241F9"/>
    <w:rsid w:val="00525D9C"/>
    <w:rsid w:val="00525F7B"/>
    <w:rsid w:val="005271B4"/>
    <w:rsid w:val="005275EA"/>
    <w:rsid w:val="00530318"/>
    <w:rsid w:val="005305ED"/>
    <w:rsid w:val="005306DF"/>
    <w:rsid w:val="00531906"/>
    <w:rsid w:val="00532648"/>
    <w:rsid w:val="00533AB0"/>
    <w:rsid w:val="00533C59"/>
    <w:rsid w:val="00533C84"/>
    <w:rsid w:val="00535779"/>
    <w:rsid w:val="005375C3"/>
    <w:rsid w:val="00537BA4"/>
    <w:rsid w:val="00540426"/>
    <w:rsid w:val="00540F04"/>
    <w:rsid w:val="005476FA"/>
    <w:rsid w:val="00552B3E"/>
    <w:rsid w:val="00552B48"/>
    <w:rsid w:val="005534A1"/>
    <w:rsid w:val="00553FD4"/>
    <w:rsid w:val="005545DF"/>
    <w:rsid w:val="0055490E"/>
    <w:rsid w:val="00554FEA"/>
    <w:rsid w:val="005557D1"/>
    <w:rsid w:val="00556B31"/>
    <w:rsid w:val="005575B8"/>
    <w:rsid w:val="00557C34"/>
    <w:rsid w:val="00564E6A"/>
    <w:rsid w:val="00565DBC"/>
    <w:rsid w:val="0056654E"/>
    <w:rsid w:val="0056771F"/>
    <w:rsid w:val="00571DEE"/>
    <w:rsid w:val="0057486A"/>
    <w:rsid w:val="005753F0"/>
    <w:rsid w:val="00575996"/>
    <w:rsid w:val="0057706E"/>
    <w:rsid w:val="00580CD3"/>
    <w:rsid w:val="00583021"/>
    <w:rsid w:val="005831CD"/>
    <w:rsid w:val="0058444C"/>
    <w:rsid w:val="00591172"/>
    <w:rsid w:val="005917ED"/>
    <w:rsid w:val="005919DE"/>
    <w:rsid w:val="005925AB"/>
    <w:rsid w:val="005933AF"/>
    <w:rsid w:val="00596009"/>
    <w:rsid w:val="00596651"/>
    <w:rsid w:val="00597187"/>
    <w:rsid w:val="005A094D"/>
    <w:rsid w:val="005A0D5F"/>
    <w:rsid w:val="005A0DF1"/>
    <w:rsid w:val="005A1D81"/>
    <w:rsid w:val="005A3A17"/>
    <w:rsid w:val="005A3A20"/>
    <w:rsid w:val="005A59D2"/>
    <w:rsid w:val="005A5D57"/>
    <w:rsid w:val="005A692D"/>
    <w:rsid w:val="005A6B67"/>
    <w:rsid w:val="005A7ABC"/>
    <w:rsid w:val="005A7BDB"/>
    <w:rsid w:val="005A7E51"/>
    <w:rsid w:val="005B0771"/>
    <w:rsid w:val="005B2382"/>
    <w:rsid w:val="005B35F5"/>
    <w:rsid w:val="005B4AF2"/>
    <w:rsid w:val="005B4C3F"/>
    <w:rsid w:val="005B5BAD"/>
    <w:rsid w:val="005B626E"/>
    <w:rsid w:val="005B693D"/>
    <w:rsid w:val="005B7623"/>
    <w:rsid w:val="005C0F35"/>
    <w:rsid w:val="005C0FDF"/>
    <w:rsid w:val="005C129C"/>
    <w:rsid w:val="005C2C46"/>
    <w:rsid w:val="005C31A3"/>
    <w:rsid w:val="005C4CC7"/>
    <w:rsid w:val="005C7321"/>
    <w:rsid w:val="005D0F0D"/>
    <w:rsid w:val="005D13EC"/>
    <w:rsid w:val="005D1C12"/>
    <w:rsid w:val="005D1FA5"/>
    <w:rsid w:val="005D4122"/>
    <w:rsid w:val="005D43A2"/>
    <w:rsid w:val="005D46C8"/>
    <w:rsid w:val="005D6509"/>
    <w:rsid w:val="005D6861"/>
    <w:rsid w:val="005D757F"/>
    <w:rsid w:val="005E0393"/>
    <w:rsid w:val="005E18DD"/>
    <w:rsid w:val="005E4A15"/>
    <w:rsid w:val="005E519C"/>
    <w:rsid w:val="005E6622"/>
    <w:rsid w:val="005E7880"/>
    <w:rsid w:val="005E7B76"/>
    <w:rsid w:val="005F040C"/>
    <w:rsid w:val="005F14E7"/>
    <w:rsid w:val="005F19B7"/>
    <w:rsid w:val="005F1D1E"/>
    <w:rsid w:val="005F27E6"/>
    <w:rsid w:val="005F466F"/>
    <w:rsid w:val="005F631E"/>
    <w:rsid w:val="005F6E40"/>
    <w:rsid w:val="005F72E2"/>
    <w:rsid w:val="00602C71"/>
    <w:rsid w:val="0060383A"/>
    <w:rsid w:val="0060434B"/>
    <w:rsid w:val="006059CB"/>
    <w:rsid w:val="00607795"/>
    <w:rsid w:val="006115DE"/>
    <w:rsid w:val="00613741"/>
    <w:rsid w:val="006148BE"/>
    <w:rsid w:val="00616CEC"/>
    <w:rsid w:val="00621313"/>
    <w:rsid w:val="0062260B"/>
    <w:rsid w:val="00622690"/>
    <w:rsid w:val="006232CB"/>
    <w:rsid w:val="006245AB"/>
    <w:rsid w:val="006266CF"/>
    <w:rsid w:val="0062690D"/>
    <w:rsid w:val="00626AB5"/>
    <w:rsid w:val="00627A39"/>
    <w:rsid w:val="00631581"/>
    <w:rsid w:val="00631AAB"/>
    <w:rsid w:val="006327B3"/>
    <w:rsid w:val="00634791"/>
    <w:rsid w:val="0063603D"/>
    <w:rsid w:val="006366C9"/>
    <w:rsid w:val="0063778C"/>
    <w:rsid w:val="0064013D"/>
    <w:rsid w:val="00641141"/>
    <w:rsid w:val="006412F1"/>
    <w:rsid w:val="00641D1C"/>
    <w:rsid w:val="00644CEA"/>
    <w:rsid w:val="00645B97"/>
    <w:rsid w:val="006474AB"/>
    <w:rsid w:val="00647FA2"/>
    <w:rsid w:val="00651A67"/>
    <w:rsid w:val="00651E24"/>
    <w:rsid w:val="006523A4"/>
    <w:rsid w:val="006537C9"/>
    <w:rsid w:val="00655BE5"/>
    <w:rsid w:val="0065792E"/>
    <w:rsid w:val="00657A84"/>
    <w:rsid w:val="00657B76"/>
    <w:rsid w:val="00660182"/>
    <w:rsid w:val="0066074B"/>
    <w:rsid w:val="006620EC"/>
    <w:rsid w:val="00662B91"/>
    <w:rsid w:val="00663083"/>
    <w:rsid w:val="00667A8E"/>
    <w:rsid w:val="00671B31"/>
    <w:rsid w:val="00671E9A"/>
    <w:rsid w:val="0067460C"/>
    <w:rsid w:val="006765A6"/>
    <w:rsid w:val="006775AE"/>
    <w:rsid w:val="00680C59"/>
    <w:rsid w:val="006812F6"/>
    <w:rsid w:val="00681CE2"/>
    <w:rsid w:val="00683A62"/>
    <w:rsid w:val="00683AD9"/>
    <w:rsid w:val="00684FDA"/>
    <w:rsid w:val="0068670F"/>
    <w:rsid w:val="006931DC"/>
    <w:rsid w:val="00693CD7"/>
    <w:rsid w:val="00693D60"/>
    <w:rsid w:val="00694268"/>
    <w:rsid w:val="00696407"/>
    <w:rsid w:val="006A06C5"/>
    <w:rsid w:val="006A2C9E"/>
    <w:rsid w:val="006A4132"/>
    <w:rsid w:val="006A619F"/>
    <w:rsid w:val="006A6339"/>
    <w:rsid w:val="006A691C"/>
    <w:rsid w:val="006A6E2D"/>
    <w:rsid w:val="006B0891"/>
    <w:rsid w:val="006B2050"/>
    <w:rsid w:val="006B21B1"/>
    <w:rsid w:val="006B2E7D"/>
    <w:rsid w:val="006B300D"/>
    <w:rsid w:val="006B35B0"/>
    <w:rsid w:val="006B4B7D"/>
    <w:rsid w:val="006B5AA5"/>
    <w:rsid w:val="006B6139"/>
    <w:rsid w:val="006B6359"/>
    <w:rsid w:val="006B6A9E"/>
    <w:rsid w:val="006B7A24"/>
    <w:rsid w:val="006C0907"/>
    <w:rsid w:val="006C2061"/>
    <w:rsid w:val="006C20EC"/>
    <w:rsid w:val="006C224D"/>
    <w:rsid w:val="006C27CF"/>
    <w:rsid w:val="006C3C5C"/>
    <w:rsid w:val="006C411E"/>
    <w:rsid w:val="006C4D1F"/>
    <w:rsid w:val="006C5ABB"/>
    <w:rsid w:val="006C7F6C"/>
    <w:rsid w:val="006D0908"/>
    <w:rsid w:val="006D0B23"/>
    <w:rsid w:val="006D0CEA"/>
    <w:rsid w:val="006D1B16"/>
    <w:rsid w:val="006D6E0C"/>
    <w:rsid w:val="006D6EB7"/>
    <w:rsid w:val="006D7263"/>
    <w:rsid w:val="006D727D"/>
    <w:rsid w:val="006E1F56"/>
    <w:rsid w:val="006E21EB"/>
    <w:rsid w:val="006E2735"/>
    <w:rsid w:val="006E3B6E"/>
    <w:rsid w:val="006E3F45"/>
    <w:rsid w:val="006E4863"/>
    <w:rsid w:val="006E5578"/>
    <w:rsid w:val="006E7782"/>
    <w:rsid w:val="006F133A"/>
    <w:rsid w:val="006F3152"/>
    <w:rsid w:val="006F3D7F"/>
    <w:rsid w:val="006F7759"/>
    <w:rsid w:val="007014A4"/>
    <w:rsid w:val="00701582"/>
    <w:rsid w:val="0070238E"/>
    <w:rsid w:val="0070381D"/>
    <w:rsid w:val="00705DCC"/>
    <w:rsid w:val="007071D8"/>
    <w:rsid w:val="00710FBE"/>
    <w:rsid w:val="007156ED"/>
    <w:rsid w:val="007174FA"/>
    <w:rsid w:val="007239BA"/>
    <w:rsid w:val="007239FF"/>
    <w:rsid w:val="00723D72"/>
    <w:rsid w:val="007251E2"/>
    <w:rsid w:val="0072688C"/>
    <w:rsid w:val="00727420"/>
    <w:rsid w:val="00730063"/>
    <w:rsid w:val="00732DAD"/>
    <w:rsid w:val="00734E60"/>
    <w:rsid w:val="00735322"/>
    <w:rsid w:val="00736FA7"/>
    <w:rsid w:val="00741510"/>
    <w:rsid w:val="00743A08"/>
    <w:rsid w:val="007463B1"/>
    <w:rsid w:val="00746AF0"/>
    <w:rsid w:val="00746B66"/>
    <w:rsid w:val="00746E7F"/>
    <w:rsid w:val="00752A83"/>
    <w:rsid w:val="00753C4E"/>
    <w:rsid w:val="0075507F"/>
    <w:rsid w:val="00755565"/>
    <w:rsid w:val="00755FFB"/>
    <w:rsid w:val="00761BB3"/>
    <w:rsid w:val="00765DF9"/>
    <w:rsid w:val="00765E3F"/>
    <w:rsid w:val="0076610B"/>
    <w:rsid w:val="00770119"/>
    <w:rsid w:val="007702D4"/>
    <w:rsid w:val="007706DE"/>
    <w:rsid w:val="007717DA"/>
    <w:rsid w:val="007719FB"/>
    <w:rsid w:val="00773019"/>
    <w:rsid w:val="007747D5"/>
    <w:rsid w:val="00774F36"/>
    <w:rsid w:val="0077563C"/>
    <w:rsid w:val="007757F6"/>
    <w:rsid w:val="00776B44"/>
    <w:rsid w:val="00777F9D"/>
    <w:rsid w:val="00780350"/>
    <w:rsid w:val="00780EB4"/>
    <w:rsid w:val="00783FA3"/>
    <w:rsid w:val="00787F16"/>
    <w:rsid w:val="00792220"/>
    <w:rsid w:val="0079299B"/>
    <w:rsid w:val="00792EE5"/>
    <w:rsid w:val="007944C4"/>
    <w:rsid w:val="0079562C"/>
    <w:rsid w:val="00797E95"/>
    <w:rsid w:val="007A0E6E"/>
    <w:rsid w:val="007A1573"/>
    <w:rsid w:val="007A22E7"/>
    <w:rsid w:val="007A2A09"/>
    <w:rsid w:val="007A356C"/>
    <w:rsid w:val="007A36C7"/>
    <w:rsid w:val="007A3965"/>
    <w:rsid w:val="007A72D6"/>
    <w:rsid w:val="007B05B5"/>
    <w:rsid w:val="007B133E"/>
    <w:rsid w:val="007B1657"/>
    <w:rsid w:val="007B1BA0"/>
    <w:rsid w:val="007B34ED"/>
    <w:rsid w:val="007B43CE"/>
    <w:rsid w:val="007B5237"/>
    <w:rsid w:val="007B53AC"/>
    <w:rsid w:val="007B62EC"/>
    <w:rsid w:val="007B7BAC"/>
    <w:rsid w:val="007C040A"/>
    <w:rsid w:val="007C2946"/>
    <w:rsid w:val="007C2D82"/>
    <w:rsid w:val="007C3D74"/>
    <w:rsid w:val="007C427A"/>
    <w:rsid w:val="007C5077"/>
    <w:rsid w:val="007D01BF"/>
    <w:rsid w:val="007D1BB4"/>
    <w:rsid w:val="007D20E7"/>
    <w:rsid w:val="007D266A"/>
    <w:rsid w:val="007D587D"/>
    <w:rsid w:val="007D6F72"/>
    <w:rsid w:val="007D7767"/>
    <w:rsid w:val="007E0993"/>
    <w:rsid w:val="007E0BF2"/>
    <w:rsid w:val="007E1ACA"/>
    <w:rsid w:val="007E1D87"/>
    <w:rsid w:val="007E3FEF"/>
    <w:rsid w:val="007E44D2"/>
    <w:rsid w:val="007E4D12"/>
    <w:rsid w:val="007E6398"/>
    <w:rsid w:val="007E6D9D"/>
    <w:rsid w:val="007E7261"/>
    <w:rsid w:val="007F0F1E"/>
    <w:rsid w:val="007F123B"/>
    <w:rsid w:val="007F29FA"/>
    <w:rsid w:val="007F5B7F"/>
    <w:rsid w:val="007F6A4E"/>
    <w:rsid w:val="007F6BAC"/>
    <w:rsid w:val="007F7BE2"/>
    <w:rsid w:val="008008D3"/>
    <w:rsid w:val="00801E1D"/>
    <w:rsid w:val="00802EB8"/>
    <w:rsid w:val="00804546"/>
    <w:rsid w:val="00806779"/>
    <w:rsid w:val="00810ACB"/>
    <w:rsid w:val="0081194F"/>
    <w:rsid w:val="00811A35"/>
    <w:rsid w:val="00811FCD"/>
    <w:rsid w:val="008121FD"/>
    <w:rsid w:val="00814BDD"/>
    <w:rsid w:val="008156DA"/>
    <w:rsid w:val="008163C7"/>
    <w:rsid w:val="0081682D"/>
    <w:rsid w:val="00820F44"/>
    <w:rsid w:val="008218F5"/>
    <w:rsid w:val="00822668"/>
    <w:rsid w:val="00825931"/>
    <w:rsid w:val="00825C3B"/>
    <w:rsid w:val="0082789A"/>
    <w:rsid w:val="00833888"/>
    <w:rsid w:val="008339B1"/>
    <w:rsid w:val="00834A8C"/>
    <w:rsid w:val="00834FAB"/>
    <w:rsid w:val="008353DB"/>
    <w:rsid w:val="0083729B"/>
    <w:rsid w:val="008372AE"/>
    <w:rsid w:val="008467AA"/>
    <w:rsid w:val="008509D8"/>
    <w:rsid w:val="0085192C"/>
    <w:rsid w:val="00851C3C"/>
    <w:rsid w:val="008520F0"/>
    <w:rsid w:val="008532DA"/>
    <w:rsid w:val="00853710"/>
    <w:rsid w:val="00854557"/>
    <w:rsid w:val="0085617B"/>
    <w:rsid w:val="00856A7B"/>
    <w:rsid w:val="0086177B"/>
    <w:rsid w:val="00861B35"/>
    <w:rsid w:val="008628EA"/>
    <w:rsid w:val="0086524F"/>
    <w:rsid w:val="00865A7B"/>
    <w:rsid w:val="008669F2"/>
    <w:rsid w:val="008670C8"/>
    <w:rsid w:val="00867D70"/>
    <w:rsid w:val="0087013A"/>
    <w:rsid w:val="00871855"/>
    <w:rsid w:val="0087245B"/>
    <w:rsid w:val="00872D6A"/>
    <w:rsid w:val="0087459E"/>
    <w:rsid w:val="0087667B"/>
    <w:rsid w:val="0087703B"/>
    <w:rsid w:val="008775EA"/>
    <w:rsid w:val="0087799D"/>
    <w:rsid w:val="00881F7D"/>
    <w:rsid w:val="00882CDC"/>
    <w:rsid w:val="008839DD"/>
    <w:rsid w:val="0088546C"/>
    <w:rsid w:val="00885E46"/>
    <w:rsid w:val="00890123"/>
    <w:rsid w:val="00891651"/>
    <w:rsid w:val="00893EA8"/>
    <w:rsid w:val="008942E7"/>
    <w:rsid w:val="008946C9"/>
    <w:rsid w:val="008975F0"/>
    <w:rsid w:val="008A0113"/>
    <w:rsid w:val="008A2665"/>
    <w:rsid w:val="008A3564"/>
    <w:rsid w:val="008A36B0"/>
    <w:rsid w:val="008A3DC2"/>
    <w:rsid w:val="008A599E"/>
    <w:rsid w:val="008A76B2"/>
    <w:rsid w:val="008B0601"/>
    <w:rsid w:val="008B0951"/>
    <w:rsid w:val="008B2116"/>
    <w:rsid w:val="008B2514"/>
    <w:rsid w:val="008B28AD"/>
    <w:rsid w:val="008B2E8E"/>
    <w:rsid w:val="008B452F"/>
    <w:rsid w:val="008B6EC3"/>
    <w:rsid w:val="008B6ECE"/>
    <w:rsid w:val="008B770C"/>
    <w:rsid w:val="008C0287"/>
    <w:rsid w:val="008C17F4"/>
    <w:rsid w:val="008C272C"/>
    <w:rsid w:val="008C3766"/>
    <w:rsid w:val="008C38D2"/>
    <w:rsid w:val="008C3DA5"/>
    <w:rsid w:val="008C57A4"/>
    <w:rsid w:val="008C6197"/>
    <w:rsid w:val="008C7C91"/>
    <w:rsid w:val="008D1EDA"/>
    <w:rsid w:val="008D2B04"/>
    <w:rsid w:val="008D3235"/>
    <w:rsid w:val="008D4110"/>
    <w:rsid w:val="008D69AF"/>
    <w:rsid w:val="008D72AE"/>
    <w:rsid w:val="008E0087"/>
    <w:rsid w:val="008E0F7F"/>
    <w:rsid w:val="008E1CAB"/>
    <w:rsid w:val="008E363A"/>
    <w:rsid w:val="008E4385"/>
    <w:rsid w:val="008E4B3F"/>
    <w:rsid w:val="008E705A"/>
    <w:rsid w:val="008E7792"/>
    <w:rsid w:val="008E781A"/>
    <w:rsid w:val="008F0716"/>
    <w:rsid w:val="008F0C43"/>
    <w:rsid w:val="008F1177"/>
    <w:rsid w:val="008F2DA4"/>
    <w:rsid w:val="008F641C"/>
    <w:rsid w:val="008F7356"/>
    <w:rsid w:val="008F7ABA"/>
    <w:rsid w:val="00900504"/>
    <w:rsid w:val="009019D8"/>
    <w:rsid w:val="00902BCB"/>
    <w:rsid w:val="009033A0"/>
    <w:rsid w:val="00904F72"/>
    <w:rsid w:val="00906194"/>
    <w:rsid w:val="009072CB"/>
    <w:rsid w:val="009079E7"/>
    <w:rsid w:val="00910052"/>
    <w:rsid w:val="009104CD"/>
    <w:rsid w:val="009109FA"/>
    <w:rsid w:val="00910F09"/>
    <w:rsid w:val="00912DDC"/>
    <w:rsid w:val="009137C2"/>
    <w:rsid w:val="0091381A"/>
    <w:rsid w:val="009150D9"/>
    <w:rsid w:val="009159F3"/>
    <w:rsid w:val="0091703A"/>
    <w:rsid w:val="009213A4"/>
    <w:rsid w:val="00921FAA"/>
    <w:rsid w:val="009220A1"/>
    <w:rsid w:val="009232AD"/>
    <w:rsid w:val="009251A6"/>
    <w:rsid w:val="00925F31"/>
    <w:rsid w:val="00926DB2"/>
    <w:rsid w:val="009275E2"/>
    <w:rsid w:val="00932035"/>
    <w:rsid w:val="0093577E"/>
    <w:rsid w:val="00941372"/>
    <w:rsid w:val="009420DB"/>
    <w:rsid w:val="00943AAC"/>
    <w:rsid w:val="00944BF8"/>
    <w:rsid w:val="0094533B"/>
    <w:rsid w:val="00947BA1"/>
    <w:rsid w:val="00947F16"/>
    <w:rsid w:val="00953591"/>
    <w:rsid w:val="00953799"/>
    <w:rsid w:val="00953D73"/>
    <w:rsid w:val="0095447A"/>
    <w:rsid w:val="00955869"/>
    <w:rsid w:val="00955C48"/>
    <w:rsid w:val="009568E7"/>
    <w:rsid w:val="00956C3C"/>
    <w:rsid w:val="00957BD1"/>
    <w:rsid w:val="00961825"/>
    <w:rsid w:val="00961D59"/>
    <w:rsid w:val="00961E57"/>
    <w:rsid w:val="00963C24"/>
    <w:rsid w:val="00966867"/>
    <w:rsid w:val="009670B9"/>
    <w:rsid w:val="00970BC3"/>
    <w:rsid w:val="0097200E"/>
    <w:rsid w:val="009721E1"/>
    <w:rsid w:val="00972674"/>
    <w:rsid w:val="00972E8A"/>
    <w:rsid w:val="00973023"/>
    <w:rsid w:val="0097317A"/>
    <w:rsid w:val="00975323"/>
    <w:rsid w:val="00975370"/>
    <w:rsid w:val="0098046A"/>
    <w:rsid w:val="00980AB4"/>
    <w:rsid w:val="00980E7F"/>
    <w:rsid w:val="009820AE"/>
    <w:rsid w:val="0098431E"/>
    <w:rsid w:val="009846B8"/>
    <w:rsid w:val="00986C56"/>
    <w:rsid w:val="00987719"/>
    <w:rsid w:val="00987B34"/>
    <w:rsid w:val="009907C1"/>
    <w:rsid w:val="00991BA5"/>
    <w:rsid w:val="00994617"/>
    <w:rsid w:val="0099700F"/>
    <w:rsid w:val="00997402"/>
    <w:rsid w:val="009A1423"/>
    <w:rsid w:val="009A184D"/>
    <w:rsid w:val="009A2860"/>
    <w:rsid w:val="009A41DD"/>
    <w:rsid w:val="009A5997"/>
    <w:rsid w:val="009A723C"/>
    <w:rsid w:val="009B0ADB"/>
    <w:rsid w:val="009B3073"/>
    <w:rsid w:val="009B5C4C"/>
    <w:rsid w:val="009B794F"/>
    <w:rsid w:val="009B7EB4"/>
    <w:rsid w:val="009C0B4C"/>
    <w:rsid w:val="009C2975"/>
    <w:rsid w:val="009C3348"/>
    <w:rsid w:val="009C3FBB"/>
    <w:rsid w:val="009C5E2E"/>
    <w:rsid w:val="009C674E"/>
    <w:rsid w:val="009C6C4F"/>
    <w:rsid w:val="009C6DA7"/>
    <w:rsid w:val="009C6DB2"/>
    <w:rsid w:val="009C7BEB"/>
    <w:rsid w:val="009D0E85"/>
    <w:rsid w:val="009D0ECB"/>
    <w:rsid w:val="009D1F56"/>
    <w:rsid w:val="009D2353"/>
    <w:rsid w:val="009D593F"/>
    <w:rsid w:val="009D5C4D"/>
    <w:rsid w:val="009D64B8"/>
    <w:rsid w:val="009D7012"/>
    <w:rsid w:val="009D799C"/>
    <w:rsid w:val="009E141B"/>
    <w:rsid w:val="009E1769"/>
    <w:rsid w:val="009E2330"/>
    <w:rsid w:val="009E2E50"/>
    <w:rsid w:val="009E32BE"/>
    <w:rsid w:val="009E4F97"/>
    <w:rsid w:val="009E6230"/>
    <w:rsid w:val="009E6A2A"/>
    <w:rsid w:val="009F10B9"/>
    <w:rsid w:val="009F1551"/>
    <w:rsid w:val="009F2878"/>
    <w:rsid w:val="009F46BD"/>
    <w:rsid w:val="009F58E5"/>
    <w:rsid w:val="009F615D"/>
    <w:rsid w:val="00A03A73"/>
    <w:rsid w:val="00A03CC2"/>
    <w:rsid w:val="00A10085"/>
    <w:rsid w:val="00A10524"/>
    <w:rsid w:val="00A125C7"/>
    <w:rsid w:val="00A130FF"/>
    <w:rsid w:val="00A13ECF"/>
    <w:rsid w:val="00A14131"/>
    <w:rsid w:val="00A167CA"/>
    <w:rsid w:val="00A168E8"/>
    <w:rsid w:val="00A16B83"/>
    <w:rsid w:val="00A16B93"/>
    <w:rsid w:val="00A217E1"/>
    <w:rsid w:val="00A2589C"/>
    <w:rsid w:val="00A3127A"/>
    <w:rsid w:val="00A31285"/>
    <w:rsid w:val="00A31864"/>
    <w:rsid w:val="00A32BCE"/>
    <w:rsid w:val="00A32F6F"/>
    <w:rsid w:val="00A339F8"/>
    <w:rsid w:val="00A34289"/>
    <w:rsid w:val="00A342E6"/>
    <w:rsid w:val="00A34C0C"/>
    <w:rsid w:val="00A36C02"/>
    <w:rsid w:val="00A37EB3"/>
    <w:rsid w:val="00A42738"/>
    <w:rsid w:val="00A42A00"/>
    <w:rsid w:val="00A42FC1"/>
    <w:rsid w:val="00A43E3E"/>
    <w:rsid w:val="00A4514D"/>
    <w:rsid w:val="00A45D98"/>
    <w:rsid w:val="00A47E1F"/>
    <w:rsid w:val="00A514D4"/>
    <w:rsid w:val="00A5585D"/>
    <w:rsid w:val="00A55F5D"/>
    <w:rsid w:val="00A560EF"/>
    <w:rsid w:val="00A56CDE"/>
    <w:rsid w:val="00A61026"/>
    <w:rsid w:val="00A6196E"/>
    <w:rsid w:val="00A62009"/>
    <w:rsid w:val="00A621E6"/>
    <w:rsid w:val="00A62682"/>
    <w:rsid w:val="00A62997"/>
    <w:rsid w:val="00A62ED2"/>
    <w:rsid w:val="00A6372E"/>
    <w:rsid w:val="00A65B89"/>
    <w:rsid w:val="00A67377"/>
    <w:rsid w:val="00A70BB2"/>
    <w:rsid w:val="00A710D6"/>
    <w:rsid w:val="00A74210"/>
    <w:rsid w:val="00A74B19"/>
    <w:rsid w:val="00A74D91"/>
    <w:rsid w:val="00A75110"/>
    <w:rsid w:val="00A756B2"/>
    <w:rsid w:val="00A77153"/>
    <w:rsid w:val="00A77464"/>
    <w:rsid w:val="00A812E1"/>
    <w:rsid w:val="00A81DEA"/>
    <w:rsid w:val="00A823D5"/>
    <w:rsid w:val="00A82F7B"/>
    <w:rsid w:val="00A83436"/>
    <w:rsid w:val="00A8443B"/>
    <w:rsid w:val="00A8453D"/>
    <w:rsid w:val="00A8517F"/>
    <w:rsid w:val="00A85699"/>
    <w:rsid w:val="00A859AD"/>
    <w:rsid w:val="00A90204"/>
    <w:rsid w:val="00A9086C"/>
    <w:rsid w:val="00A90DE1"/>
    <w:rsid w:val="00A90EB1"/>
    <w:rsid w:val="00A91D77"/>
    <w:rsid w:val="00A91F0B"/>
    <w:rsid w:val="00A92A5F"/>
    <w:rsid w:val="00A93038"/>
    <w:rsid w:val="00A94512"/>
    <w:rsid w:val="00A948DF"/>
    <w:rsid w:val="00A95A8F"/>
    <w:rsid w:val="00A95B21"/>
    <w:rsid w:val="00A97AD7"/>
    <w:rsid w:val="00AA05DD"/>
    <w:rsid w:val="00AA224A"/>
    <w:rsid w:val="00AA4661"/>
    <w:rsid w:val="00AA56F4"/>
    <w:rsid w:val="00AA6602"/>
    <w:rsid w:val="00AA688E"/>
    <w:rsid w:val="00AB34FE"/>
    <w:rsid w:val="00AB57FB"/>
    <w:rsid w:val="00AB5E93"/>
    <w:rsid w:val="00AB61CA"/>
    <w:rsid w:val="00AB64FB"/>
    <w:rsid w:val="00AB6553"/>
    <w:rsid w:val="00AD0232"/>
    <w:rsid w:val="00AD120C"/>
    <w:rsid w:val="00AD13B4"/>
    <w:rsid w:val="00AD18CD"/>
    <w:rsid w:val="00AD46B8"/>
    <w:rsid w:val="00AD6FF2"/>
    <w:rsid w:val="00AE0792"/>
    <w:rsid w:val="00AE457D"/>
    <w:rsid w:val="00AE4D91"/>
    <w:rsid w:val="00AE599D"/>
    <w:rsid w:val="00AE66AC"/>
    <w:rsid w:val="00AE7DA8"/>
    <w:rsid w:val="00AF04AE"/>
    <w:rsid w:val="00AF07C9"/>
    <w:rsid w:val="00AF1242"/>
    <w:rsid w:val="00AF21EA"/>
    <w:rsid w:val="00AF3749"/>
    <w:rsid w:val="00AF43E6"/>
    <w:rsid w:val="00AF7F2A"/>
    <w:rsid w:val="00B02170"/>
    <w:rsid w:val="00B02D45"/>
    <w:rsid w:val="00B04309"/>
    <w:rsid w:val="00B10F6B"/>
    <w:rsid w:val="00B11C3A"/>
    <w:rsid w:val="00B1310B"/>
    <w:rsid w:val="00B13255"/>
    <w:rsid w:val="00B135A0"/>
    <w:rsid w:val="00B136FF"/>
    <w:rsid w:val="00B1433C"/>
    <w:rsid w:val="00B14FE8"/>
    <w:rsid w:val="00B15162"/>
    <w:rsid w:val="00B16B07"/>
    <w:rsid w:val="00B178B3"/>
    <w:rsid w:val="00B2005F"/>
    <w:rsid w:val="00B20842"/>
    <w:rsid w:val="00B2166D"/>
    <w:rsid w:val="00B22536"/>
    <w:rsid w:val="00B2311E"/>
    <w:rsid w:val="00B234CF"/>
    <w:rsid w:val="00B27602"/>
    <w:rsid w:val="00B302B0"/>
    <w:rsid w:val="00B31B2E"/>
    <w:rsid w:val="00B31DBB"/>
    <w:rsid w:val="00B31E17"/>
    <w:rsid w:val="00B342CB"/>
    <w:rsid w:val="00B34B11"/>
    <w:rsid w:val="00B350D8"/>
    <w:rsid w:val="00B3513F"/>
    <w:rsid w:val="00B35CD6"/>
    <w:rsid w:val="00B36AB5"/>
    <w:rsid w:val="00B4022E"/>
    <w:rsid w:val="00B4242B"/>
    <w:rsid w:val="00B43DD9"/>
    <w:rsid w:val="00B46F93"/>
    <w:rsid w:val="00B52F14"/>
    <w:rsid w:val="00B536BD"/>
    <w:rsid w:val="00B571A9"/>
    <w:rsid w:val="00B603E4"/>
    <w:rsid w:val="00B62A08"/>
    <w:rsid w:val="00B633A3"/>
    <w:rsid w:val="00B65581"/>
    <w:rsid w:val="00B65BB9"/>
    <w:rsid w:val="00B67F1A"/>
    <w:rsid w:val="00B71899"/>
    <w:rsid w:val="00B71F12"/>
    <w:rsid w:val="00B726B6"/>
    <w:rsid w:val="00B73051"/>
    <w:rsid w:val="00B74960"/>
    <w:rsid w:val="00B8212B"/>
    <w:rsid w:val="00B8216F"/>
    <w:rsid w:val="00B8282F"/>
    <w:rsid w:val="00B8419A"/>
    <w:rsid w:val="00B85531"/>
    <w:rsid w:val="00B865E9"/>
    <w:rsid w:val="00B8664C"/>
    <w:rsid w:val="00B86ECD"/>
    <w:rsid w:val="00B87197"/>
    <w:rsid w:val="00B87A3B"/>
    <w:rsid w:val="00B9006D"/>
    <w:rsid w:val="00B90702"/>
    <w:rsid w:val="00B90F47"/>
    <w:rsid w:val="00B91261"/>
    <w:rsid w:val="00B9190E"/>
    <w:rsid w:val="00B93036"/>
    <w:rsid w:val="00B94702"/>
    <w:rsid w:val="00B9503E"/>
    <w:rsid w:val="00B969EF"/>
    <w:rsid w:val="00BA090C"/>
    <w:rsid w:val="00BA287F"/>
    <w:rsid w:val="00BA4F89"/>
    <w:rsid w:val="00BA515A"/>
    <w:rsid w:val="00BA59A1"/>
    <w:rsid w:val="00BA5A33"/>
    <w:rsid w:val="00BA6EF8"/>
    <w:rsid w:val="00BB0A63"/>
    <w:rsid w:val="00BB1CBF"/>
    <w:rsid w:val="00BB3AC0"/>
    <w:rsid w:val="00BB77C4"/>
    <w:rsid w:val="00BC17D9"/>
    <w:rsid w:val="00BC2797"/>
    <w:rsid w:val="00BC28CB"/>
    <w:rsid w:val="00BC2EF9"/>
    <w:rsid w:val="00BC40A6"/>
    <w:rsid w:val="00BC4494"/>
    <w:rsid w:val="00BC4BE1"/>
    <w:rsid w:val="00BC4E99"/>
    <w:rsid w:val="00BC54FE"/>
    <w:rsid w:val="00BC726C"/>
    <w:rsid w:val="00BC7737"/>
    <w:rsid w:val="00BD268A"/>
    <w:rsid w:val="00BD7AD1"/>
    <w:rsid w:val="00BE03A2"/>
    <w:rsid w:val="00BE237B"/>
    <w:rsid w:val="00BE342D"/>
    <w:rsid w:val="00BE5E77"/>
    <w:rsid w:val="00BE61AD"/>
    <w:rsid w:val="00BE6ADD"/>
    <w:rsid w:val="00BF0263"/>
    <w:rsid w:val="00BF0CF7"/>
    <w:rsid w:val="00BF28EE"/>
    <w:rsid w:val="00BF2B20"/>
    <w:rsid w:val="00BF3D2F"/>
    <w:rsid w:val="00BF4B50"/>
    <w:rsid w:val="00BF5A1A"/>
    <w:rsid w:val="00C00E24"/>
    <w:rsid w:val="00C01EC6"/>
    <w:rsid w:val="00C02FE4"/>
    <w:rsid w:val="00C0363F"/>
    <w:rsid w:val="00C037FD"/>
    <w:rsid w:val="00C03E22"/>
    <w:rsid w:val="00C04ADF"/>
    <w:rsid w:val="00C0508E"/>
    <w:rsid w:val="00C06B25"/>
    <w:rsid w:val="00C07452"/>
    <w:rsid w:val="00C121D5"/>
    <w:rsid w:val="00C12D1D"/>
    <w:rsid w:val="00C17F13"/>
    <w:rsid w:val="00C214B3"/>
    <w:rsid w:val="00C21CD7"/>
    <w:rsid w:val="00C21F1A"/>
    <w:rsid w:val="00C23962"/>
    <w:rsid w:val="00C25B51"/>
    <w:rsid w:val="00C273BC"/>
    <w:rsid w:val="00C274FC"/>
    <w:rsid w:val="00C3346C"/>
    <w:rsid w:val="00C33D2D"/>
    <w:rsid w:val="00C37878"/>
    <w:rsid w:val="00C3795B"/>
    <w:rsid w:val="00C37CD9"/>
    <w:rsid w:val="00C40802"/>
    <w:rsid w:val="00C450ED"/>
    <w:rsid w:val="00C4572B"/>
    <w:rsid w:val="00C45931"/>
    <w:rsid w:val="00C46EF6"/>
    <w:rsid w:val="00C51A0B"/>
    <w:rsid w:val="00C51E08"/>
    <w:rsid w:val="00C52A99"/>
    <w:rsid w:val="00C537F3"/>
    <w:rsid w:val="00C55A86"/>
    <w:rsid w:val="00C573F4"/>
    <w:rsid w:val="00C61086"/>
    <w:rsid w:val="00C62C0E"/>
    <w:rsid w:val="00C63372"/>
    <w:rsid w:val="00C63690"/>
    <w:rsid w:val="00C64B7D"/>
    <w:rsid w:val="00C65065"/>
    <w:rsid w:val="00C6549D"/>
    <w:rsid w:val="00C673F9"/>
    <w:rsid w:val="00C71142"/>
    <w:rsid w:val="00C723EB"/>
    <w:rsid w:val="00C738A6"/>
    <w:rsid w:val="00C744EE"/>
    <w:rsid w:val="00C75155"/>
    <w:rsid w:val="00C75DE7"/>
    <w:rsid w:val="00C80773"/>
    <w:rsid w:val="00C80AB8"/>
    <w:rsid w:val="00C8514E"/>
    <w:rsid w:val="00C85997"/>
    <w:rsid w:val="00C90B6A"/>
    <w:rsid w:val="00C90D1D"/>
    <w:rsid w:val="00C9280D"/>
    <w:rsid w:val="00C971C0"/>
    <w:rsid w:val="00C9796E"/>
    <w:rsid w:val="00CA079A"/>
    <w:rsid w:val="00CA0855"/>
    <w:rsid w:val="00CA2C54"/>
    <w:rsid w:val="00CA3231"/>
    <w:rsid w:val="00CA4711"/>
    <w:rsid w:val="00CA5ED8"/>
    <w:rsid w:val="00CA675A"/>
    <w:rsid w:val="00CA6BCF"/>
    <w:rsid w:val="00CB42BC"/>
    <w:rsid w:val="00CB4EEB"/>
    <w:rsid w:val="00CB6201"/>
    <w:rsid w:val="00CC0895"/>
    <w:rsid w:val="00CC1E96"/>
    <w:rsid w:val="00CC2516"/>
    <w:rsid w:val="00CC2D2A"/>
    <w:rsid w:val="00CC4858"/>
    <w:rsid w:val="00CC49B8"/>
    <w:rsid w:val="00CC4BB5"/>
    <w:rsid w:val="00CC599A"/>
    <w:rsid w:val="00CC5B06"/>
    <w:rsid w:val="00CC6053"/>
    <w:rsid w:val="00CC7F14"/>
    <w:rsid w:val="00CD0081"/>
    <w:rsid w:val="00CD2300"/>
    <w:rsid w:val="00CD4EE2"/>
    <w:rsid w:val="00CE31B0"/>
    <w:rsid w:val="00CE3F78"/>
    <w:rsid w:val="00CE40D3"/>
    <w:rsid w:val="00CE5B02"/>
    <w:rsid w:val="00CE60A8"/>
    <w:rsid w:val="00CF0297"/>
    <w:rsid w:val="00CF0DCF"/>
    <w:rsid w:val="00CF1CE8"/>
    <w:rsid w:val="00CF38BD"/>
    <w:rsid w:val="00CF4255"/>
    <w:rsid w:val="00CF6259"/>
    <w:rsid w:val="00D011DA"/>
    <w:rsid w:val="00D02461"/>
    <w:rsid w:val="00D02A29"/>
    <w:rsid w:val="00D03CA5"/>
    <w:rsid w:val="00D03F6D"/>
    <w:rsid w:val="00D0589B"/>
    <w:rsid w:val="00D117A8"/>
    <w:rsid w:val="00D15579"/>
    <w:rsid w:val="00D16C7B"/>
    <w:rsid w:val="00D2022A"/>
    <w:rsid w:val="00D21F85"/>
    <w:rsid w:val="00D22471"/>
    <w:rsid w:val="00D22FC9"/>
    <w:rsid w:val="00D243CC"/>
    <w:rsid w:val="00D24D12"/>
    <w:rsid w:val="00D25DA0"/>
    <w:rsid w:val="00D26991"/>
    <w:rsid w:val="00D27683"/>
    <w:rsid w:val="00D2785A"/>
    <w:rsid w:val="00D27A4F"/>
    <w:rsid w:val="00D30827"/>
    <w:rsid w:val="00D309BB"/>
    <w:rsid w:val="00D31D79"/>
    <w:rsid w:val="00D3367D"/>
    <w:rsid w:val="00D37B3E"/>
    <w:rsid w:val="00D42A23"/>
    <w:rsid w:val="00D436D3"/>
    <w:rsid w:val="00D43B8B"/>
    <w:rsid w:val="00D43DF5"/>
    <w:rsid w:val="00D46322"/>
    <w:rsid w:val="00D47F47"/>
    <w:rsid w:val="00D47FBF"/>
    <w:rsid w:val="00D501E2"/>
    <w:rsid w:val="00D516EB"/>
    <w:rsid w:val="00D524D7"/>
    <w:rsid w:val="00D531E9"/>
    <w:rsid w:val="00D556B6"/>
    <w:rsid w:val="00D55F40"/>
    <w:rsid w:val="00D57551"/>
    <w:rsid w:val="00D5791B"/>
    <w:rsid w:val="00D64062"/>
    <w:rsid w:val="00D66123"/>
    <w:rsid w:val="00D753BC"/>
    <w:rsid w:val="00D75713"/>
    <w:rsid w:val="00D75BE8"/>
    <w:rsid w:val="00D80693"/>
    <w:rsid w:val="00D85104"/>
    <w:rsid w:val="00D8653A"/>
    <w:rsid w:val="00D92853"/>
    <w:rsid w:val="00D92C78"/>
    <w:rsid w:val="00D94DA9"/>
    <w:rsid w:val="00D97AA0"/>
    <w:rsid w:val="00DA1609"/>
    <w:rsid w:val="00DA42B6"/>
    <w:rsid w:val="00DA478E"/>
    <w:rsid w:val="00DB0876"/>
    <w:rsid w:val="00DB090F"/>
    <w:rsid w:val="00DB1C72"/>
    <w:rsid w:val="00DB5781"/>
    <w:rsid w:val="00DB5BB2"/>
    <w:rsid w:val="00DC21DE"/>
    <w:rsid w:val="00DC2260"/>
    <w:rsid w:val="00DC2C61"/>
    <w:rsid w:val="00DC2F6D"/>
    <w:rsid w:val="00DC6AFA"/>
    <w:rsid w:val="00DC704E"/>
    <w:rsid w:val="00DC7101"/>
    <w:rsid w:val="00DC75C2"/>
    <w:rsid w:val="00DD18E2"/>
    <w:rsid w:val="00DD214A"/>
    <w:rsid w:val="00DD42BD"/>
    <w:rsid w:val="00DD5138"/>
    <w:rsid w:val="00DD60B5"/>
    <w:rsid w:val="00DD630E"/>
    <w:rsid w:val="00DE0A07"/>
    <w:rsid w:val="00DE0E3C"/>
    <w:rsid w:val="00DE3BE2"/>
    <w:rsid w:val="00DE688A"/>
    <w:rsid w:val="00DF0D84"/>
    <w:rsid w:val="00DF1218"/>
    <w:rsid w:val="00DF5B2C"/>
    <w:rsid w:val="00DF61F2"/>
    <w:rsid w:val="00DF6F52"/>
    <w:rsid w:val="00DF739E"/>
    <w:rsid w:val="00DF7AF6"/>
    <w:rsid w:val="00E00786"/>
    <w:rsid w:val="00E00A90"/>
    <w:rsid w:val="00E027B4"/>
    <w:rsid w:val="00E03388"/>
    <w:rsid w:val="00E038B1"/>
    <w:rsid w:val="00E046F1"/>
    <w:rsid w:val="00E04929"/>
    <w:rsid w:val="00E100A7"/>
    <w:rsid w:val="00E13C25"/>
    <w:rsid w:val="00E213A1"/>
    <w:rsid w:val="00E21C9D"/>
    <w:rsid w:val="00E23631"/>
    <w:rsid w:val="00E271C3"/>
    <w:rsid w:val="00E30277"/>
    <w:rsid w:val="00E302A1"/>
    <w:rsid w:val="00E31770"/>
    <w:rsid w:val="00E32328"/>
    <w:rsid w:val="00E34495"/>
    <w:rsid w:val="00E3508E"/>
    <w:rsid w:val="00E3531C"/>
    <w:rsid w:val="00E3623C"/>
    <w:rsid w:val="00E40583"/>
    <w:rsid w:val="00E408C7"/>
    <w:rsid w:val="00E4138F"/>
    <w:rsid w:val="00E4420B"/>
    <w:rsid w:val="00E477B6"/>
    <w:rsid w:val="00E51775"/>
    <w:rsid w:val="00E51FFA"/>
    <w:rsid w:val="00E5355C"/>
    <w:rsid w:val="00E553F8"/>
    <w:rsid w:val="00E565AC"/>
    <w:rsid w:val="00E56DA8"/>
    <w:rsid w:val="00E57CAA"/>
    <w:rsid w:val="00E57F5F"/>
    <w:rsid w:val="00E60744"/>
    <w:rsid w:val="00E60C33"/>
    <w:rsid w:val="00E61A35"/>
    <w:rsid w:val="00E61EAC"/>
    <w:rsid w:val="00E635DC"/>
    <w:rsid w:val="00E65310"/>
    <w:rsid w:val="00E66F58"/>
    <w:rsid w:val="00E6708F"/>
    <w:rsid w:val="00E67C0E"/>
    <w:rsid w:val="00E700C7"/>
    <w:rsid w:val="00E70E09"/>
    <w:rsid w:val="00E71C58"/>
    <w:rsid w:val="00E723EB"/>
    <w:rsid w:val="00E72536"/>
    <w:rsid w:val="00E72D8B"/>
    <w:rsid w:val="00E7398B"/>
    <w:rsid w:val="00E7441B"/>
    <w:rsid w:val="00E7536F"/>
    <w:rsid w:val="00E75562"/>
    <w:rsid w:val="00E756DB"/>
    <w:rsid w:val="00E772C2"/>
    <w:rsid w:val="00E77565"/>
    <w:rsid w:val="00E80F83"/>
    <w:rsid w:val="00E82064"/>
    <w:rsid w:val="00E82FFC"/>
    <w:rsid w:val="00E8304E"/>
    <w:rsid w:val="00E83BC5"/>
    <w:rsid w:val="00E852BC"/>
    <w:rsid w:val="00E85701"/>
    <w:rsid w:val="00E86393"/>
    <w:rsid w:val="00E86E58"/>
    <w:rsid w:val="00E86FD8"/>
    <w:rsid w:val="00E87467"/>
    <w:rsid w:val="00E877A7"/>
    <w:rsid w:val="00E902E5"/>
    <w:rsid w:val="00E90C54"/>
    <w:rsid w:val="00E90DEE"/>
    <w:rsid w:val="00E92653"/>
    <w:rsid w:val="00E93F67"/>
    <w:rsid w:val="00E95965"/>
    <w:rsid w:val="00E968A1"/>
    <w:rsid w:val="00E9795E"/>
    <w:rsid w:val="00E97CAB"/>
    <w:rsid w:val="00EA4D25"/>
    <w:rsid w:val="00EA707F"/>
    <w:rsid w:val="00EB1C4A"/>
    <w:rsid w:val="00EB28D6"/>
    <w:rsid w:val="00EB67E2"/>
    <w:rsid w:val="00EC0815"/>
    <w:rsid w:val="00EC1BF3"/>
    <w:rsid w:val="00EC3C73"/>
    <w:rsid w:val="00EC4B04"/>
    <w:rsid w:val="00ED014D"/>
    <w:rsid w:val="00ED0A89"/>
    <w:rsid w:val="00ED105B"/>
    <w:rsid w:val="00ED1A34"/>
    <w:rsid w:val="00ED2F38"/>
    <w:rsid w:val="00ED2FEB"/>
    <w:rsid w:val="00ED4958"/>
    <w:rsid w:val="00ED6E5A"/>
    <w:rsid w:val="00ED7B69"/>
    <w:rsid w:val="00EE0072"/>
    <w:rsid w:val="00EE05FF"/>
    <w:rsid w:val="00EE2A84"/>
    <w:rsid w:val="00EE3CE1"/>
    <w:rsid w:val="00EE44C7"/>
    <w:rsid w:val="00EE44CA"/>
    <w:rsid w:val="00EE4ACC"/>
    <w:rsid w:val="00EE579F"/>
    <w:rsid w:val="00EE629E"/>
    <w:rsid w:val="00EE6E8E"/>
    <w:rsid w:val="00EE759C"/>
    <w:rsid w:val="00EF251E"/>
    <w:rsid w:val="00EF2F1F"/>
    <w:rsid w:val="00EF4A27"/>
    <w:rsid w:val="00EF4FC2"/>
    <w:rsid w:val="00EF58F9"/>
    <w:rsid w:val="00EF5B6A"/>
    <w:rsid w:val="00EF67D1"/>
    <w:rsid w:val="00EF6C81"/>
    <w:rsid w:val="00EF73A2"/>
    <w:rsid w:val="00EF7C30"/>
    <w:rsid w:val="00F0323C"/>
    <w:rsid w:val="00F0364C"/>
    <w:rsid w:val="00F03E3F"/>
    <w:rsid w:val="00F05200"/>
    <w:rsid w:val="00F0529B"/>
    <w:rsid w:val="00F060CE"/>
    <w:rsid w:val="00F13434"/>
    <w:rsid w:val="00F142D0"/>
    <w:rsid w:val="00F15153"/>
    <w:rsid w:val="00F15B57"/>
    <w:rsid w:val="00F15C77"/>
    <w:rsid w:val="00F162FF"/>
    <w:rsid w:val="00F17350"/>
    <w:rsid w:val="00F205A3"/>
    <w:rsid w:val="00F20748"/>
    <w:rsid w:val="00F21740"/>
    <w:rsid w:val="00F219E1"/>
    <w:rsid w:val="00F21A55"/>
    <w:rsid w:val="00F21B0E"/>
    <w:rsid w:val="00F22D49"/>
    <w:rsid w:val="00F2306F"/>
    <w:rsid w:val="00F244BA"/>
    <w:rsid w:val="00F25AE6"/>
    <w:rsid w:val="00F26FC8"/>
    <w:rsid w:val="00F27A57"/>
    <w:rsid w:val="00F312C7"/>
    <w:rsid w:val="00F31EB6"/>
    <w:rsid w:val="00F3277A"/>
    <w:rsid w:val="00F329AE"/>
    <w:rsid w:val="00F341D5"/>
    <w:rsid w:val="00F34CF6"/>
    <w:rsid w:val="00F36DE3"/>
    <w:rsid w:val="00F40635"/>
    <w:rsid w:val="00F40C73"/>
    <w:rsid w:val="00F418CE"/>
    <w:rsid w:val="00F42305"/>
    <w:rsid w:val="00F44010"/>
    <w:rsid w:val="00F4421F"/>
    <w:rsid w:val="00F45C72"/>
    <w:rsid w:val="00F45DB3"/>
    <w:rsid w:val="00F46A0F"/>
    <w:rsid w:val="00F50732"/>
    <w:rsid w:val="00F50B0E"/>
    <w:rsid w:val="00F50F35"/>
    <w:rsid w:val="00F50FC1"/>
    <w:rsid w:val="00F5324E"/>
    <w:rsid w:val="00F53752"/>
    <w:rsid w:val="00F5751A"/>
    <w:rsid w:val="00F57B8B"/>
    <w:rsid w:val="00F6158D"/>
    <w:rsid w:val="00F61DBD"/>
    <w:rsid w:val="00F6242A"/>
    <w:rsid w:val="00F62800"/>
    <w:rsid w:val="00F6297A"/>
    <w:rsid w:val="00F63298"/>
    <w:rsid w:val="00F63F09"/>
    <w:rsid w:val="00F6697A"/>
    <w:rsid w:val="00F66CA8"/>
    <w:rsid w:val="00F72639"/>
    <w:rsid w:val="00F7575E"/>
    <w:rsid w:val="00F75951"/>
    <w:rsid w:val="00F778DA"/>
    <w:rsid w:val="00F77931"/>
    <w:rsid w:val="00F77E34"/>
    <w:rsid w:val="00F80AF2"/>
    <w:rsid w:val="00F8104B"/>
    <w:rsid w:val="00F81D28"/>
    <w:rsid w:val="00F84B64"/>
    <w:rsid w:val="00F8569C"/>
    <w:rsid w:val="00F85F7D"/>
    <w:rsid w:val="00F8738F"/>
    <w:rsid w:val="00F87FD3"/>
    <w:rsid w:val="00F90348"/>
    <w:rsid w:val="00F905D9"/>
    <w:rsid w:val="00F90B15"/>
    <w:rsid w:val="00F90EEF"/>
    <w:rsid w:val="00F9380F"/>
    <w:rsid w:val="00F975A4"/>
    <w:rsid w:val="00FA3B17"/>
    <w:rsid w:val="00FA4388"/>
    <w:rsid w:val="00FA48CD"/>
    <w:rsid w:val="00FA5301"/>
    <w:rsid w:val="00FA5678"/>
    <w:rsid w:val="00FB25F9"/>
    <w:rsid w:val="00FB40E1"/>
    <w:rsid w:val="00FB57E1"/>
    <w:rsid w:val="00FB5E24"/>
    <w:rsid w:val="00FB69DD"/>
    <w:rsid w:val="00FB6FF5"/>
    <w:rsid w:val="00FB7823"/>
    <w:rsid w:val="00FC07D9"/>
    <w:rsid w:val="00FC323F"/>
    <w:rsid w:val="00FD11DF"/>
    <w:rsid w:val="00FD1516"/>
    <w:rsid w:val="00FD1D1E"/>
    <w:rsid w:val="00FD2A1C"/>
    <w:rsid w:val="00FD3DD1"/>
    <w:rsid w:val="00FD526C"/>
    <w:rsid w:val="00FD5763"/>
    <w:rsid w:val="00FD62F5"/>
    <w:rsid w:val="00FE0A30"/>
    <w:rsid w:val="00FE10BE"/>
    <w:rsid w:val="00FE17F9"/>
    <w:rsid w:val="00FE1A69"/>
    <w:rsid w:val="00FE1FC1"/>
    <w:rsid w:val="00FE2428"/>
    <w:rsid w:val="00FE596D"/>
    <w:rsid w:val="00FE695B"/>
    <w:rsid w:val="00FF1304"/>
    <w:rsid w:val="00FF2077"/>
    <w:rsid w:val="00FF3030"/>
    <w:rsid w:val="00FF34F0"/>
    <w:rsid w:val="00FF37F8"/>
    <w:rsid w:val="00FF3EDF"/>
    <w:rsid w:val="00FF74F0"/>
    <w:rsid w:val="00FF752E"/>
    <w:rsid w:val="00FF7697"/>
    <w:rsid w:val="00FF7EED"/>
    <w:rsid w:val="02D2F48A"/>
    <w:rsid w:val="042EC8A2"/>
    <w:rsid w:val="071966C7"/>
    <w:rsid w:val="077B3132"/>
    <w:rsid w:val="079DC2C8"/>
    <w:rsid w:val="08E2A547"/>
    <w:rsid w:val="0A607971"/>
    <w:rsid w:val="0A8C2F45"/>
    <w:rsid w:val="0BFEEA41"/>
    <w:rsid w:val="0C3D75CF"/>
    <w:rsid w:val="0DDE0259"/>
    <w:rsid w:val="0E40A654"/>
    <w:rsid w:val="101780F4"/>
    <w:rsid w:val="1446C06A"/>
    <w:rsid w:val="146F22D1"/>
    <w:rsid w:val="1729B190"/>
    <w:rsid w:val="17D95251"/>
    <w:rsid w:val="18642AA9"/>
    <w:rsid w:val="1930D61E"/>
    <w:rsid w:val="1931B05C"/>
    <w:rsid w:val="198ECB7D"/>
    <w:rsid w:val="1A851A84"/>
    <w:rsid w:val="1B1F1CDF"/>
    <w:rsid w:val="1D986B8A"/>
    <w:rsid w:val="200391AF"/>
    <w:rsid w:val="20470D4D"/>
    <w:rsid w:val="22C9D5F5"/>
    <w:rsid w:val="2322E344"/>
    <w:rsid w:val="23541240"/>
    <w:rsid w:val="235C55F9"/>
    <w:rsid w:val="23D1990E"/>
    <w:rsid w:val="23FB14C4"/>
    <w:rsid w:val="23FC7793"/>
    <w:rsid w:val="2694538F"/>
    <w:rsid w:val="270F7819"/>
    <w:rsid w:val="273D6463"/>
    <w:rsid w:val="280853ED"/>
    <w:rsid w:val="29673AF8"/>
    <w:rsid w:val="2B9E70D2"/>
    <w:rsid w:val="2D84B84C"/>
    <w:rsid w:val="307AEA7E"/>
    <w:rsid w:val="31AE6134"/>
    <w:rsid w:val="32113CC9"/>
    <w:rsid w:val="34150277"/>
    <w:rsid w:val="36A32935"/>
    <w:rsid w:val="36D158E1"/>
    <w:rsid w:val="3741396C"/>
    <w:rsid w:val="38822325"/>
    <w:rsid w:val="39784550"/>
    <w:rsid w:val="3A1A5284"/>
    <w:rsid w:val="3A3CF598"/>
    <w:rsid w:val="3A4709A6"/>
    <w:rsid w:val="3E5DF902"/>
    <w:rsid w:val="40BF6C67"/>
    <w:rsid w:val="410B098D"/>
    <w:rsid w:val="414CCED8"/>
    <w:rsid w:val="422D9E4B"/>
    <w:rsid w:val="42E26780"/>
    <w:rsid w:val="430C5B53"/>
    <w:rsid w:val="436434DF"/>
    <w:rsid w:val="43A6ED7F"/>
    <w:rsid w:val="44AA1CA1"/>
    <w:rsid w:val="4735A82F"/>
    <w:rsid w:val="49661C53"/>
    <w:rsid w:val="4ABCA7EA"/>
    <w:rsid w:val="4C60F6FA"/>
    <w:rsid w:val="4CD7C6A9"/>
    <w:rsid w:val="4D595793"/>
    <w:rsid w:val="4DA7D93C"/>
    <w:rsid w:val="4E625D69"/>
    <w:rsid w:val="4E9E4F9C"/>
    <w:rsid w:val="4F4474A9"/>
    <w:rsid w:val="4F512A92"/>
    <w:rsid w:val="503C72AA"/>
    <w:rsid w:val="5071140C"/>
    <w:rsid w:val="58C46EA6"/>
    <w:rsid w:val="5B14D6C9"/>
    <w:rsid w:val="5C981C92"/>
    <w:rsid w:val="5D5241EC"/>
    <w:rsid w:val="5FDE685A"/>
    <w:rsid w:val="60BA85DE"/>
    <w:rsid w:val="62B48793"/>
    <w:rsid w:val="6350A24C"/>
    <w:rsid w:val="64A7B15D"/>
    <w:rsid w:val="65A0401D"/>
    <w:rsid w:val="67F7A964"/>
    <w:rsid w:val="68982749"/>
    <w:rsid w:val="6C2B813C"/>
    <w:rsid w:val="6C5DB8D2"/>
    <w:rsid w:val="6CB8820E"/>
    <w:rsid w:val="6CCEF5E4"/>
    <w:rsid w:val="6D28CFF6"/>
    <w:rsid w:val="6D8348FB"/>
    <w:rsid w:val="6DE74C58"/>
    <w:rsid w:val="70A1DF23"/>
    <w:rsid w:val="71841AE7"/>
    <w:rsid w:val="73AC8F05"/>
    <w:rsid w:val="748A1D0B"/>
    <w:rsid w:val="749E0DC2"/>
    <w:rsid w:val="750587B8"/>
    <w:rsid w:val="75667141"/>
    <w:rsid w:val="75D4AC31"/>
    <w:rsid w:val="7799E35A"/>
    <w:rsid w:val="7868F882"/>
    <w:rsid w:val="78D42518"/>
    <w:rsid w:val="796FD2ED"/>
    <w:rsid w:val="79D0BF41"/>
    <w:rsid w:val="7B1969B5"/>
    <w:rsid w:val="7B712335"/>
    <w:rsid w:val="7BF9C85E"/>
    <w:rsid w:val="7D9A77DB"/>
    <w:rsid w:val="7E269D02"/>
    <w:rsid w:val="7E4F5607"/>
    <w:rsid w:val="7EF233DB"/>
    <w:rsid w:val="7EFFD45C"/>
    <w:rsid w:val="7F079418"/>
    <w:rsid w:val="7F3BCEF8"/>
    <w:rsid w:val="7FBA66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07BE"/>
  <w15:docId w15:val="{B55562E6-E56E-4009-8DBB-9454C1FF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35"/>
    <w:rPr>
      <w:sz w:val="24"/>
    </w:rPr>
  </w:style>
  <w:style w:type="paragraph" w:styleId="Heading1">
    <w:name w:val="heading 1"/>
    <w:basedOn w:val="Normal"/>
    <w:next w:val="Normal"/>
    <w:link w:val="Heading1Char"/>
    <w:uiPriority w:val="9"/>
    <w:qFormat/>
    <w:rsid w:val="00811A35"/>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811A35"/>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811A35"/>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811A35"/>
    <w:pPr>
      <w:keepNext/>
      <w:keepLines/>
      <w:spacing w:before="200" w:after="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811A35"/>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A35"/>
    <w:rPr>
      <w:rFonts w:eastAsiaTheme="majorEastAsia" w:cstheme="majorBidi"/>
      <w:b/>
      <w:bCs/>
      <w:sz w:val="36"/>
      <w:szCs w:val="28"/>
    </w:rPr>
  </w:style>
  <w:style w:type="character" w:customStyle="1" w:styleId="Heading2Char">
    <w:name w:val="Heading 2 Char"/>
    <w:basedOn w:val="DefaultParagraphFont"/>
    <w:link w:val="Heading2"/>
    <w:uiPriority w:val="9"/>
    <w:rsid w:val="00811A35"/>
    <w:rPr>
      <w:rFonts w:eastAsiaTheme="majorEastAsia" w:cstheme="majorBidi"/>
      <w:b/>
      <w:bCs/>
      <w:sz w:val="32"/>
      <w:szCs w:val="26"/>
    </w:rPr>
  </w:style>
  <w:style w:type="character" w:customStyle="1" w:styleId="Heading3Char">
    <w:name w:val="Heading 3 Char"/>
    <w:basedOn w:val="DefaultParagraphFont"/>
    <w:link w:val="Heading3"/>
    <w:uiPriority w:val="9"/>
    <w:rsid w:val="00811A35"/>
    <w:rPr>
      <w:rFonts w:eastAsiaTheme="majorEastAsia" w:cstheme="majorBidi"/>
      <w:b/>
      <w:bCs/>
      <w:sz w:val="28"/>
    </w:rPr>
  </w:style>
  <w:style w:type="character" w:customStyle="1" w:styleId="Heading4Char">
    <w:name w:val="Heading 4 Char"/>
    <w:basedOn w:val="DefaultParagraphFont"/>
    <w:link w:val="Heading4"/>
    <w:uiPriority w:val="9"/>
    <w:rsid w:val="00811A35"/>
    <w:rPr>
      <w:rFonts w:eastAsiaTheme="majorEastAsia" w:cstheme="majorBidi"/>
      <w:b/>
      <w:bCs/>
      <w:iCs/>
      <w:sz w:val="26"/>
    </w:rPr>
  </w:style>
  <w:style w:type="character" w:customStyle="1" w:styleId="Heading5Char">
    <w:name w:val="Heading 5 Char"/>
    <w:basedOn w:val="DefaultParagraphFont"/>
    <w:link w:val="Heading5"/>
    <w:uiPriority w:val="9"/>
    <w:rsid w:val="00811A35"/>
    <w:rPr>
      <w:rFonts w:eastAsiaTheme="majorEastAsia" w:cstheme="majorBidi"/>
      <w:b/>
      <w:sz w:val="24"/>
    </w:rPr>
  </w:style>
  <w:style w:type="paragraph" w:styleId="Header">
    <w:name w:val="header"/>
    <w:basedOn w:val="Normal"/>
    <w:link w:val="HeaderChar"/>
    <w:uiPriority w:val="99"/>
    <w:unhideWhenUsed/>
    <w:rsid w:val="00811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A35"/>
    <w:rPr>
      <w:sz w:val="24"/>
    </w:rPr>
  </w:style>
  <w:style w:type="paragraph" w:styleId="Footer">
    <w:name w:val="footer"/>
    <w:basedOn w:val="Normal"/>
    <w:link w:val="FooterChar"/>
    <w:uiPriority w:val="99"/>
    <w:unhideWhenUsed/>
    <w:rsid w:val="00811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A35"/>
    <w:rPr>
      <w:sz w:val="24"/>
    </w:rPr>
  </w:style>
  <w:style w:type="paragraph" w:styleId="BalloonText">
    <w:name w:val="Balloon Text"/>
    <w:basedOn w:val="Normal"/>
    <w:link w:val="BalloonTextChar"/>
    <w:uiPriority w:val="99"/>
    <w:semiHidden/>
    <w:unhideWhenUsed/>
    <w:rsid w:val="00811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A35"/>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811A35"/>
    <w:pPr>
      <w:ind w:left="720"/>
      <w:contextualSpacing/>
    </w:pPr>
  </w:style>
  <w:style w:type="paragraph" w:customStyle="1" w:styleId="Bulletlist">
    <w:name w:val="Bullet list"/>
    <w:basedOn w:val="ListParagraph"/>
    <w:link w:val="BulletlistChar"/>
    <w:qFormat/>
    <w:rsid w:val="00811A35"/>
    <w:pPr>
      <w:numPr>
        <w:numId w:val="1"/>
      </w:numPr>
    </w:pPr>
  </w:style>
  <w:style w:type="paragraph" w:customStyle="1" w:styleId="Headers">
    <w:name w:val="Headers"/>
    <w:basedOn w:val="Header"/>
    <w:link w:val="HeadersChar"/>
    <w:rsid w:val="00CA5ED8"/>
    <w:rPr>
      <w:noProof/>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811A35"/>
    <w:rPr>
      <w:sz w:val="24"/>
    </w:rPr>
  </w:style>
  <w:style w:type="character" w:customStyle="1" w:styleId="BulletlistChar">
    <w:name w:val="Bullet list Char"/>
    <w:basedOn w:val="ListParagraphChar"/>
    <w:link w:val="Bulletlist"/>
    <w:rsid w:val="00811A35"/>
    <w:rPr>
      <w:sz w:val="24"/>
    </w:rPr>
  </w:style>
  <w:style w:type="character" w:styleId="PageNumber">
    <w:name w:val="page number"/>
    <w:basedOn w:val="DefaultParagraphFont"/>
    <w:uiPriority w:val="99"/>
    <w:unhideWhenUsed/>
    <w:rsid w:val="00CA5ED8"/>
  </w:style>
  <w:style w:type="character" w:customStyle="1" w:styleId="HeadersChar">
    <w:name w:val="Headers Char"/>
    <w:basedOn w:val="HeaderChar"/>
    <w:link w:val="Headers"/>
    <w:rsid w:val="00CA5ED8"/>
    <w:rPr>
      <w:noProof/>
      <w:sz w:val="24"/>
      <w:lang w:eastAsia="en-GB"/>
    </w:rPr>
  </w:style>
  <w:style w:type="paragraph" w:customStyle="1" w:styleId="Numberlist">
    <w:name w:val="Number list"/>
    <w:basedOn w:val="ListParagraph"/>
    <w:link w:val="NumberlistChar"/>
    <w:qFormat/>
    <w:rsid w:val="008B2514"/>
    <w:pPr>
      <w:numPr>
        <w:numId w:val="2"/>
      </w:numPr>
    </w:pPr>
  </w:style>
  <w:style w:type="character" w:customStyle="1" w:styleId="NumberlistChar">
    <w:name w:val="Number list Char"/>
    <w:basedOn w:val="ListParagraphChar"/>
    <w:link w:val="Numberlist"/>
    <w:rsid w:val="008B2514"/>
    <w:rPr>
      <w:sz w:val="24"/>
    </w:rPr>
  </w:style>
  <w:style w:type="table" w:styleId="TableGrid">
    <w:name w:val="Table Grid"/>
    <w:basedOn w:val="TableNormal"/>
    <w:uiPriority w:val="59"/>
    <w:rsid w:val="00A84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B7D"/>
    <w:rPr>
      <w:rFonts w:ascii="Times New Roman" w:hAnsi="Times New Roman" w:cs="Times New Roman"/>
      <w:szCs w:val="24"/>
    </w:rPr>
  </w:style>
  <w:style w:type="character" w:customStyle="1" w:styleId="normaltextrun">
    <w:name w:val="normaltextrun"/>
    <w:basedOn w:val="DefaultParagraphFont"/>
    <w:rsid w:val="000A0A6B"/>
  </w:style>
  <w:style w:type="character" w:customStyle="1" w:styleId="eop">
    <w:name w:val="eop"/>
    <w:basedOn w:val="DefaultParagraphFont"/>
    <w:rsid w:val="000A0A6B"/>
  </w:style>
  <w:style w:type="character" w:styleId="Hyperlink">
    <w:name w:val="Hyperlink"/>
    <w:basedOn w:val="DefaultParagraphFont"/>
    <w:uiPriority w:val="99"/>
    <w:unhideWhenUsed/>
    <w:rsid w:val="003D3A40"/>
    <w:rPr>
      <w:color w:val="0000FF" w:themeColor="hyperlink"/>
      <w:u w:val="single"/>
    </w:rPr>
  </w:style>
  <w:style w:type="character" w:styleId="UnresolvedMention">
    <w:name w:val="Unresolved Mention"/>
    <w:basedOn w:val="DefaultParagraphFont"/>
    <w:uiPriority w:val="99"/>
    <w:semiHidden/>
    <w:unhideWhenUsed/>
    <w:rsid w:val="003D3A40"/>
    <w:rPr>
      <w:color w:val="605E5C"/>
      <w:shd w:val="clear" w:color="auto" w:fill="E1DFDD"/>
    </w:rPr>
  </w:style>
  <w:style w:type="paragraph" w:styleId="Revision">
    <w:name w:val="Revision"/>
    <w:hidden/>
    <w:uiPriority w:val="99"/>
    <w:semiHidden/>
    <w:rsid w:val="00E877A7"/>
    <w:pPr>
      <w:spacing w:after="0" w:line="240" w:lineRule="auto"/>
    </w:pPr>
    <w:rPr>
      <w:sz w:val="24"/>
    </w:rPr>
  </w:style>
  <w:style w:type="character" w:styleId="FollowedHyperlink">
    <w:name w:val="FollowedHyperlink"/>
    <w:basedOn w:val="DefaultParagraphFont"/>
    <w:uiPriority w:val="99"/>
    <w:semiHidden/>
    <w:unhideWhenUsed/>
    <w:rsid w:val="00E877A7"/>
    <w:rPr>
      <w:color w:val="800080" w:themeColor="followedHyperlink"/>
      <w:u w:val="single"/>
    </w:rPr>
  </w:style>
  <w:style w:type="character" w:styleId="CommentReference">
    <w:name w:val="annotation reference"/>
    <w:basedOn w:val="DefaultParagraphFont"/>
    <w:uiPriority w:val="99"/>
    <w:semiHidden/>
    <w:unhideWhenUsed/>
    <w:rsid w:val="00E877A7"/>
    <w:rPr>
      <w:sz w:val="16"/>
      <w:szCs w:val="16"/>
    </w:rPr>
  </w:style>
  <w:style w:type="paragraph" w:styleId="CommentText">
    <w:name w:val="annotation text"/>
    <w:basedOn w:val="Normal"/>
    <w:link w:val="CommentTextChar"/>
    <w:uiPriority w:val="99"/>
    <w:unhideWhenUsed/>
    <w:rsid w:val="00E877A7"/>
    <w:pPr>
      <w:spacing w:line="240" w:lineRule="auto"/>
    </w:pPr>
    <w:rPr>
      <w:sz w:val="20"/>
      <w:szCs w:val="20"/>
    </w:rPr>
  </w:style>
  <w:style w:type="character" w:customStyle="1" w:styleId="CommentTextChar">
    <w:name w:val="Comment Text Char"/>
    <w:basedOn w:val="DefaultParagraphFont"/>
    <w:link w:val="CommentText"/>
    <w:uiPriority w:val="99"/>
    <w:rsid w:val="00E877A7"/>
    <w:rPr>
      <w:sz w:val="20"/>
      <w:szCs w:val="20"/>
    </w:rPr>
  </w:style>
  <w:style w:type="paragraph" w:styleId="CommentSubject">
    <w:name w:val="annotation subject"/>
    <w:basedOn w:val="CommentText"/>
    <w:next w:val="CommentText"/>
    <w:link w:val="CommentSubjectChar"/>
    <w:uiPriority w:val="99"/>
    <w:semiHidden/>
    <w:unhideWhenUsed/>
    <w:rsid w:val="00E877A7"/>
    <w:rPr>
      <w:b/>
      <w:bCs/>
    </w:rPr>
  </w:style>
  <w:style w:type="character" w:customStyle="1" w:styleId="CommentSubjectChar">
    <w:name w:val="Comment Subject Char"/>
    <w:basedOn w:val="CommentTextChar"/>
    <w:link w:val="CommentSubject"/>
    <w:uiPriority w:val="99"/>
    <w:semiHidden/>
    <w:rsid w:val="00E877A7"/>
    <w:rPr>
      <w:b/>
      <w:bCs/>
      <w:sz w:val="20"/>
      <w:szCs w:val="20"/>
    </w:rPr>
  </w:style>
  <w:style w:type="paragraph" w:styleId="FootnoteText">
    <w:name w:val="footnote text"/>
    <w:basedOn w:val="Normal"/>
    <w:link w:val="FootnoteTextChar"/>
    <w:uiPriority w:val="99"/>
    <w:semiHidden/>
    <w:unhideWhenUsed/>
    <w:rsid w:val="00143C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C87"/>
    <w:rPr>
      <w:sz w:val="20"/>
      <w:szCs w:val="20"/>
    </w:rPr>
  </w:style>
  <w:style w:type="character" w:styleId="FootnoteReference">
    <w:name w:val="footnote reference"/>
    <w:basedOn w:val="DefaultParagraphFont"/>
    <w:uiPriority w:val="99"/>
    <w:semiHidden/>
    <w:unhideWhenUsed/>
    <w:rsid w:val="00143C87"/>
    <w:rPr>
      <w:vertAlign w:val="superscript"/>
    </w:rPr>
  </w:style>
  <w:style w:type="character" w:customStyle="1" w:styleId="wacimagecontainer">
    <w:name w:val="wacimagecontainer"/>
    <w:basedOn w:val="DefaultParagraphFont"/>
    <w:rsid w:val="003779A5"/>
  </w:style>
  <w:style w:type="table" w:customStyle="1" w:styleId="TableGrid1">
    <w:name w:val="Table Grid1"/>
    <w:basedOn w:val="TableNormal"/>
    <w:next w:val="TableGrid"/>
    <w:uiPriority w:val="59"/>
    <w:rsid w:val="009D6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21789">
      <w:bodyDiv w:val="1"/>
      <w:marLeft w:val="0"/>
      <w:marRight w:val="0"/>
      <w:marTop w:val="0"/>
      <w:marBottom w:val="0"/>
      <w:divBdr>
        <w:top w:val="none" w:sz="0" w:space="0" w:color="auto"/>
        <w:left w:val="none" w:sz="0" w:space="0" w:color="auto"/>
        <w:bottom w:val="none" w:sz="0" w:space="0" w:color="auto"/>
        <w:right w:val="none" w:sz="0" w:space="0" w:color="auto"/>
      </w:divBdr>
      <w:divsChild>
        <w:div w:id="23332311">
          <w:marLeft w:val="0"/>
          <w:marRight w:val="0"/>
          <w:marTop w:val="0"/>
          <w:marBottom w:val="0"/>
          <w:divBdr>
            <w:top w:val="none" w:sz="0" w:space="0" w:color="auto"/>
            <w:left w:val="none" w:sz="0" w:space="0" w:color="auto"/>
            <w:bottom w:val="none" w:sz="0" w:space="0" w:color="auto"/>
            <w:right w:val="none" w:sz="0" w:space="0" w:color="auto"/>
          </w:divBdr>
        </w:div>
        <w:div w:id="186989982">
          <w:marLeft w:val="0"/>
          <w:marRight w:val="0"/>
          <w:marTop w:val="0"/>
          <w:marBottom w:val="0"/>
          <w:divBdr>
            <w:top w:val="none" w:sz="0" w:space="0" w:color="auto"/>
            <w:left w:val="none" w:sz="0" w:space="0" w:color="auto"/>
            <w:bottom w:val="none" w:sz="0" w:space="0" w:color="auto"/>
            <w:right w:val="none" w:sz="0" w:space="0" w:color="auto"/>
          </w:divBdr>
        </w:div>
        <w:div w:id="314573182">
          <w:marLeft w:val="0"/>
          <w:marRight w:val="0"/>
          <w:marTop w:val="0"/>
          <w:marBottom w:val="0"/>
          <w:divBdr>
            <w:top w:val="none" w:sz="0" w:space="0" w:color="auto"/>
            <w:left w:val="none" w:sz="0" w:space="0" w:color="auto"/>
            <w:bottom w:val="none" w:sz="0" w:space="0" w:color="auto"/>
            <w:right w:val="none" w:sz="0" w:space="0" w:color="auto"/>
          </w:divBdr>
        </w:div>
        <w:div w:id="839126259">
          <w:marLeft w:val="0"/>
          <w:marRight w:val="0"/>
          <w:marTop w:val="0"/>
          <w:marBottom w:val="0"/>
          <w:divBdr>
            <w:top w:val="none" w:sz="0" w:space="0" w:color="auto"/>
            <w:left w:val="none" w:sz="0" w:space="0" w:color="auto"/>
            <w:bottom w:val="none" w:sz="0" w:space="0" w:color="auto"/>
            <w:right w:val="none" w:sz="0" w:space="0" w:color="auto"/>
          </w:divBdr>
        </w:div>
        <w:div w:id="1189492292">
          <w:marLeft w:val="0"/>
          <w:marRight w:val="0"/>
          <w:marTop w:val="0"/>
          <w:marBottom w:val="0"/>
          <w:divBdr>
            <w:top w:val="none" w:sz="0" w:space="0" w:color="auto"/>
            <w:left w:val="none" w:sz="0" w:space="0" w:color="auto"/>
            <w:bottom w:val="none" w:sz="0" w:space="0" w:color="auto"/>
            <w:right w:val="none" w:sz="0" w:space="0" w:color="auto"/>
          </w:divBdr>
        </w:div>
        <w:div w:id="1454054794">
          <w:marLeft w:val="0"/>
          <w:marRight w:val="0"/>
          <w:marTop w:val="0"/>
          <w:marBottom w:val="0"/>
          <w:divBdr>
            <w:top w:val="none" w:sz="0" w:space="0" w:color="auto"/>
            <w:left w:val="none" w:sz="0" w:space="0" w:color="auto"/>
            <w:bottom w:val="none" w:sz="0" w:space="0" w:color="auto"/>
            <w:right w:val="none" w:sz="0" w:space="0" w:color="auto"/>
          </w:divBdr>
        </w:div>
        <w:div w:id="1457992905">
          <w:marLeft w:val="0"/>
          <w:marRight w:val="0"/>
          <w:marTop w:val="0"/>
          <w:marBottom w:val="0"/>
          <w:divBdr>
            <w:top w:val="none" w:sz="0" w:space="0" w:color="auto"/>
            <w:left w:val="none" w:sz="0" w:space="0" w:color="auto"/>
            <w:bottom w:val="none" w:sz="0" w:space="0" w:color="auto"/>
            <w:right w:val="none" w:sz="0" w:space="0" w:color="auto"/>
          </w:divBdr>
        </w:div>
        <w:div w:id="1763796579">
          <w:marLeft w:val="0"/>
          <w:marRight w:val="0"/>
          <w:marTop w:val="0"/>
          <w:marBottom w:val="0"/>
          <w:divBdr>
            <w:top w:val="none" w:sz="0" w:space="0" w:color="auto"/>
            <w:left w:val="none" w:sz="0" w:space="0" w:color="auto"/>
            <w:bottom w:val="none" w:sz="0" w:space="0" w:color="auto"/>
            <w:right w:val="none" w:sz="0" w:space="0" w:color="auto"/>
          </w:divBdr>
        </w:div>
        <w:div w:id="1943219251">
          <w:marLeft w:val="0"/>
          <w:marRight w:val="0"/>
          <w:marTop w:val="0"/>
          <w:marBottom w:val="0"/>
          <w:divBdr>
            <w:top w:val="none" w:sz="0" w:space="0" w:color="auto"/>
            <w:left w:val="none" w:sz="0" w:space="0" w:color="auto"/>
            <w:bottom w:val="none" w:sz="0" w:space="0" w:color="auto"/>
            <w:right w:val="none" w:sz="0" w:space="0" w:color="auto"/>
          </w:divBdr>
        </w:div>
        <w:div w:id="1998876765">
          <w:marLeft w:val="0"/>
          <w:marRight w:val="0"/>
          <w:marTop w:val="0"/>
          <w:marBottom w:val="0"/>
          <w:divBdr>
            <w:top w:val="none" w:sz="0" w:space="0" w:color="auto"/>
            <w:left w:val="none" w:sz="0" w:space="0" w:color="auto"/>
            <w:bottom w:val="none" w:sz="0" w:space="0" w:color="auto"/>
            <w:right w:val="none" w:sz="0" w:space="0" w:color="auto"/>
          </w:divBdr>
        </w:div>
      </w:divsChild>
    </w:div>
    <w:div w:id="502866719">
      <w:bodyDiv w:val="1"/>
      <w:marLeft w:val="0"/>
      <w:marRight w:val="0"/>
      <w:marTop w:val="0"/>
      <w:marBottom w:val="0"/>
      <w:divBdr>
        <w:top w:val="none" w:sz="0" w:space="0" w:color="auto"/>
        <w:left w:val="none" w:sz="0" w:space="0" w:color="auto"/>
        <w:bottom w:val="none" w:sz="0" w:space="0" w:color="auto"/>
        <w:right w:val="none" w:sz="0" w:space="0" w:color="auto"/>
      </w:divBdr>
      <w:divsChild>
        <w:div w:id="1016660195">
          <w:marLeft w:val="0"/>
          <w:marRight w:val="0"/>
          <w:marTop w:val="0"/>
          <w:marBottom w:val="0"/>
          <w:divBdr>
            <w:top w:val="none" w:sz="0" w:space="0" w:color="auto"/>
            <w:left w:val="none" w:sz="0" w:space="0" w:color="auto"/>
            <w:bottom w:val="none" w:sz="0" w:space="0" w:color="auto"/>
            <w:right w:val="none" w:sz="0" w:space="0" w:color="auto"/>
          </w:divBdr>
        </w:div>
        <w:div w:id="1174422544">
          <w:marLeft w:val="0"/>
          <w:marRight w:val="0"/>
          <w:marTop w:val="0"/>
          <w:marBottom w:val="0"/>
          <w:divBdr>
            <w:top w:val="none" w:sz="0" w:space="0" w:color="auto"/>
            <w:left w:val="none" w:sz="0" w:space="0" w:color="auto"/>
            <w:bottom w:val="none" w:sz="0" w:space="0" w:color="auto"/>
            <w:right w:val="none" w:sz="0" w:space="0" w:color="auto"/>
          </w:divBdr>
        </w:div>
        <w:div w:id="1177308518">
          <w:marLeft w:val="0"/>
          <w:marRight w:val="0"/>
          <w:marTop w:val="0"/>
          <w:marBottom w:val="0"/>
          <w:divBdr>
            <w:top w:val="none" w:sz="0" w:space="0" w:color="auto"/>
            <w:left w:val="none" w:sz="0" w:space="0" w:color="auto"/>
            <w:bottom w:val="none" w:sz="0" w:space="0" w:color="auto"/>
            <w:right w:val="none" w:sz="0" w:space="0" w:color="auto"/>
          </w:divBdr>
        </w:div>
        <w:div w:id="1302031166">
          <w:marLeft w:val="0"/>
          <w:marRight w:val="0"/>
          <w:marTop w:val="0"/>
          <w:marBottom w:val="0"/>
          <w:divBdr>
            <w:top w:val="none" w:sz="0" w:space="0" w:color="auto"/>
            <w:left w:val="none" w:sz="0" w:space="0" w:color="auto"/>
            <w:bottom w:val="none" w:sz="0" w:space="0" w:color="auto"/>
            <w:right w:val="none" w:sz="0" w:space="0" w:color="auto"/>
          </w:divBdr>
        </w:div>
        <w:div w:id="1420449833">
          <w:marLeft w:val="0"/>
          <w:marRight w:val="0"/>
          <w:marTop w:val="0"/>
          <w:marBottom w:val="0"/>
          <w:divBdr>
            <w:top w:val="none" w:sz="0" w:space="0" w:color="auto"/>
            <w:left w:val="none" w:sz="0" w:space="0" w:color="auto"/>
            <w:bottom w:val="none" w:sz="0" w:space="0" w:color="auto"/>
            <w:right w:val="none" w:sz="0" w:space="0" w:color="auto"/>
          </w:divBdr>
        </w:div>
        <w:div w:id="1520704470">
          <w:marLeft w:val="0"/>
          <w:marRight w:val="0"/>
          <w:marTop w:val="0"/>
          <w:marBottom w:val="0"/>
          <w:divBdr>
            <w:top w:val="none" w:sz="0" w:space="0" w:color="auto"/>
            <w:left w:val="none" w:sz="0" w:space="0" w:color="auto"/>
            <w:bottom w:val="none" w:sz="0" w:space="0" w:color="auto"/>
            <w:right w:val="none" w:sz="0" w:space="0" w:color="auto"/>
          </w:divBdr>
        </w:div>
        <w:div w:id="1650012327">
          <w:marLeft w:val="0"/>
          <w:marRight w:val="0"/>
          <w:marTop w:val="0"/>
          <w:marBottom w:val="0"/>
          <w:divBdr>
            <w:top w:val="none" w:sz="0" w:space="0" w:color="auto"/>
            <w:left w:val="none" w:sz="0" w:space="0" w:color="auto"/>
            <w:bottom w:val="none" w:sz="0" w:space="0" w:color="auto"/>
            <w:right w:val="none" w:sz="0" w:space="0" w:color="auto"/>
          </w:divBdr>
        </w:div>
        <w:div w:id="1655797957">
          <w:marLeft w:val="0"/>
          <w:marRight w:val="0"/>
          <w:marTop w:val="0"/>
          <w:marBottom w:val="0"/>
          <w:divBdr>
            <w:top w:val="none" w:sz="0" w:space="0" w:color="auto"/>
            <w:left w:val="none" w:sz="0" w:space="0" w:color="auto"/>
            <w:bottom w:val="none" w:sz="0" w:space="0" w:color="auto"/>
            <w:right w:val="none" w:sz="0" w:space="0" w:color="auto"/>
          </w:divBdr>
        </w:div>
        <w:div w:id="1758744828">
          <w:marLeft w:val="0"/>
          <w:marRight w:val="0"/>
          <w:marTop w:val="0"/>
          <w:marBottom w:val="0"/>
          <w:divBdr>
            <w:top w:val="none" w:sz="0" w:space="0" w:color="auto"/>
            <w:left w:val="none" w:sz="0" w:space="0" w:color="auto"/>
            <w:bottom w:val="none" w:sz="0" w:space="0" w:color="auto"/>
            <w:right w:val="none" w:sz="0" w:space="0" w:color="auto"/>
          </w:divBdr>
        </w:div>
        <w:div w:id="1842038147">
          <w:marLeft w:val="0"/>
          <w:marRight w:val="0"/>
          <w:marTop w:val="0"/>
          <w:marBottom w:val="0"/>
          <w:divBdr>
            <w:top w:val="none" w:sz="0" w:space="0" w:color="auto"/>
            <w:left w:val="none" w:sz="0" w:space="0" w:color="auto"/>
            <w:bottom w:val="none" w:sz="0" w:space="0" w:color="auto"/>
            <w:right w:val="none" w:sz="0" w:space="0" w:color="auto"/>
          </w:divBdr>
        </w:div>
      </w:divsChild>
    </w:div>
    <w:div w:id="1637830829">
      <w:bodyDiv w:val="1"/>
      <w:marLeft w:val="0"/>
      <w:marRight w:val="0"/>
      <w:marTop w:val="0"/>
      <w:marBottom w:val="0"/>
      <w:divBdr>
        <w:top w:val="none" w:sz="0" w:space="0" w:color="auto"/>
        <w:left w:val="none" w:sz="0" w:space="0" w:color="auto"/>
        <w:bottom w:val="none" w:sz="0" w:space="0" w:color="auto"/>
        <w:right w:val="none" w:sz="0" w:space="0" w:color="auto"/>
      </w:divBdr>
    </w:div>
    <w:div w:id="207566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A4109AFC2C6E043A4318249FC3EB332" ma:contentTypeVersion="3" ma:contentTypeDescription="Create a new document." ma:contentTypeScope="" ma:versionID="9d49254b577d94d2f00bf8058147b7c4">
  <xsd:schema xmlns:xsd="http://www.w3.org/2001/XMLSchema" xmlns:xs="http://www.w3.org/2001/XMLSchema" xmlns:p="http://schemas.microsoft.com/office/2006/metadata/properties" xmlns:ns2="d760762f-6d0f-47a6-8fb9-606f44da5725" targetNamespace="http://schemas.microsoft.com/office/2006/metadata/properties" ma:root="true" ma:fieldsID="aae14fa555eec77c6f384edf05dafd7c" ns2:_="">
    <xsd:import namespace="d760762f-6d0f-47a6-8fb9-606f44da572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762f-6d0f-47a6-8fb9-606f44da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CF100-9A92-4F6A-9C22-565561BB602A}">
  <ds:schemaRefs>
    <ds:schemaRef ds:uri="http://schemas.microsoft.com/office/2006/metadata/properties"/>
    <ds:schemaRef ds:uri="http://schemas.microsoft.com/office/infopath/2007/PartnerControls"/>
    <ds:schemaRef ds:uri="http://schemas.microsoft.com/sharepoint/v3"/>
    <ds:schemaRef ds:uri="c693007a-bb8d-4ce9-89de-60eabf3d9b07"/>
    <ds:schemaRef ds:uri="c8ad5906-4413-43d0-8fb7-34dbc7e5daa8"/>
  </ds:schemaRefs>
</ds:datastoreItem>
</file>

<file path=customXml/itemProps2.xml><?xml version="1.0" encoding="utf-8"?>
<ds:datastoreItem xmlns:ds="http://schemas.openxmlformats.org/officeDocument/2006/customXml" ds:itemID="{8493CD3A-603A-4502-B7A0-1EB40F2DD3B5}">
  <ds:schemaRefs>
    <ds:schemaRef ds:uri="http://schemas.microsoft.com/sharepoint/v3/contenttype/forms"/>
  </ds:schemaRefs>
</ds:datastoreItem>
</file>

<file path=customXml/itemProps3.xml><?xml version="1.0" encoding="utf-8"?>
<ds:datastoreItem xmlns:ds="http://schemas.openxmlformats.org/officeDocument/2006/customXml" ds:itemID="{BBC53A99-B244-475C-828B-1C30E4E139CA}">
  <ds:schemaRefs>
    <ds:schemaRef ds:uri="http://schemas.openxmlformats.org/officeDocument/2006/bibliography"/>
  </ds:schemaRefs>
</ds:datastoreItem>
</file>

<file path=customXml/itemProps4.xml><?xml version="1.0" encoding="utf-8"?>
<ds:datastoreItem xmlns:ds="http://schemas.openxmlformats.org/officeDocument/2006/customXml" ds:itemID="{7F7EE16F-2494-44F0-972E-5CA8728CDA31}"/>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78</TotalTime>
  <Pages>1</Pages>
  <Words>1796</Words>
  <Characters>10243</Characters>
  <Application>Microsoft Office Word</Application>
  <DocSecurity>4</DocSecurity>
  <Lines>85</Lines>
  <Paragraphs>24</Paragraphs>
  <ScaleCrop>false</ScaleCrop>
  <Company>BFW Hospitals NHS Foundation Trust</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Lishman Sandra (BCCG)</dc:creator>
  <cp:keywords/>
  <cp:lastModifiedBy>MOORE, Claire (NHS LANCASHIRE AND SOUTH CUMBRIA INTEGRATED CARE BOARD)</cp:lastModifiedBy>
  <cp:revision>44</cp:revision>
  <dcterms:created xsi:type="dcterms:W3CDTF">2025-05-30T17:06:00Z</dcterms:created>
  <dcterms:modified xsi:type="dcterms:W3CDTF">2025-05-30T10:20:00Z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0x0101000A4109AFC2C6E043A4318249FC3EB332</vt:lpwstr>
  </property>
  <property fmtid="{D5CDD505-2E9C-101B-9397-08002B2CF9AE}" pid="3" name="MediaServiceImageTags">
    <vt:lpwstr/>
  </property>
</Properties>
</file>