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98B1F" w14:textId="77777777" w:rsidR="00D75ADF" w:rsidRDefault="00374A7A" w:rsidP="00D75ADF">
      <w:pPr>
        <w:jc w:val="right"/>
        <w:rPr>
          <w:rFonts w:ascii="Arial" w:hAnsi="Arial" w:cs="Arial"/>
        </w:rPr>
      </w:pPr>
      <w:r w:rsidRPr="00374A7A">
        <w:rPr>
          <w:rFonts w:ascii="Calibri" w:eastAsia="Calibri" w:hAnsi="Calibri" w:cs="Times New Roman"/>
          <w:noProof/>
          <w:kern w:val="0"/>
          <w14:ligatures w14:val="none"/>
        </w:rPr>
        <w:drawing>
          <wp:anchor distT="0" distB="0" distL="114300" distR="114300" simplePos="0" relativeHeight="251658240" behindDoc="1" locked="0" layoutInCell="1" allowOverlap="1" wp14:anchorId="449CD48E" wp14:editId="453324F9">
            <wp:simplePos x="0" y="0"/>
            <wp:positionH relativeFrom="column">
              <wp:posOffset>5048250</wp:posOffset>
            </wp:positionH>
            <wp:positionV relativeFrom="paragraph">
              <wp:posOffset>0</wp:posOffset>
            </wp:positionV>
            <wp:extent cx="1590675" cy="1038225"/>
            <wp:effectExtent l="0" t="0" r="9525" b="9525"/>
            <wp:wrapTight wrapText="bothSides">
              <wp:wrapPolygon edited="0">
                <wp:start x="10089" y="0"/>
                <wp:lineTo x="10089" y="6341"/>
                <wp:lineTo x="0" y="8323"/>
                <wp:lineTo x="0" y="21402"/>
                <wp:lineTo x="3363" y="21402"/>
                <wp:lineTo x="5432" y="21402"/>
                <wp:lineTo x="21471" y="21402"/>
                <wp:lineTo x="21471" y="0"/>
                <wp:lineTo x="10089" y="0"/>
              </wp:wrapPolygon>
            </wp:wrapTight>
            <wp:docPr id="1917155952"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55952" name="Picture 1" descr="A black background with blu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675" cy="1038225"/>
                    </a:xfrm>
                    <a:prstGeom prst="rect">
                      <a:avLst/>
                    </a:prstGeom>
                    <a:noFill/>
                    <a:ln>
                      <a:noFill/>
                    </a:ln>
                  </pic:spPr>
                </pic:pic>
              </a:graphicData>
            </a:graphic>
          </wp:anchor>
        </w:drawing>
      </w:r>
    </w:p>
    <w:p w14:paraId="387EE67A" w14:textId="77777777" w:rsidR="001D5ECF" w:rsidRDefault="001D5ECF" w:rsidP="00D75ADF">
      <w:pPr>
        <w:jc w:val="center"/>
        <w:rPr>
          <w:rFonts w:ascii="Arial" w:hAnsi="Arial" w:cs="Arial"/>
          <w:b/>
          <w:bCs/>
          <w:sz w:val="24"/>
          <w:szCs w:val="24"/>
        </w:rPr>
      </w:pPr>
    </w:p>
    <w:p w14:paraId="38E1F1F3" w14:textId="77777777" w:rsidR="001D5ECF" w:rsidRDefault="001D5ECF" w:rsidP="00D75ADF">
      <w:pPr>
        <w:jc w:val="center"/>
        <w:rPr>
          <w:rFonts w:ascii="Arial" w:hAnsi="Arial" w:cs="Arial"/>
          <w:b/>
          <w:bCs/>
          <w:sz w:val="24"/>
          <w:szCs w:val="24"/>
        </w:rPr>
      </w:pPr>
    </w:p>
    <w:p w14:paraId="1031E24D" w14:textId="77777777" w:rsidR="001D5ECF" w:rsidRDefault="001D5ECF" w:rsidP="00D75ADF">
      <w:pPr>
        <w:jc w:val="center"/>
        <w:rPr>
          <w:rFonts w:ascii="Arial" w:hAnsi="Arial" w:cs="Arial"/>
          <w:b/>
          <w:bCs/>
          <w:sz w:val="24"/>
          <w:szCs w:val="24"/>
        </w:rPr>
      </w:pPr>
    </w:p>
    <w:p w14:paraId="1159559C" w14:textId="4F0BBBD6" w:rsidR="00D75ADF" w:rsidRPr="00D75ADF" w:rsidRDefault="00322648" w:rsidP="00D75ADF">
      <w:pPr>
        <w:jc w:val="center"/>
        <w:rPr>
          <w:rFonts w:ascii="Arial" w:hAnsi="Arial" w:cs="Arial"/>
        </w:rPr>
      </w:pPr>
      <w:r w:rsidRPr="00D75ADF">
        <w:rPr>
          <w:rFonts w:ascii="Arial" w:hAnsi="Arial" w:cs="Arial"/>
          <w:b/>
          <w:bCs/>
          <w:sz w:val="24"/>
          <w:szCs w:val="24"/>
        </w:rPr>
        <w:t xml:space="preserve">Provider Selection Regime </w:t>
      </w:r>
      <w:r w:rsidR="00D75ADF" w:rsidRPr="00D75ADF">
        <w:rPr>
          <w:rFonts w:ascii="Arial" w:hAnsi="Arial" w:cs="Arial"/>
          <w:b/>
          <w:bCs/>
          <w:sz w:val="24"/>
          <w:szCs w:val="24"/>
        </w:rPr>
        <w:br/>
        <w:t>Decision Making Record – Direct Awards &amp; Urgent Award</w:t>
      </w:r>
      <w:r w:rsidR="00D75ADF">
        <w:rPr>
          <w:rFonts w:ascii="Arial" w:hAnsi="Arial" w:cs="Arial"/>
          <w:b/>
          <w:bCs/>
          <w:sz w:val="24"/>
          <w:szCs w:val="24"/>
        </w:rPr>
        <w:t>s</w:t>
      </w:r>
    </w:p>
    <w:p w14:paraId="72E666D7" w14:textId="2C8CF32F" w:rsidR="008C13DB" w:rsidRDefault="008C13DB">
      <w:pPr>
        <w:rPr>
          <w:rFonts w:ascii="Arial" w:hAnsi="Arial" w:cs="Arial"/>
        </w:rPr>
      </w:pPr>
      <w:r w:rsidRPr="008C13DB">
        <w:rPr>
          <w:rFonts w:ascii="Arial" w:hAnsi="Arial" w:cs="Arial"/>
        </w:rPr>
        <w:t>This document is to record the evidence behind decisions made by NHS commissioners to confirm the applicability of a proposed contract to the Provider Selection Regime (PSR), and to provide the evidence to support its application to each contract that falls under the PSR.</w:t>
      </w:r>
    </w:p>
    <w:p w14:paraId="071772A0" w14:textId="58C704A5" w:rsidR="00F0642C" w:rsidRPr="00586443" w:rsidRDefault="001E4670" w:rsidP="00F0642C">
      <w:pPr>
        <w:rPr>
          <w:rFonts w:ascii="Arial" w:hAnsi="Arial" w:cs="Arial"/>
        </w:rPr>
      </w:pPr>
      <w:r w:rsidRPr="00586443">
        <w:rPr>
          <w:rFonts w:ascii="Arial" w:hAnsi="Arial" w:cs="Arial"/>
        </w:rPr>
        <w:t xml:space="preserve">This document is specifically </w:t>
      </w:r>
      <w:r w:rsidR="00A7758F" w:rsidRPr="00586443">
        <w:rPr>
          <w:rFonts w:ascii="Arial" w:hAnsi="Arial" w:cs="Arial"/>
        </w:rPr>
        <w:t xml:space="preserve">to record decisions in relation to the </w:t>
      </w:r>
      <w:r w:rsidRPr="00586443">
        <w:rPr>
          <w:rFonts w:ascii="Arial" w:hAnsi="Arial" w:cs="Arial"/>
        </w:rPr>
        <w:t>award of contracts</w:t>
      </w:r>
      <w:r w:rsidR="00F0642C" w:rsidRPr="00586443">
        <w:rPr>
          <w:rFonts w:ascii="Arial" w:hAnsi="Arial" w:cs="Arial"/>
        </w:rPr>
        <w:t xml:space="preserve"> via the following </w:t>
      </w:r>
      <w:proofErr w:type="gramStart"/>
      <w:r w:rsidR="00F0642C" w:rsidRPr="00586443">
        <w:rPr>
          <w:rFonts w:ascii="Arial" w:hAnsi="Arial" w:cs="Arial"/>
        </w:rPr>
        <w:t>routes;</w:t>
      </w:r>
      <w:proofErr w:type="gramEnd"/>
    </w:p>
    <w:p w14:paraId="3EF545FC" w14:textId="2381A484" w:rsidR="009A38F9" w:rsidRPr="009A38F9" w:rsidRDefault="00D82EB9" w:rsidP="009A38F9">
      <w:pPr>
        <w:rPr>
          <w:rFonts w:ascii="Arial" w:hAnsi="Arial" w:cs="Arial"/>
          <w:b/>
          <w:bCs/>
        </w:rPr>
      </w:pPr>
      <w:r>
        <w:rPr>
          <w:rFonts w:ascii="Arial" w:hAnsi="Arial" w:cs="Arial"/>
          <w:b/>
          <w:bCs/>
        </w:rPr>
        <w:t>D</w:t>
      </w:r>
      <w:r w:rsidR="009A38F9" w:rsidRPr="009A38F9">
        <w:rPr>
          <w:rFonts w:ascii="Arial" w:hAnsi="Arial" w:cs="Arial"/>
          <w:b/>
          <w:bCs/>
        </w:rPr>
        <w:t xml:space="preserve">irect </w:t>
      </w:r>
      <w:r w:rsidR="00447E53">
        <w:rPr>
          <w:rFonts w:ascii="Arial" w:hAnsi="Arial" w:cs="Arial"/>
          <w:b/>
          <w:bCs/>
        </w:rPr>
        <w:t>A</w:t>
      </w:r>
      <w:r w:rsidR="009A38F9" w:rsidRPr="009A38F9">
        <w:rPr>
          <w:rFonts w:ascii="Arial" w:hAnsi="Arial" w:cs="Arial"/>
          <w:b/>
          <w:bCs/>
        </w:rPr>
        <w:t>ward processes</w:t>
      </w:r>
    </w:p>
    <w:p w14:paraId="628ABC05" w14:textId="77777777" w:rsidR="009A38F9" w:rsidRPr="009A38F9" w:rsidRDefault="009A38F9" w:rsidP="009A38F9">
      <w:pPr>
        <w:rPr>
          <w:rFonts w:ascii="Arial" w:hAnsi="Arial" w:cs="Arial"/>
        </w:rPr>
      </w:pPr>
      <w:r w:rsidRPr="009A38F9">
        <w:rPr>
          <w:rFonts w:ascii="Arial" w:hAnsi="Arial" w:cs="Arial"/>
        </w:rPr>
        <w:t>These involve awarding contracts to providers when there is limited or no reason to seek to change from the existing provider; or to assess providers against one another, because:</w:t>
      </w:r>
    </w:p>
    <w:p w14:paraId="0862D7B5" w14:textId="205C09B5" w:rsidR="009A38F9" w:rsidRPr="00586443" w:rsidRDefault="009F7C5A" w:rsidP="009A38F9">
      <w:pPr>
        <w:pStyle w:val="ListParagraph"/>
        <w:numPr>
          <w:ilvl w:val="0"/>
          <w:numId w:val="7"/>
        </w:numPr>
        <w:rPr>
          <w:rFonts w:ascii="Arial" w:hAnsi="Arial" w:cs="Arial"/>
        </w:rPr>
      </w:pPr>
      <w:r>
        <w:rPr>
          <w:rFonts w:ascii="Arial" w:hAnsi="Arial" w:cs="Arial"/>
        </w:rPr>
        <w:t xml:space="preserve">Direct Award Process A - </w:t>
      </w:r>
      <w:r w:rsidR="009A38F9" w:rsidRPr="009A38F9">
        <w:rPr>
          <w:rFonts w:ascii="Arial" w:hAnsi="Arial" w:cs="Arial"/>
        </w:rPr>
        <w:t xml:space="preserve">the </w:t>
      </w:r>
      <w:r w:rsidR="009A38F9" w:rsidRPr="00586443">
        <w:rPr>
          <w:rFonts w:ascii="Arial" w:hAnsi="Arial" w:cs="Arial"/>
        </w:rPr>
        <w:t xml:space="preserve">existing provider is the only </w:t>
      </w:r>
      <w:r w:rsidR="004E03FE" w:rsidRPr="00586443">
        <w:rPr>
          <w:rFonts w:ascii="Arial" w:hAnsi="Arial" w:cs="Arial"/>
        </w:rPr>
        <w:t xml:space="preserve">realistic </w:t>
      </w:r>
      <w:r w:rsidR="009A38F9" w:rsidRPr="00586443">
        <w:rPr>
          <w:rFonts w:ascii="Arial" w:hAnsi="Arial" w:cs="Arial"/>
        </w:rPr>
        <w:t>provider that can deliver the health care services</w:t>
      </w:r>
      <w:r w:rsidRPr="00586443">
        <w:rPr>
          <w:rFonts w:ascii="Arial" w:hAnsi="Arial" w:cs="Arial"/>
        </w:rPr>
        <w:t>.</w:t>
      </w:r>
      <w:r w:rsidR="002A0261" w:rsidRPr="00586443">
        <w:rPr>
          <w:rFonts w:ascii="Arial" w:eastAsia="Arial" w:hAnsi="Arial" w:cs="Arial"/>
          <w:kern w:val="0"/>
          <w:sz w:val="20"/>
          <w:szCs w:val="20"/>
          <w:lang w:val="en-US"/>
          <w14:ligatures w14:val="none"/>
        </w:rPr>
        <w:t xml:space="preserve"> </w:t>
      </w:r>
    </w:p>
    <w:p w14:paraId="52FA0083" w14:textId="58CD0CC4" w:rsidR="009A38F9" w:rsidRPr="00586443" w:rsidRDefault="009F7C5A" w:rsidP="009A38F9">
      <w:pPr>
        <w:pStyle w:val="ListParagraph"/>
        <w:numPr>
          <w:ilvl w:val="0"/>
          <w:numId w:val="7"/>
        </w:numPr>
        <w:rPr>
          <w:rFonts w:ascii="Arial" w:hAnsi="Arial" w:cs="Arial"/>
        </w:rPr>
      </w:pPr>
      <w:r w:rsidRPr="00586443">
        <w:rPr>
          <w:rFonts w:ascii="Arial" w:hAnsi="Arial" w:cs="Arial"/>
        </w:rPr>
        <w:t xml:space="preserve">Direct Award Process B - </w:t>
      </w:r>
      <w:r w:rsidR="009A38F9" w:rsidRPr="00586443">
        <w:rPr>
          <w:rFonts w:ascii="Arial" w:hAnsi="Arial" w:cs="Arial"/>
        </w:rPr>
        <w:t>patients have a choice of providers and the number of providers is not restricted by the relevant authority</w:t>
      </w:r>
      <w:r w:rsidRPr="00586443">
        <w:rPr>
          <w:rFonts w:ascii="Arial" w:hAnsi="Arial" w:cs="Arial"/>
        </w:rPr>
        <w:t>.</w:t>
      </w:r>
    </w:p>
    <w:p w14:paraId="22DBE6ED" w14:textId="580EBFCB" w:rsidR="009A38F9" w:rsidRDefault="009F7C5A" w:rsidP="009A38F9">
      <w:pPr>
        <w:pStyle w:val="ListParagraph"/>
        <w:numPr>
          <w:ilvl w:val="0"/>
          <w:numId w:val="7"/>
        </w:numPr>
        <w:rPr>
          <w:rFonts w:ascii="Arial" w:hAnsi="Arial" w:cs="Arial"/>
        </w:rPr>
      </w:pPr>
      <w:r w:rsidRPr="00586443">
        <w:rPr>
          <w:rFonts w:ascii="Arial" w:hAnsi="Arial" w:cs="Arial"/>
        </w:rPr>
        <w:t xml:space="preserve">Direct Award Process C </w:t>
      </w:r>
      <w:r w:rsidR="000D39D6" w:rsidRPr="00586443">
        <w:rPr>
          <w:rFonts w:ascii="Arial" w:hAnsi="Arial" w:cs="Arial"/>
        </w:rPr>
        <w:t>–</w:t>
      </w:r>
      <w:r w:rsidRPr="00586443">
        <w:rPr>
          <w:rFonts w:ascii="Arial" w:hAnsi="Arial" w:cs="Arial"/>
        </w:rPr>
        <w:t xml:space="preserve"> </w:t>
      </w:r>
      <w:r w:rsidR="000D39D6" w:rsidRPr="00586443">
        <w:rPr>
          <w:rFonts w:ascii="Arial" w:hAnsi="Arial" w:cs="Arial"/>
        </w:rPr>
        <w:t xml:space="preserve">where the relevant authority is not required to follow direct award processes A or B and </w:t>
      </w:r>
      <w:r w:rsidR="009A38F9" w:rsidRPr="00586443">
        <w:rPr>
          <w:rFonts w:ascii="Arial" w:hAnsi="Arial" w:cs="Arial"/>
        </w:rPr>
        <w:t xml:space="preserve">the existing provider is satisfying its existing contract, will likely satisfy the new contract to a sufficient standard, and the proposed contracting </w:t>
      </w:r>
      <w:r w:rsidR="009A38F9" w:rsidRPr="009A38F9">
        <w:rPr>
          <w:rFonts w:ascii="Arial" w:hAnsi="Arial" w:cs="Arial"/>
        </w:rPr>
        <w:t>arrangements are not changing considerably.</w:t>
      </w:r>
    </w:p>
    <w:p w14:paraId="1F26A240" w14:textId="3D4E6682" w:rsidR="00D82EB9" w:rsidRPr="00D82EB9" w:rsidRDefault="00D82EB9" w:rsidP="00D82EB9">
      <w:pPr>
        <w:rPr>
          <w:rFonts w:ascii="Arial" w:hAnsi="Arial" w:cs="Arial"/>
          <w:b/>
          <w:bCs/>
        </w:rPr>
      </w:pPr>
      <w:r w:rsidRPr="00D82EB9">
        <w:rPr>
          <w:rFonts w:ascii="Arial" w:hAnsi="Arial" w:cs="Arial"/>
          <w:b/>
          <w:bCs/>
        </w:rPr>
        <w:t xml:space="preserve">Urgent </w:t>
      </w:r>
      <w:r w:rsidR="00447E53">
        <w:rPr>
          <w:rFonts w:ascii="Arial" w:hAnsi="Arial" w:cs="Arial"/>
          <w:b/>
          <w:bCs/>
        </w:rPr>
        <w:t>A</w:t>
      </w:r>
      <w:r w:rsidRPr="00D82EB9">
        <w:rPr>
          <w:rFonts w:ascii="Arial" w:hAnsi="Arial" w:cs="Arial"/>
          <w:b/>
          <w:bCs/>
        </w:rPr>
        <w:t>ward process</w:t>
      </w:r>
    </w:p>
    <w:p w14:paraId="088322F0" w14:textId="2A997848" w:rsidR="00D82EB9" w:rsidRPr="00D82EB9" w:rsidRDefault="00D82EB9" w:rsidP="00D82EB9">
      <w:pPr>
        <w:rPr>
          <w:rFonts w:ascii="Arial" w:hAnsi="Arial" w:cs="Arial"/>
        </w:rPr>
      </w:pPr>
      <w:r w:rsidRPr="00D82EB9">
        <w:rPr>
          <w:rFonts w:ascii="Arial" w:hAnsi="Arial" w:cs="Arial"/>
        </w:rPr>
        <w:t>An urgent award must only be made by a relevant authority when all the below apply:</w:t>
      </w:r>
    </w:p>
    <w:p w14:paraId="29E01573" w14:textId="5CA82C42" w:rsidR="00D82EB9" w:rsidRPr="00D82EB9" w:rsidRDefault="00D82EB9" w:rsidP="00D82EB9">
      <w:pPr>
        <w:pStyle w:val="ListParagraph"/>
        <w:numPr>
          <w:ilvl w:val="0"/>
          <w:numId w:val="7"/>
        </w:numPr>
        <w:rPr>
          <w:rFonts w:ascii="Arial" w:hAnsi="Arial" w:cs="Arial"/>
        </w:rPr>
      </w:pPr>
      <w:r w:rsidRPr="00D82EB9">
        <w:rPr>
          <w:rFonts w:ascii="Arial" w:hAnsi="Arial" w:cs="Arial"/>
        </w:rPr>
        <w:t xml:space="preserve">the award must be made </w:t>
      </w:r>
      <w:proofErr w:type="gramStart"/>
      <w:r w:rsidRPr="00D82EB9">
        <w:rPr>
          <w:rFonts w:ascii="Arial" w:hAnsi="Arial" w:cs="Arial"/>
        </w:rPr>
        <w:t>urgently</w:t>
      </w:r>
      <w:proofErr w:type="gramEnd"/>
    </w:p>
    <w:p w14:paraId="14A3A277" w14:textId="77777777" w:rsidR="00D82EB9" w:rsidRPr="00D82EB9" w:rsidRDefault="00D82EB9" w:rsidP="00D82EB9">
      <w:pPr>
        <w:pStyle w:val="ListParagraph"/>
        <w:numPr>
          <w:ilvl w:val="0"/>
          <w:numId w:val="7"/>
        </w:numPr>
        <w:rPr>
          <w:rFonts w:ascii="Arial" w:hAnsi="Arial" w:cs="Arial"/>
        </w:rPr>
      </w:pPr>
      <w:r w:rsidRPr="00D82EB9">
        <w:rPr>
          <w:rFonts w:ascii="Arial" w:hAnsi="Arial" w:cs="Arial"/>
        </w:rPr>
        <w:t xml:space="preserve">the reason for the urgency was not foreseeable by and is not attributable to the relevant </w:t>
      </w:r>
      <w:proofErr w:type="gramStart"/>
      <w:r w:rsidRPr="00D82EB9">
        <w:rPr>
          <w:rFonts w:ascii="Arial" w:hAnsi="Arial" w:cs="Arial"/>
        </w:rPr>
        <w:t>authority</w:t>
      </w:r>
      <w:proofErr w:type="gramEnd"/>
    </w:p>
    <w:p w14:paraId="649C5FDB" w14:textId="77777777" w:rsidR="00D82EB9" w:rsidRPr="00D82EB9" w:rsidRDefault="00D82EB9" w:rsidP="00D82EB9">
      <w:pPr>
        <w:pStyle w:val="ListParagraph"/>
        <w:numPr>
          <w:ilvl w:val="0"/>
          <w:numId w:val="7"/>
        </w:numPr>
        <w:rPr>
          <w:rFonts w:ascii="Arial" w:hAnsi="Arial" w:cs="Arial"/>
        </w:rPr>
      </w:pPr>
      <w:r w:rsidRPr="00D82EB9">
        <w:rPr>
          <w:rFonts w:ascii="Arial" w:hAnsi="Arial" w:cs="Arial"/>
        </w:rPr>
        <w:t>delaying the award of the contract to conduct a full application of the regime would be likely to pose a risk to patient or public safety.</w:t>
      </w:r>
    </w:p>
    <w:p w14:paraId="2D3274CF" w14:textId="783001AF" w:rsidR="009A38F9" w:rsidRDefault="009A38F9" w:rsidP="009A38F9">
      <w:pPr>
        <w:rPr>
          <w:rFonts w:ascii="Arial" w:hAnsi="Arial" w:cs="Arial"/>
        </w:rPr>
      </w:pPr>
      <w:r>
        <w:rPr>
          <w:rFonts w:ascii="Arial" w:hAnsi="Arial" w:cs="Arial"/>
        </w:rPr>
        <w:t xml:space="preserve">For more information </w:t>
      </w:r>
      <w:r w:rsidR="00CC3239">
        <w:rPr>
          <w:rFonts w:ascii="Arial" w:hAnsi="Arial" w:cs="Arial"/>
        </w:rPr>
        <w:t xml:space="preserve">- </w:t>
      </w:r>
      <w:hyperlink r:id="rId11" w:history="1">
        <w:r w:rsidR="00501529">
          <w:rPr>
            <w:rStyle w:val="Hyperlink"/>
            <w:rFonts w:ascii="Arial" w:hAnsi="Arial" w:cs="Arial"/>
          </w:rPr>
          <w:t>Provider Selection Regime statutory guidance</w:t>
        </w:r>
      </w:hyperlink>
      <w:r w:rsidR="00207014">
        <w:rPr>
          <w:rFonts w:ascii="Arial" w:hAnsi="Arial" w:cs="Arial"/>
        </w:rPr>
        <w:t xml:space="preserve"> </w:t>
      </w:r>
    </w:p>
    <w:p w14:paraId="1ED4CC8D" w14:textId="48675677" w:rsidR="001D5ECF" w:rsidRPr="00F1270C" w:rsidRDefault="001D5ECF" w:rsidP="009A38F9">
      <w:pPr>
        <w:rPr>
          <w:rFonts w:ascii="Arial" w:hAnsi="Arial" w:cs="Arial"/>
          <w:b/>
          <w:bCs/>
        </w:rPr>
      </w:pPr>
      <w:r w:rsidRPr="00F1270C">
        <w:rPr>
          <w:rFonts w:ascii="Arial" w:hAnsi="Arial" w:cs="Arial"/>
          <w:b/>
          <w:bCs/>
        </w:rPr>
        <w:t xml:space="preserve">Please complete </w:t>
      </w:r>
      <w:proofErr w:type="gramStart"/>
      <w:r w:rsidRPr="00F1270C">
        <w:rPr>
          <w:rFonts w:ascii="Arial" w:hAnsi="Arial" w:cs="Arial"/>
          <w:b/>
          <w:bCs/>
        </w:rPr>
        <w:t xml:space="preserve">all </w:t>
      </w:r>
      <w:r w:rsidR="00640898" w:rsidRPr="00F1270C">
        <w:rPr>
          <w:rFonts w:ascii="Arial" w:hAnsi="Arial" w:cs="Arial"/>
          <w:b/>
          <w:bCs/>
        </w:rPr>
        <w:t>of</w:t>
      </w:r>
      <w:proofErr w:type="gramEnd"/>
      <w:r w:rsidR="00640898" w:rsidRPr="00F1270C">
        <w:rPr>
          <w:rFonts w:ascii="Arial" w:hAnsi="Arial" w:cs="Arial"/>
          <w:b/>
          <w:bCs/>
        </w:rPr>
        <w:t xml:space="preserve"> </w:t>
      </w:r>
      <w:r w:rsidRPr="00F1270C">
        <w:rPr>
          <w:rFonts w:ascii="Arial" w:hAnsi="Arial" w:cs="Arial"/>
          <w:b/>
          <w:bCs/>
        </w:rPr>
        <w:t>the blank cells where relevant to the process followed</w:t>
      </w:r>
      <w:r w:rsidR="00640898" w:rsidRPr="00F1270C">
        <w:rPr>
          <w:rFonts w:ascii="Arial" w:hAnsi="Arial" w:cs="Arial"/>
          <w:b/>
          <w:bCs/>
        </w:rPr>
        <w:t xml:space="preserve"> (unless indicated that </w:t>
      </w:r>
      <w:r w:rsidR="003D7C0D" w:rsidRPr="00F1270C">
        <w:rPr>
          <w:rFonts w:ascii="Arial" w:hAnsi="Arial" w:cs="Arial"/>
          <w:b/>
          <w:bCs/>
        </w:rPr>
        <w:t xml:space="preserve">the </w:t>
      </w:r>
      <w:r w:rsidR="00D62370" w:rsidRPr="00F1270C">
        <w:rPr>
          <w:rFonts w:ascii="Arial" w:hAnsi="Arial" w:cs="Arial"/>
          <w:b/>
          <w:bCs/>
        </w:rPr>
        <w:t>C</w:t>
      </w:r>
      <w:r w:rsidR="003D7C0D" w:rsidRPr="00F1270C">
        <w:rPr>
          <w:rFonts w:ascii="Arial" w:hAnsi="Arial" w:cs="Arial"/>
          <w:b/>
          <w:bCs/>
        </w:rPr>
        <w:t xml:space="preserve">ontract </w:t>
      </w:r>
      <w:r w:rsidR="00D62370" w:rsidRPr="00F1270C">
        <w:rPr>
          <w:rFonts w:ascii="Arial" w:hAnsi="Arial" w:cs="Arial"/>
          <w:b/>
          <w:bCs/>
        </w:rPr>
        <w:t>M</w:t>
      </w:r>
      <w:r w:rsidR="003D7C0D" w:rsidRPr="00F1270C">
        <w:rPr>
          <w:rFonts w:ascii="Arial" w:hAnsi="Arial" w:cs="Arial"/>
          <w:b/>
          <w:bCs/>
        </w:rPr>
        <w:t xml:space="preserve">anagement </w:t>
      </w:r>
      <w:r w:rsidR="00D62370" w:rsidRPr="00F1270C">
        <w:rPr>
          <w:rFonts w:ascii="Arial" w:hAnsi="Arial" w:cs="Arial"/>
          <w:b/>
          <w:bCs/>
        </w:rPr>
        <w:t>T</w:t>
      </w:r>
      <w:r w:rsidR="003D7C0D" w:rsidRPr="00F1270C">
        <w:rPr>
          <w:rFonts w:ascii="Arial" w:hAnsi="Arial" w:cs="Arial"/>
          <w:b/>
          <w:bCs/>
        </w:rPr>
        <w:t>eam (CMT)</w:t>
      </w:r>
      <w:r w:rsidR="00D62370" w:rsidRPr="00F1270C">
        <w:rPr>
          <w:rFonts w:ascii="Arial" w:hAnsi="Arial" w:cs="Arial"/>
          <w:b/>
          <w:bCs/>
        </w:rPr>
        <w:t xml:space="preserve"> will complete). </w:t>
      </w:r>
    </w:p>
    <w:p w14:paraId="78010930" w14:textId="00367306" w:rsidR="003945E6" w:rsidRPr="00124C6C" w:rsidRDefault="003945E6" w:rsidP="00E5357E">
      <w:pPr>
        <w:spacing w:after="0"/>
        <w:rPr>
          <w:rFonts w:ascii="Arial" w:hAnsi="Arial" w:cs="Arial"/>
          <w:b/>
          <w:sz w:val="12"/>
          <w:szCs w:val="12"/>
        </w:rPr>
      </w:pPr>
      <w:r w:rsidRPr="00CB3687">
        <w:rPr>
          <w:rFonts w:ascii="Arial" w:hAnsi="Arial" w:cs="Arial"/>
          <w:b/>
          <w:bCs/>
        </w:rPr>
        <w:t>Part 1 – General</w:t>
      </w:r>
      <w:r w:rsidR="00206C97">
        <w:rPr>
          <w:rFonts w:ascii="Arial" w:hAnsi="Arial" w:cs="Arial"/>
          <w:b/>
          <w:bCs/>
        </w:rPr>
        <w:t xml:space="preserve"> information</w:t>
      </w:r>
      <w:r w:rsidR="007F18D2">
        <w:rPr>
          <w:rFonts w:ascii="Arial" w:hAnsi="Arial" w:cs="Arial"/>
          <w:b/>
          <w:bCs/>
        </w:rPr>
        <w:br/>
      </w:r>
    </w:p>
    <w:tbl>
      <w:tblPr>
        <w:tblStyle w:val="TableGrid"/>
        <w:tblW w:w="5000" w:type="pct"/>
        <w:tblLook w:val="04A0" w:firstRow="1" w:lastRow="0" w:firstColumn="1" w:lastColumn="0" w:noHBand="0" w:noVBand="1"/>
      </w:tblPr>
      <w:tblGrid>
        <w:gridCol w:w="5230"/>
        <w:gridCol w:w="5226"/>
      </w:tblGrid>
      <w:tr w:rsidR="00A0742C" w:rsidRPr="00CB3687" w14:paraId="72EB701E" w14:textId="77777777" w:rsidTr="00A0742C">
        <w:trPr>
          <w:trHeight w:val="70"/>
        </w:trPr>
        <w:tc>
          <w:tcPr>
            <w:tcW w:w="5000" w:type="pct"/>
            <w:gridSpan w:val="2"/>
            <w:shd w:val="clear" w:color="auto" w:fill="FAE2D5" w:themeFill="accent2" w:themeFillTint="33"/>
          </w:tcPr>
          <w:p w14:paraId="6C6828A0" w14:textId="5107A2E7" w:rsidR="00A0742C" w:rsidRDefault="00206C97" w:rsidP="007A239E">
            <w:pPr>
              <w:rPr>
                <w:rFonts w:ascii="Arial" w:hAnsi="Arial" w:cs="Arial"/>
              </w:rPr>
            </w:pPr>
            <w:r>
              <w:rPr>
                <w:rFonts w:ascii="Arial" w:hAnsi="Arial" w:cs="Arial"/>
                <w:b/>
                <w:bCs/>
              </w:rPr>
              <w:t>F</w:t>
            </w:r>
            <w:r w:rsidR="00A0742C" w:rsidRPr="00A0742C">
              <w:rPr>
                <w:rFonts w:ascii="Arial" w:hAnsi="Arial" w:cs="Arial"/>
                <w:b/>
                <w:bCs/>
              </w:rPr>
              <w:t>or all awards:</w:t>
            </w:r>
          </w:p>
        </w:tc>
      </w:tr>
      <w:tr w:rsidR="007B727D" w:rsidRPr="00CB3687" w14:paraId="4F6EDE54" w14:textId="77777777" w:rsidTr="00514EEB">
        <w:trPr>
          <w:trHeight w:val="983"/>
        </w:trPr>
        <w:tc>
          <w:tcPr>
            <w:tcW w:w="2501" w:type="pct"/>
          </w:tcPr>
          <w:p w14:paraId="270C1069" w14:textId="251C6E02" w:rsidR="00431BC4" w:rsidRPr="00431BC4" w:rsidRDefault="009B0192" w:rsidP="00431BC4">
            <w:pPr>
              <w:rPr>
                <w:rFonts w:ascii="Arial" w:hAnsi="Arial" w:cs="Arial"/>
              </w:rPr>
            </w:pPr>
            <w:r w:rsidRPr="00514EEB">
              <w:rPr>
                <w:rFonts w:ascii="Arial" w:hAnsi="Arial" w:cs="Arial"/>
              </w:rPr>
              <w:t>Confirmation</w:t>
            </w:r>
            <w:r w:rsidR="00C8054D" w:rsidRPr="00514EEB">
              <w:rPr>
                <w:rFonts w:ascii="Arial" w:hAnsi="Arial" w:cs="Arial"/>
              </w:rPr>
              <w:t xml:space="preserve"> that </w:t>
            </w:r>
            <w:r w:rsidR="000E4B96" w:rsidRPr="00514EEB">
              <w:rPr>
                <w:rFonts w:ascii="Arial" w:hAnsi="Arial" w:cs="Arial"/>
                <w:lang w:val="en-US"/>
              </w:rPr>
              <w:t xml:space="preserve">the service is in scope </w:t>
            </w:r>
            <w:r w:rsidR="00A8057B" w:rsidRPr="00514EEB">
              <w:rPr>
                <w:rFonts w:ascii="Arial" w:hAnsi="Arial" w:cs="Arial"/>
                <w:lang w:val="en-US"/>
              </w:rPr>
              <w:t xml:space="preserve">of health care services as defined in the </w:t>
            </w:r>
            <w:r w:rsidR="000E4B96" w:rsidRPr="00514EEB">
              <w:rPr>
                <w:rFonts w:ascii="Arial" w:hAnsi="Arial" w:cs="Arial"/>
                <w:lang w:val="en-US"/>
              </w:rPr>
              <w:t>PSR</w:t>
            </w:r>
            <w:r w:rsidR="00A8057B" w:rsidRPr="00514EEB">
              <w:rPr>
                <w:rFonts w:ascii="Arial" w:hAnsi="Arial" w:cs="Arial"/>
                <w:lang w:val="en-US"/>
              </w:rPr>
              <w:t xml:space="preserve"> regulations and statutory guidance. </w:t>
            </w:r>
            <w:r w:rsidR="00F924B5" w:rsidRPr="00514EEB">
              <w:rPr>
                <w:rFonts w:ascii="Arial" w:hAnsi="Arial" w:cs="Arial"/>
                <w:lang w:val="en-US"/>
              </w:rPr>
              <w:t xml:space="preserve">Provide an explanation </w:t>
            </w:r>
            <w:r w:rsidR="00B74B73" w:rsidRPr="00514EEB">
              <w:rPr>
                <w:rFonts w:ascii="Arial" w:hAnsi="Arial" w:cs="Arial"/>
                <w:lang w:val="en-US"/>
              </w:rPr>
              <w:t>of how this decision was reached</w:t>
            </w:r>
            <w:r w:rsidR="00F17965" w:rsidRPr="00514EEB">
              <w:rPr>
                <w:rFonts w:ascii="Arial" w:hAnsi="Arial" w:cs="Arial"/>
                <w:lang w:val="en-US"/>
              </w:rPr>
              <w:t>*</w:t>
            </w:r>
            <w:r w:rsidR="00B74B73" w:rsidRPr="00514EEB">
              <w:rPr>
                <w:rFonts w:ascii="Arial" w:hAnsi="Arial" w:cs="Arial"/>
                <w:lang w:val="en-US"/>
              </w:rPr>
              <w:t xml:space="preserve">. </w:t>
            </w:r>
            <w:r w:rsidR="007E328C" w:rsidRPr="00514EEB">
              <w:rPr>
                <w:rFonts w:ascii="Arial" w:hAnsi="Arial" w:cs="Arial"/>
              </w:rPr>
              <w:t>If there is a mixed procurement (for example when a contract comprises a mixture of in-scope health</w:t>
            </w:r>
            <w:r w:rsidR="008F5B55">
              <w:rPr>
                <w:rFonts w:ascii="Arial" w:hAnsi="Arial" w:cs="Arial"/>
              </w:rPr>
              <w:t xml:space="preserve"> </w:t>
            </w:r>
            <w:r w:rsidR="007E328C" w:rsidRPr="00514EEB">
              <w:rPr>
                <w:rFonts w:ascii="Arial" w:hAnsi="Arial" w:cs="Arial"/>
              </w:rPr>
              <w:t>care services and out-of-scope services or goods) then the PSR will only apply if the main subject matter</w:t>
            </w:r>
            <w:r w:rsidR="00514EEB" w:rsidRPr="00514EEB">
              <w:rPr>
                <w:rFonts w:ascii="Arial" w:hAnsi="Arial" w:cs="Arial"/>
              </w:rPr>
              <w:t xml:space="preserve"> </w:t>
            </w:r>
            <w:r w:rsidR="007E328C" w:rsidRPr="00514EEB">
              <w:rPr>
                <w:rFonts w:ascii="Arial" w:hAnsi="Arial" w:cs="Arial"/>
              </w:rPr>
              <w:t>of the contract is in-scope health</w:t>
            </w:r>
            <w:r w:rsidR="00864F6C">
              <w:rPr>
                <w:rFonts w:ascii="Arial" w:hAnsi="Arial" w:cs="Arial"/>
              </w:rPr>
              <w:t xml:space="preserve"> </w:t>
            </w:r>
            <w:r w:rsidR="007E328C" w:rsidRPr="00514EEB">
              <w:rPr>
                <w:rFonts w:ascii="Arial" w:hAnsi="Arial" w:cs="Arial"/>
              </w:rPr>
              <w:t xml:space="preserve">care services </w:t>
            </w:r>
            <w:r w:rsidR="00431BC4" w:rsidRPr="00431BC4">
              <w:rPr>
                <w:rFonts w:ascii="Arial" w:hAnsi="Arial" w:cs="Arial"/>
              </w:rPr>
              <w:t>(health care elements make up the highest % of the specification)</w:t>
            </w:r>
            <w:r w:rsidR="00431BC4">
              <w:rPr>
                <w:rFonts w:ascii="Arial" w:hAnsi="Arial" w:cs="Arial"/>
              </w:rPr>
              <w:t>.</w:t>
            </w:r>
          </w:p>
          <w:p w14:paraId="67796D21" w14:textId="14DE447E" w:rsidR="007B727D" w:rsidRPr="00F17965" w:rsidRDefault="004646B7" w:rsidP="00431BC4">
            <w:pPr>
              <w:spacing w:after="160" w:line="259" w:lineRule="auto"/>
              <w:rPr>
                <w:rFonts w:ascii="Arial" w:hAnsi="Arial" w:cs="Arial"/>
                <w:color w:val="FF0000"/>
              </w:rPr>
            </w:pPr>
            <w:r w:rsidRPr="00514EEB">
              <w:rPr>
                <w:rFonts w:ascii="Arial" w:hAnsi="Arial" w:cs="Arial"/>
              </w:rPr>
              <w:lastRenderedPageBreak/>
              <w:t>Ple</w:t>
            </w:r>
            <w:r w:rsidR="00CB3BC3" w:rsidRPr="00514EEB">
              <w:rPr>
                <w:rFonts w:ascii="Arial" w:hAnsi="Arial" w:cs="Arial"/>
              </w:rPr>
              <w:t>ase refer to the PSR statutory guidance for further details.</w:t>
            </w:r>
          </w:p>
        </w:tc>
        <w:tc>
          <w:tcPr>
            <w:tcW w:w="2499" w:type="pct"/>
          </w:tcPr>
          <w:p w14:paraId="385C7E87" w14:textId="77777777" w:rsidR="007B727D" w:rsidRDefault="007B727D" w:rsidP="007A239E">
            <w:pPr>
              <w:rPr>
                <w:rFonts w:ascii="Arial" w:hAnsi="Arial" w:cs="Arial"/>
              </w:rPr>
            </w:pPr>
          </w:p>
        </w:tc>
      </w:tr>
      <w:tr w:rsidR="00F17965" w:rsidRPr="00CB3687" w14:paraId="35657550" w14:textId="77777777" w:rsidTr="00F17965">
        <w:trPr>
          <w:trHeight w:val="70"/>
        </w:trPr>
        <w:tc>
          <w:tcPr>
            <w:tcW w:w="5000" w:type="pct"/>
            <w:gridSpan w:val="2"/>
          </w:tcPr>
          <w:p w14:paraId="79C564AA" w14:textId="0A2892C0" w:rsidR="005346AA" w:rsidRPr="005346AA" w:rsidRDefault="00DF3190" w:rsidP="005346AA">
            <w:pPr>
              <w:spacing w:after="0" w:line="240" w:lineRule="auto"/>
              <w:rPr>
                <w:rFonts w:ascii="Arial" w:hAnsi="Arial" w:cs="Arial"/>
                <w:sz w:val="18"/>
                <w:szCs w:val="18"/>
              </w:rPr>
            </w:pPr>
            <w:r w:rsidRPr="00997F36">
              <w:rPr>
                <w:rFonts w:ascii="Arial" w:hAnsi="Arial" w:cs="Arial"/>
                <w:sz w:val="18"/>
                <w:szCs w:val="18"/>
              </w:rPr>
              <w:t>*</w:t>
            </w:r>
            <w:r w:rsidR="005346AA" w:rsidRPr="00997F36">
              <w:rPr>
                <w:rFonts w:ascii="Arial" w:hAnsi="Arial" w:cs="Arial"/>
                <w:sz w:val="18"/>
                <w:szCs w:val="18"/>
              </w:rPr>
              <w:t xml:space="preserve">Some key points to </w:t>
            </w:r>
            <w:r w:rsidR="00416212" w:rsidRPr="00997F36">
              <w:rPr>
                <w:rFonts w:ascii="Arial" w:hAnsi="Arial" w:cs="Arial"/>
                <w:sz w:val="18"/>
                <w:szCs w:val="18"/>
              </w:rPr>
              <w:t>consider</w:t>
            </w:r>
            <w:r w:rsidR="00B46FD6" w:rsidRPr="00997F36">
              <w:rPr>
                <w:rFonts w:ascii="Arial" w:hAnsi="Arial" w:cs="Arial"/>
                <w:sz w:val="18"/>
                <w:szCs w:val="18"/>
              </w:rPr>
              <w:t xml:space="preserve"> when </w:t>
            </w:r>
            <w:proofErr w:type="gramStart"/>
            <w:r w:rsidR="00B46FD6" w:rsidRPr="00997F36">
              <w:rPr>
                <w:rFonts w:ascii="Arial" w:hAnsi="Arial" w:cs="Arial"/>
                <w:sz w:val="18"/>
                <w:szCs w:val="18"/>
              </w:rPr>
              <w:t xml:space="preserve">making </w:t>
            </w:r>
            <w:r w:rsidR="005346AA" w:rsidRPr="00997F36">
              <w:rPr>
                <w:rFonts w:ascii="Arial" w:hAnsi="Arial" w:cs="Arial"/>
                <w:sz w:val="18"/>
                <w:szCs w:val="18"/>
              </w:rPr>
              <w:t>a decision</w:t>
            </w:r>
            <w:proofErr w:type="gramEnd"/>
            <w:r w:rsidR="005346AA" w:rsidRPr="00997F36">
              <w:rPr>
                <w:rFonts w:ascii="Arial" w:hAnsi="Arial" w:cs="Arial"/>
                <w:sz w:val="18"/>
                <w:szCs w:val="18"/>
              </w:rPr>
              <w:t xml:space="preserve"> </w:t>
            </w:r>
            <w:r w:rsidR="00E22874" w:rsidRPr="00997F36">
              <w:rPr>
                <w:rFonts w:ascii="Arial" w:hAnsi="Arial" w:cs="Arial"/>
                <w:sz w:val="18"/>
                <w:szCs w:val="18"/>
              </w:rPr>
              <w:t>of whether a service is in scope of health care services</w:t>
            </w:r>
            <w:r w:rsidR="005346AA" w:rsidRPr="00997F36">
              <w:rPr>
                <w:rFonts w:ascii="Arial" w:hAnsi="Arial" w:cs="Arial"/>
                <w:sz w:val="18"/>
                <w:szCs w:val="18"/>
              </w:rPr>
              <w:t>:</w:t>
            </w:r>
          </w:p>
          <w:p w14:paraId="24B3B9BB" w14:textId="1183D5CF" w:rsidR="005346AA" w:rsidRPr="005346AA" w:rsidRDefault="005346AA" w:rsidP="005346AA">
            <w:pPr>
              <w:numPr>
                <w:ilvl w:val="0"/>
                <w:numId w:val="17"/>
              </w:numPr>
              <w:spacing w:after="0" w:line="240" w:lineRule="auto"/>
              <w:rPr>
                <w:rFonts w:ascii="Arial" w:hAnsi="Arial" w:cs="Arial"/>
                <w:sz w:val="18"/>
                <w:szCs w:val="18"/>
              </w:rPr>
            </w:pPr>
            <w:r w:rsidRPr="005346AA">
              <w:rPr>
                <w:rFonts w:ascii="Arial" w:hAnsi="Arial" w:cs="Arial"/>
                <w:sz w:val="18"/>
                <w:szCs w:val="18"/>
              </w:rPr>
              <w:t>Health</w:t>
            </w:r>
            <w:r w:rsidR="009313D6" w:rsidRPr="00997F36">
              <w:rPr>
                <w:rFonts w:ascii="Arial" w:hAnsi="Arial" w:cs="Arial"/>
                <w:sz w:val="18"/>
                <w:szCs w:val="18"/>
              </w:rPr>
              <w:t xml:space="preserve"> </w:t>
            </w:r>
            <w:r w:rsidRPr="005346AA">
              <w:rPr>
                <w:rFonts w:ascii="Arial" w:hAnsi="Arial" w:cs="Arial"/>
                <w:sz w:val="18"/>
                <w:szCs w:val="18"/>
              </w:rPr>
              <w:t>care services subject to the PSR should only include those services that provide health</w:t>
            </w:r>
            <w:r w:rsidR="009313D6" w:rsidRPr="00997F36">
              <w:rPr>
                <w:rFonts w:ascii="Arial" w:hAnsi="Arial" w:cs="Arial"/>
                <w:sz w:val="18"/>
                <w:szCs w:val="18"/>
              </w:rPr>
              <w:t xml:space="preserve"> </w:t>
            </w:r>
            <w:r w:rsidRPr="005346AA">
              <w:rPr>
                <w:rFonts w:ascii="Arial" w:hAnsi="Arial" w:cs="Arial"/>
                <w:sz w:val="18"/>
                <w:szCs w:val="18"/>
              </w:rPr>
              <w:t xml:space="preserve">care for treatment, </w:t>
            </w:r>
            <w:proofErr w:type="gramStart"/>
            <w:r w:rsidRPr="005346AA">
              <w:rPr>
                <w:rFonts w:ascii="Arial" w:hAnsi="Arial" w:cs="Arial"/>
                <w:sz w:val="18"/>
                <w:szCs w:val="18"/>
              </w:rPr>
              <w:t>diagnosis</w:t>
            </w:r>
            <w:proofErr w:type="gramEnd"/>
            <w:r w:rsidRPr="005346AA">
              <w:rPr>
                <w:rFonts w:ascii="Arial" w:hAnsi="Arial" w:cs="Arial"/>
                <w:sz w:val="18"/>
                <w:szCs w:val="18"/>
              </w:rPr>
              <w:t xml:space="preserve"> or prevention of physical or mental health conditions to individuals (i.e., patients or service users) or groups of individuals.</w:t>
            </w:r>
          </w:p>
          <w:p w14:paraId="1DE90B09" w14:textId="64FB50A4" w:rsidR="005346AA" w:rsidRPr="005346AA" w:rsidRDefault="00E22874" w:rsidP="005346AA">
            <w:pPr>
              <w:numPr>
                <w:ilvl w:val="0"/>
                <w:numId w:val="17"/>
              </w:numPr>
              <w:rPr>
                <w:rFonts w:ascii="Arial" w:hAnsi="Arial" w:cs="Arial"/>
                <w:sz w:val="18"/>
                <w:szCs w:val="18"/>
              </w:rPr>
            </w:pPr>
            <w:r w:rsidRPr="00997F36">
              <w:rPr>
                <w:rFonts w:ascii="Arial" w:hAnsi="Arial" w:cs="Arial"/>
                <w:sz w:val="18"/>
                <w:szCs w:val="18"/>
              </w:rPr>
              <w:t>I</w:t>
            </w:r>
            <w:r w:rsidR="005346AA" w:rsidRPr="005346AA">
              <w:rPr>
                <w:rFonts w:ascii="Arial" w:hAnsi="Arial" w:cs="Arial"/>
                <w:sz w:val="18"/>
                <w:szCs w:val="18"/>
              </w:rPr>
              <w:t xml:space="preserve">t is generally expected that services falling within the scope of the PSR regulations and arranged by ICB’s would be supplied by a CQC registered provider. </w:t>
            </w:r>
            <w:r w:rsidRPr="00997F36">
              <w:rPr>
                <w:rFonts w:ascii="Arial" w:hAnsi="Arial" w:cs="Arial"/>
                <w:sz w:val="18"/>
                <w:szCs w:val="18"/>
              </w:rPr>
              <w:t xml:space="preserve">However </w:t>
            </w:r>
            <w:r w:rsidR="005346AA" w:rsidRPr="005346AA">
              <w:rPr>
                <w:rFonts w:ascii="Arial" w:hAnsi="Arial" w:cs="Arial"/>
                <w:sz w:val="18"/>
                <w:szCs w:val="18"/>
              </w:rPr>
              <w:t xml:space="preserve">not all services within scope </w:t>
            </w:r>
            <w:r w:rsidR="00827092" w:rsidRPr="00997F36">
              <w:rPr>
                <w:rFonts w:ascii="Arial" w:hAnsi="Arial" w:cs="Arial"/>
                <w:sz w:val="18"/>
                <w:szCs w:val="18"/>
              </w:rPr>
              <w:t>must</w:t>
            </w:r>
            <w:r w:rsidR="005346AA" w:rsidRPr="005346AA">
              <w:rPr>
                <w:rFonts w:ascii="Arial" w:hAnsi="Arial" w:cs="Arial"/>
                <w:sz w:val="18"/>
                <w:szCs w:val="18"/>
              </w:rPr>
              <w:t xml:space="preserve"> be delivered by a CQC registered provider. Prevention (support) services </w:t>
            </w:r>
            <w:r w:rsidR="0068514E" w:rsidRPr="00997F36">
              <w:rPr>
                <w:rFonts w:ascii="Arial" w:hAnsi="Arial" w:cs="Arial"/>
                <w:sz w:val="18"/>
                <w:szCs w:val="18"/>
              </w:rPr>
              <w:t xml:space="preserve">commissioned by the ICB </w:t>
            </w:r>
            <w:r w:rsidR="005346AA" w:rsidRPr="005346AA">
              <w:rPr>
                <w:rFonts w:ascii="Arial" w:hAnsi="Arial" w:cs="Arial"/>
                <w:sz w:val="18"/>
                <w:szCs w:val="18"/>
              </w:rPr>
              <w:t xml:space="preserve">wouldn’t necessarily require CQC registered providers and </w:t>
            </w:r>
            <w:r w:rsidR="0068514E" w:rsidRPr="00997F36">
              <w:rPr>
                <w:rFonts w:ascii="Arial" w:hAnsi="Arial" w:cs="Arial"/>
                <w:sz w:val="18"/>
                <w:szCs w:val="18"/>
              </w:rPr>
              <w:t xml:space="preserve">therefore </w:t>
            </w:r>
            <w:r w:rsidR="009313D6" w:rsidRPr="00997F36">
              <w:rPr>
                <w:rFonts w:ascii="Arial" w:hAnsi="Arial" w:cs="Arial"/>
                <w:sz w:val="18"/>
                <w:szCs w:val="18"/>
              </w:rPr>
              <w:t>may still fall within the scope of health care services.</w:t>
            </w:r>
          </w:p>
          <w:p w14:paraId="73BD0493" w14:textId="0D901A6C" w:rsidR="00F17965" w:rsidRPr="00294BCF" w:rsidRDefault="000D0D82" w:rsidP="00294BCF">
            <w:pPr>
              <w:numPr>
                <w:ilvl w:val="0"/>
                <w:numId w:val="17"/>
              </w:numPr>
              <w:rPr>
                <w:rFonts w:ascii="Arial" w:hAnsi="Arial" w:cs="Arial"/>
              </w:rPr>
            </w:pPr>
            <w:r w:rsidRPr="00997F36">
              <w:rPr>
                <w:rFonts w:ascii="Arial" w:hAnsi="Arial" w:cs="Arial"/>
                <w:sz w:val="18"/>
                <w:szCs w:val="18"/>
              </w:rPr>
              <w:t xml:space="preserve">Health care services in scope of the regime must fall within one or more of the common procurement </w:t>
            </w:r>
            <w:proofErr w:type="gramStart"/>
            <w:r w:rsidRPr="00997F36">
              <w:rPr>
                <w:rFonts w:ascii="Arial" w:hAnsi="Arial" w:cs="Arial"/>
                <w:sz w:val="18"/>
                <w:szCs w:val="18"/>
              </w:rPr>
              <w:t>vocabulary</w:t>
            </w:r>
            <w:proofErr w:type="gramEnd"/>
            <w:r w:rsidRPr="00997F36">
              <w:rPr>
                <w:rFonts w:ascii="Arial" w:hAnsi="Arial" w:cs="Arial"/>
                <w:sz w:val="18"/>
                <w:szCs w:val="18"/>
              </w:rPr>
              <w:t xml:space="preserve"> (CPV) codes, which are set out in </w:t>
            </w:r>
            <w:r w:rsidR="003F6799" w:rsidRPr="00997F36">
              <w:rPr>
                <w:rFonts w:ascii="Arial" w:hAnsi="Arial" w:cs="Arial"/>
                <w:sz w:val="18"/>
                <w:szCs w:val="18"/>
              </w:rPr>
              <w:t xml:space="preserve">Annex </w:t>
            </w:r>
            <w:r w:rsidR="00EE534A" w:rsidRPr="00997F36">
              <w:rPr>
                <w:rFonts w:ascii="Arial" w:hAnsi="Arial" w:cs="Arial"/>
                <w:sz w:val="18"/>
                <w:szCs w:val="18"/>
              </w:rPr>
              <w:t>a</w:t>
            </w:r>
            <w:r w:rsidRPr="00997F36">
              <w:rPr>
                <w:rFonts w:ascii="Arial" w:hAnsi="Arial" w:cs="Arial"/>
                <w:sz w:val="18"/>
                <w:szCs w:val="18"/>
              </w:rPr>
              <w:t xml:space="preserve"> of the</w:t>
            </w:r>
            <w:r w:rsidR="003F6799" w:rsidRPr="00997F36">
              <w:rPr>
                <w:rFonts w:ascii="Arial" w:hAnsi="Arial" w:cs="Arial"/>
                <w:sz w:val="18"/>
                <w:szCs w:val="18"/>
              </w:rPr>
              <w:t xml:space="preserve"> statutory guidance</w:t>
            </w:r>
            <w:r w:rsidRPr="00997F36">
              <w:rPr>
                <w:rFonts w:ascii="Arial" w:hAnsi="Arial" w:cs="Arial"/>
                <w:sz w:val="18"/>
                <w:szCs w:val="18"/>
              </w:rPr>
              <w:t xml:space="preserve">. </w:t>
            </w:r>
            <w:proofErr w:type="gramStart"/>
            <w:r w:rsidRPr="00997F36">
              <w:rPr>
                <w:rFonts w:ascii="Arial" w:hAnsi="Arial" w:cs="Arial"/>
                <w:sz w:val="18"/>
                <w:szCs w:val="18"/>
              </w:rPr>
              <w:t>However</w:t>
            </w:r>
            <w:proofErr w:type="gramEnd"/>
            <w:r w:rsidRPr="00997F36">
              <w:rPr>
                <w:rFonts w:ascii="Arial" w:hAnsi="Arial" w:cs="Arial"/>
                <w:sz w:val="18"/>
                <w:szCs w:val="18"/>
              </w:rPr>
              <w:t xml:space="preserve"> a</w:t>
            </w:r>
            <w:r w:rsidR="005346AA" w:rsidRPr="005346AA">
              <w:rPr>
                <w:rFonts w:ascii="Arial" w:hAnsi="Arial" w:cs="Arial"/>
                <w:sz w:val="18"/>
                <w:szCs w:val="18"/>
              </w:rPr>
              <w:t>s the list of CPV codes does not cover all types of health care services, we may in some situations use the overarching code for health services</w:t>
            </w:r>
            <w:r w:rsidRPr="00997F36">
              <w:rPr>
                <w:rFonts w:ascii="Arial" w:hAnsi="Arial" w:cs="Arial"/>
                <w:sz w:val="18"/>
                <w:szCs w:val="18"/>
              </w:rPr>
              <w:t xml:space="preserve"> (</w:t>
            </w:r>
            <w:r w:rsidR="002B1053" w:rsidRPr="00997F36">
              <w:rPr>
                <w:rFonts w:ascii="Arial" w:hAnsi="Arial" w:cs="Arial"/>
                <w:sz w:val="18"/>
                <w:szCs w:val="18"/>
              </w:rPr>
              <w:t>85100000-0</w:t>
            </w:r>
            <w:r w:rsidR="002B1053" w:rsidRPr="00997F36">
              <w:rPr>
                <w:rFonts w:ascii="Arial" w:hAnsi="Arial" w:cs="Arial"/>
                <w:sz w:val="18"/>
                <w:szCs w:val="18"/>
              </w:rPr>
              <w:t xml:space="preserve">) </w:t>
            </w:r>
            <w:r w:rsidR="005346AA" w:rsidRPr="005346AA">
              <w:rPr>
                <w:rFonts w:ascii="Arial" w:hAnsi="Arial" w:cs="Arial"/>
                <w:sz w:val="18"/>
                <w:szCs w:val="18"/>
              </w:rPr>
              <w:t xml:space="preserve">when a more detailed CPV code is not available. If a more detailed </w:t>
            </w:r>
            <w:r w:rsidR="002B1053" w:rsidRPr="00997F36">
              <w:rPr>
                <w:rFonts w:ascii="Arial" w:hAnsi="Arial" w:cs="Arial"/>
                <w:sz w:val="18"/>
                <w:szCs w:val="18"/>
              </w:rPr>
              <w:t>non-health</w:t>
            </w:r>
            <w:r w:rsidR="00FA46BC" w:rsidRPr="00997F36">
              <w:rPr>
                <w:rFonts w:ascii="Arial" w:hAnsi="Arial" w:cs="Arial"/>
                <w:sz w:val="18"/>
                <w:szCs w:val="18"/>
              </w:rPr>
              <w:t xml:space="preserve"> care </w:t>
            </w:r>
            <w:r w:rsidR="005346AA" w:rsidRPr="005346AA">
              <w:rPr>
                <w:rFonts w:ascii="Arial" w:hAnsi="Arial" w:cs="Arial"/>
                <w:sz w:val="18"/>
                <w:szCs w:val="18"/>
              </w:rPr>
              <w:t>CPV code is available</w:t>
            </w:r>
            <w:r w:rsidR="00294BCF" w:rsidRPr="00997F36">
              <w:rPr>
                <w:rFonts w:ascii="Arial" w:hAnsi="Arial" w:cs="Arial"/>
                <w:sz w:val="18"/>
                <w:szCs w:val="18"/>
              </w:rPr>
              <w:t xml:space="preserve"> that relates to the service being commissioned</w:t>
            </w:r>
            <w:r w:rsidR="005346AA" w:rsidRPr="005346AA">
              <w:rPr>
                <w:rFonts w:ascii="Arial" w:hAnsi="Arial" w:cs="Arial"/>
                <w:sz w:val="18"/>
                <w:szCs w:val="18"/>
              </w:rPr>
              <w:t xml:space="preserve">, </w:t>
            </w:r>
            <w:r w:rsidR="00294BCF" w:rsidRPr="00997F36">
              <w:rPr>
                <w:rFonts w:ascii="Arial" w:hAnsi="Arial" w:cs="Arial"/>
                <w:sz w:val="18"/>
                <w:szCs w:val="18"/>
              </w:rPr>
              <w:t>and therefore</w:t>
            </w:r>
            <w:r w:rsidR="005346AA" w:rsidRPr="005346AA">
              <w:rPr>
                <w:rFonts w:ascii="Arial" w:hAnsi="Arial" w:cs="Arial"/>
                <w:sz w:val="18"/>
                <w:szCs w:val="18"/>
              </w:rPr>
              <w:t xml:space="preserve"> not included in the health services list (in the statutory guidance) then the service is out of scope.</w:t>
            </w:r>
          </w:p>
        </w:tc>
      </w:tr>
      <w:tr w:rsidR="007A239E" w:rsidRPr="00CB3687" w14:paraId="5FC2CC78" w14:textId="77777777" w:rsidTr="356F837E">
        <w:trPr>
          <w:trHeight w:val="70"/>
        </w:trPr>
        <w:tc>
          <w:tcPr>
            <w:tcW w:w="2501" w:type="pct"/>
          </w:tcPr>
          <w:p w14:paraId="489D5B9A" w14:textId="19CF705F" w:rsidR="007A239E" w:rsidRPr="00CB3687" w:rsidRDefault="007A239E">
            <w:pPr>
              <w:rPr>
                <w:rFonts w:ascii="Arial" w:hAnsi="Arial" w:cs="Arial"/>
              </w:rPr>
            </w:pPr>
            <w:r w:rsidRPr="00CB3687">
              <w:rPr>
                <w:rFonts w:ascii="Arial" w:hAnsi="Arial" w:cs="Arial"/>
              </w:rPr>
              <w:t>Confirmation of which contract award process has been followed</w:t>
            </w:r>
          </w:p>
        </w:tc>
        <w:tc>
          <w:tcPr>
            <w:tcW w:w="2499" w:type="pct"/>
          </w:tcPr>
          <w:sdt>
            <w:sdtPr>
              <w:rPr>
                <w:rFonts w:ascii="Arial" w:hAnsi="Arial" w:cs="Arial"/>
              </w:rPr>
              <w:id w:val="727038646"/>
              <w:placeholder>
                <w:docPart w:val="D432936FD4D3470F8A0CB3DC5488F9C8"/>
              </w:placeholder>
              <w:showingPlcHdr/>
              <w:dropDownList>
                <w:listItem w:value="Choose an item."/>
                <w:listItem w:displayText="Direct Award Process A" w:value="Direct Award Process A"/>
                <w:listItem w:displayText="Direct Award Process B" w:value="Direct Award Process B"/>
                <w:listItem w:displayText="Direct Award Process C" w:value="Direct Award Process C"/>
                <w:listItem w:displayText="Urgent Contract Award" w:value="Urgent Contract Award"/>
              </w:dropDownList>
            </w:sdtPr>
            <w:sdtContent>
              <w:p w14:paraId="57CFF3A4" w14:textId="08947A2D" w:rsidR="007A239E" w:rsidRPr="00CB3687" w:rsidRDefault="356F837E" w:rsidP="007A239E">
                <w:pPr>
                  <w:rPr>
                    <w:rFonts w:ascii="Arial" w:hAnsi="Arial" w:cs="Arial"/>
                  </w:rPr>
                </w:pPr>
                <w:r w:rsidRPr="356F837E">
                  <w:rPr>
                    <w:rStyle w:val="PlaceholderText"/>
                  </w:rPr>
                  <w:t>Choose an item.</w:t>
                </w:r>
              </w:p>
            </w:sdtContent>
          </w:sdt>
        </w:tc>
      </w:tr>
      <w:tr w:rsidR="005F5EEC" w:rsidRPr="00CB3687" w14:paraId="38158E38" w14:textId="77777777" w:rsidTr="356F837E">
        <w:trPr>
          <w:trHeight w:val="180"/>
        </w:trPr>
        <w:tc>
          <w:tcPr>
            <w:tcW w:w="2501" w:type="pct"/>
          </w:tcPr>
          <w:p w14:paraId="65FB09FF" w14:textId="3ACDD68E" w:rsidR="005F5EEC" w:rsidRPr="00F1270C" w:rsidRDefault="005F5EEC">
            <w:pPr>
              <w:rPr>
                <w:rFonts w:ascii="Arial" w:hAnsi="Arial" w:cs="Arial"/>
              </w:rPr>
            </w:pPr>
            <w:r w:rsidRPr="00F1270C">
              <w:rPr>
                <w:rFonts w:ascii="Arial" w:hAnsi="Arial" w:cs="Arial"/>
              </w:rPr>
              <w:t>Name of relevant authority</w:t>
            </w:r>
          </w:p>
        </w:tc>
        <w:tc>
          <w:tcPr>
            <w:tcW w:w="2499" w:type="pct"/>
          </w:tcPr>
          <w:p w14:paraId="329C7A88" w14:textId="784CD637" w:rsidR="005F5EEC" w:rsidRPr="00F1270C" w:rsidRDefault="005F5EEC">
            <w:pPr>
              <w:rPr>
                <w:rFonts w:ascii="Arial" w:hAnsi="Arial" w:cs="Arial"/>
                <w:sz w:val="20"/>
                <w:szCs w:val="20"/>
              </w:rPr>
            </w:pPr>
            <w:r w:rsidRPr="00F1270C">
              <w:rPr>
                <w:rFonts w:ascii="Arial" w:hAnsi="Arial" w:cs="Arial"/>
              </w:rPr>
              <w:t>NHS Lancashire and South Cumbria Integrated Care Board</w:t>
            </w:r>
          </w:p>
        </w:tc>
      </w:tr>
      <w:tr w:rsidR="001308FF" w:rsidRPr="00CB3687" w14:paraId="76935031" w14:textId="77777777" w:rsidTr="356F837E">
        <w:trPr>
          <w:trHeight w:val="180"/>
        </w:trPr>
        <w:tc>
          <w:tcPr>
            <w:tcW w:w="2501" w:type="pct"/>
          </w:tcPr>
          <w:p w14:paraId="690E7977" w14:textId="31289266" w:rsidR="001308FF" w:rsidRPr="00F1270C" w:rsidRDefault="001308FF">
            <w:pPr>
              <w:rPr>
                <w:rFonts w:ascii="Arial" w:hAnsi="Arial" w:cs="Arial"/>
              </w:rPr>
            </w:pPr>
            <w:r w:rsidRPr="00F1270C">
              <w:rPr>
                <w:rFonts w:ascii="Arial" w:hAnsi="Arial" w:cs="Arial"/>
              </w:rPr>
              <w:t>Provider and service</w:t>
            </w:r>
            <w:r w:rsidR="003F250A" w:rsidRPr="00F1270C">
              <w:rPr>
                <w:rFonts w:ascii="Arial" w:hAnsi="Arial" w:cs="Arial"/>
              </w:rPr>
              <w:t xml:space="preserve"> name</w:t>
            </w:r>
          </w:p>
        </w:tc>
        <w:tc>
          <w:tcPr>
            <w:tcW w:w="2499" w:type="pct"/>
          </w:tcPr>
          <w:p w14:paraId="6B56A8B6" w14:textId="77777777" w:rsidR="001308FF" w:rsidRPr="00F1270C" w:rsidRDefault="001308FF" w:rsidP="0011185A">
            <w:pPr>
              <w:rPr>
                <w:rFonts w:ascii="Arial" w:hAnsi="Arial" w:cs="Arial"/>
              </w:rPr>
            </w:pPr>
          </w:p>
        </w:tc>
      </w:tr>
      <w:tr w:rsidR="007D03E9" w:rsidRPr="00CB3687" w14:paraId="3993BD0F" w14:textId="77777777" w:rsidTr="356F837E">
        <w:trPr>
          <w:trHeight w:val="180"/>
        </w:trPr>
        <w:tc>
          <w:tcPr>
            <w:tcW w:w="2501" w:type="pct"/>
          </w:tcPr>
          <w:p w14:paraId="06AAAAEE" w14:textId="512274EA" w:rsidR="007D03E9" w:rsidRPr="00F1270C" w:rsidRDefault="00E55F30">
            <w:pPr>
              <w:rPr>
                <w:rFonts w:ascii="Arial" w:hAnsi="Arial" w:cs="Arial"/>
              </w:rPr>
            </w:pPr>
            <w:r w:rsidRPr="00F1270C">
              <w:rPr>
                <w:rFonts w:ascii="Arial" w:hAnsi="Arial" w:cs="Arial"/>
              </w:rPr>
              <w:t xml:space="preserve">Name of any associate commissioners relating to this contract  </w:t>
            </w:r>
          </w:p>
        </w:tc>
        <w:tc>
          <w:tcPr>
            <w:tcW w:w="2499" w:type="pct"/>
          </w:tcPr>
          <w:p w14:paraId="5C6C15F8" w14:textId="2E2E8152" w:rsidR="007D03E9" w:rsidRPr="00F1270C" w:rsidRDefault="00E55F30" w:rsidP="0011185A">
            <w:pPr>
              <w:rPr>
                <w:rFonts w:ascii="Arial" w:hAnsi="Arial" w:cs="Arial"/>
              </w:rPr>
            </w:pPr>
            <w:r w:rsidRPr="00F1270C">
              <w:rPr>
                <w:rFonts w:ascii="Arial" w:hAnsi="Arial" w:cs="Arial"/>
              </w:rPr>
              <w:t>[to be completed by CMT]</w:t>
            </w:r>
          </w:p>
        </w:tc>
      </w:tr>
      <w:tr w:rsidR="005F5EEC" w:rsidRPr="00CB3687" w14:paraId="18F7327D" w14:textId="77777777" w:rsidTr="356F837E">
        <w:trPr>
          <w:trHeight w:val="180"/>
        </w:trPr>
        <w:tc>
          <w:tcPr>
            <w:tcW w:w="2501" w:type="pct"/>
          </w:tcPr>
          <w:p w14:paraId="43638706" w14:textId="3DDC8CE7" w:rsidR="005F5EEC" w:rsidRPr="00F1270C" w:rsidRDefault="001D5FA2">
            <w:pPr>
              <w:rPr>
                <w:rFonts w:ascii="Arial" w:hAnsi="Arial" w:cs="Arial"/>
              </w:rPr>
            </w:pPr>
            <w:r w:rsidRPr="00F1270C">
              <w:rPr>
                <w:rFonts w:ascii="Arial" w:hAnsi="Arial" w:cs="Arial"/>
              </w:rPr>
              <w:t>New c</w:t>
            </w:r>
            <w:r w:rsidR="005F5EEC" w:rsidRPr="00F1270C">
              <w:rPr>
                <w:rFonts w:ascii="Arial" w:hAnsi="Arial" w:cs="Arial"/>
              </w:rPr>
              <w:t>ontract title</w:t>
            </w:r>
            <w:r w:rsidR="00E87239" w:rsidRPr="00F1270C">
              <w:rPr>
                <w:rFonts w:ascii="Arial" w:hAnsi="Arial" w:cs="Arial"/>
              </w:rPr>
              <w:t xml:space="preserve"> and</w:t>
            </w:r>
            <w:r w:rsidR="005F5EEC" w:rsidRPr="00F1270C">
              <w:rPr>
                <w:rFonts w:ascii="Arial" w:hAnsi="Arial" w:cs="Arial"/>
              </w:rPr>
              <w:t xml:space="preserve"> reference</w:t>
            </w:r>
          </w:p>
        </w:tc>
        <w:tc>
          <w:tcPr>
            <w:tcW w:w="2499" w:type="pct"/>
          </w:tcPr>
          <w:p w14:paraId="5C3FDC67" w14:textId="26D4AA35" w:rsidR="0081799E" w:rsidRPr="00F1270C" w:rsidRDefault="00543097" w:rsidP="0011185A">
            <w:pPr>
              <w:rPr>
                <w:rFonts w:ascii="Arial" w:hAnsi="Arial" w:cs="Arial"/>
              </w:rPr>
            </w:pPr>
            <w:r w:rsidRPr="00F1270C">
              <w:rPr>
                <w:rFonts w:ascii="Arial" w:hAnsi="Arial" w:cs="Arial"/>
              </w:rPr>
              <w:t>[</w:t>
            </w:r>
            <w:r w:rsidR="0081799E" w:rsidRPr="00F1270C">
              <w:rPr>
                <w:rFonts w:ascii="Arial" w:hAnsi="Arial" w:cs="Arial"/>
              </w:rPr>
              <w:t>to be completed by CMT]</w:t>
            </w:r>
          </w:p>
        </w:tc>
      </w:tr>
      <w:tr w:rsidR="005F5EEC" w:rsidRPr="00CB3687" w14:paraId="524EA221" w14:textId="77777777" w:rsidTr="356F837E">
        <w:trPr>
          <w:trHeight w:val="180"/>
        </w:trPr>
        <w:tc>
          <w:tcPr>
            <w:tcW w:w="2501" w:type="pct"/>
          </w:tcPr>
          <w:p w14:paraId="1DDE9240" w14:textId="1AB247F5" w:rsidR="005F5EEC" w:rsidRPr="00F1270C" w:rsidRDefault="005F5EEC">
            <w:pPr>
              <w:rPr>
                <w:rFonts w:ascii="Arial" w:hAnsi="Arial" w:cs="Arial"/>
              </w:rPr>
            </w:pPr>
            <w:r w:rsidRPr="00F1270C">
              <w:rPr>
                <w:rFonts w:ascii="Arial" w:hAnsi="Arial" w:cs="Arial"/>
              </w:rPr>
              <w:t xml:space="preserve">Name and address of the registered office or principal place of business of the provider to whom the contract has been </w:t>
            </w:r>
            <w:r w:rsidR="00F1270C" w:rsidRPr="00F1270C">
              <w:rPr>
                <w:rFonts w:ascii="Arial" w:hAnsi="Arial" w:cs="Arial"/>
              </w:rPr>
              <w:t>awarded.</w:t>
            </w:r>
          </w:p>
          <w:p w14:paraId="682C59E0" w14:textId="05958198" w:rsidR="00707B2A" w:rsidRPr="00F1270C" w:rsidRDefault="003031AF">
            <w:pPr>
              <w:rPr>
                <w:rFonts w:ascii="Arial" w:hAnsi="Arial" w:cs="Arial"/>
              </w:rPr>
            </w:pPr>
            <w:r w:rsidRPr="00F1270C">
              <w:rPr>
                <w:rFonts w:ascii="Arial" w:hAnsi="Arial" w:cs="Arial"/>
              </w:rPr>
              <w:t xml:space="preserve">Include </w:t>
            </w:r>
            <w:r w:rsidR="00707B2A" w:rsidRPr="00F1270C">
              <w:rPr>
                <w:rFonts w:ascii="Arial" w:hAnsi="Arial" w:cs="Arial"/>
              </w:rPr>
              <w:t>Company No. / ODS</w:t>
            </w:r>
          </w:p>
        </w:tc>
        <w:tc>
          <w:tcPr>
            <w:tcW w:w="2499" w:type="pct"/>
          </w:tcPr>
          <w:p w14:paraId="26EE6CF9" w14:textId="2D64DB11" w:rsidR="001308FF" w:rsidRPr="00F1270C" w:rsidRDefault="001308FF" w:rsidP="0011185A">
            <w:pPr>
              <w:rPr>
                <w:rFonts w:ascii="Arial" w:hAnsi="Arial" w:cs="Arial"/>
              </w:rPr>
            </w:pPr>
            <w:r w:rsidRPr="00F1270C">
              <w:rPr>
                <w:rFonts w:ascii="Arial" w:hAnsi="Arial" w:cs="Arial"/>
              </w:rPr>
              <w:t>[to be completed by CMT]</w:t>
            </w:r>
          </w:p>
          <w:p w14:paraId="672054FE" w14:textId="77777777" w:rsidR="009411FA" w:rsidRPr="00F1270C" w:rsidRDefault="009411FA" w:rsidP="0011185A">
            <w:pPr>
              <w:rPr>
                <w:rFonts w:ascii="Arial" w:hAnsi="Arial" w:cs="Arial"/>
              </w:rPr>
            </w:pPr>
          </w:p>
          <w:p w14:paraId="53EAC85D" w14:textId="0B5CF030" w:rsidR="009411FA" w:rsidRPr="00F1270C" w:rsidRDefault="00DE3880" w:rsidP="0011185A">
            <w:pPr>
              <w:rPr>
                <w:rFonts w:ascii="Arial" w:hAnsi="Arial" w:cs="Arial"/>
              </w:rPr>
            </w:pPr>
            <w:r w:rsidRPr="00F1270C">
              <w:rPr>
                <w:rFonts w:ascii="Arial" w:hAnsi="Arial" w:cs="Arial"/>
              </w:rPr>
              <w:t>Company No</w:t>
            </w:r>
            <w:r w:rsidR="0017043C" w:rsidRPr="00F1270C">
              <w:rPr>
                <w:rFonts w:ascii="Arial" w:hAnsi="Arial" w:cs="Arial"/>
              </w:rPr>
              <w:t>:</w:t>
            </w:r>
          </w:p>
          <w:p w14:paraId="0880DA98" w14:textId="6CC2B5C9" w:rsidR="00DE3880" w:rsidRPr="00F1270C" w:rsidRDefault="00DE3880" w:rsidP="0011185A">
            <w:pPr>
              <w:rPr>
                <w:rFonts w:ascii="Arial" w:hAnsi="Arial" w:cs="Arial"/>
              </w:rPr>
            </w:pPr>
            <w:r w:rsidRPr="00F1270C">
              <w:rPr>
                <w:rFonts w:ascii="Arial" w:hAnsi="Arial" w:cs="Arial"/>
              </w:rPr>
              <w:t>ODS</w:t>
            </w:r>
            <w:r w:rsidR="0017043C" w:rsidRPr="00F1270C">
              <w:rPr>
                <w:rFonts w:ascii="Arial" w:hAnsi="Arial" w:cs="Arial"/>
              </w:rPr>
              <w:t>:</w:t>
            </w:r>
          </w:p>
        </w:tc>
      </w:tr>
      <w:tr w:rsidR="005F5EEC" w:rsidRPr="00CB3687" w14:paraId="592BDEC7" w14:textId="77777777" w:rsidTr="00D62370">
        <w:trPr>
          <w:trHeight w:val="1691"/>
        </w:trPr>
        <w:tc>
          <w:tcPr>
            <w:tcW w:w="2501" w:type="pct"/>
          </w:tcPr>
          <w:p w14:paraId="35C9E9AD" w14:textId="34A63224" w:rsidR="005F5EEC" w:rsidRPr="00F1270C" w:rsidRDefault="005F5EEC">
            <w:pPr>
              <w:rPr>
                <w:rFonts w:ascii="Arial" w:hAnsi="Arial" w:cs="Arial"/>
              </w:rPr>
            </w:pPr>
            <w:r w:rsidRPr="00F1270C">
              <w:rPr>
                <w:rFonts w:ascii="Arial" w:hAnsi="Arial" w:cs="Arial"/>
              </w:rPr>
              <w:t xml:space="preserve">Description of the relevant health care services to which the contract relates, including the most relevant </w:t>
            </w:r>
            <w:hyperlink r:id="rId12" w:anchor="annex-a-common-procurement-vocabulary-cpv-codes" w:history="1">
              <w:r w:rsidRPr="00F1270C">
                <w:rPr>
                  <w:rStyle w:val="Hyperlink"/>
                  <w:rFonts w:ascii="Arial" w:hAnsi="Arial" w:cs="Arial"/>
                  <w:color w:val="auto"/>
                </w:rPr>
                <w:t>CPV code</w:t>
              </w:r>
            </w:hyperlink>
            <w:r w:rsidR="00F259AC" w:rsidRPr="00F1270C">
              <w:rPr>
                <w:rStyle w:val="Hyperlink"/>
                <w:rFonts w:ascii="Arial" w:hAnsi="Arial" w:cs="Arial"/>
                <w:color w:val="auto"/>
              </w:rPr>
              <w:t>. (</w:t>
            </w:r>
            <w:r w:rsidR="00F259AC" w:rsidRPr="00F1270C">
              <w:rPr>
                <w:rStyle w:val="Hyperlink"/>
                <w:rFonts w:ascii="Arial" w:hAnsi="Arial" w:cs="Arial"/>
                <w:color w:val="auto"/>
                <w:u w:val="none"/>
              </w:rPr>
              <w:t>A</w:t>
            </w:r>
            <w:r w:rsidR="00F259AC" w:rsidRPr="00F1270C">
              <w:rPr>
                <w:rFonts w:ascii="Arial" w:hAnsi="Arial" w:cs="Arial"/>
              </w:rPr>
              <w:t>s the list of CPV codes does not cover all types of health care services, in some situations the overarching parent code for health services</w:t>
            </w:r>
            <w:r w:rsidR="00F1270C">
              <w:rPr>
                <w:rFonts w:ascii="Arial" w:hAnsi="Arial" w:cs="Arial"/>
              </w:rPr>
              <w:t xml:space="preserve"> </w:t>
            </w:r>
            <w:r w:rsidR="00F1270C" w:rsidRPr="00F1270C">
              <w:rPr>
                <w:rFonts w:ascii="Arial" w:hAnsi="Arial" w:cs="Arial"/>
              </w:rPr>
              <w:t>(85100000-0)</w:t>
            </w:r>
            <w:r w:rsidR="00F259AC" w:rsidRPr="00F1270C">
              <w:rPr>
                <w:rFonts w:ascii="Arial" w:hAnsi="Arial" w:cs="Arial"/>
              </w:rPr>
              <w:t xml:space="preserve"> may need to be used when a more detailed CPV code is not available)</w:t>
            </w:r>
          </w:p>
        </w:tc>
        <w:tc>
          <w:tcPr>
            <w:tcW w:w="2499" w:type="pct"/>
          </w:tcPr>
          <w:p w14:paraId="77435157" w14:textId="77777777" w:rsidR="00D05D73" w:rsidRPr="00F1270C" w:rsidRDefault="00D05D73" w:rsidP="0011185A">
            <w:pPr>
              <w:rPr>
                <w:rFonts w:ascii="Arial" w:hAnsi="Arial" w:cs="Arial"/>
              </w:rPr>
            </w:pPr>
            <w:r w:rsidRPr="00F1270C">
              <w:rPr>
                <w:rFonts w:ascii="Arial" w:hAnsi="Arial" w:cs="Arial"/>
              </w:rPr>
              <w:t>CPV Code:</w:t>
            </w:r>
          </w:p>
          <w:p w14:paraId="0185FDDB" w14:textId="77777777" w:rsidR="00732CA1" w:rsidRPr="00F1270C" w:rsidRDefault="00EA7917" w:rsidP="0011185A">
            <w:pPr>
              <w:rPr>
                <w:rFonts w:ascii="Arial" w:hAnsi="Arial" w:cs="Arial"/>
              </w:rPr>
            </w:pPr>
            <w:r w:rsidRPr="00F1270C">
              <w:rPr>
                <w:rFonts w:ascii="Arial" w:hAnsi="Arial" w:cs="Arial"/>
              </w:rPr>
              <w:t>D</w:t>
            </w:r>
            <w:r w:rsidR="00AB4716" w:rsidRPr="00F1270C">
              <w:rPr>
                <w:rFonts w:ascii="Arial" w:hAnsi="Arial" w:cs="Arial"/>
              </w:rPr>
              <w:t>escription:</w:t>
            </w:r>
          </w:p>
          <w:p w14:paraId="1E1650F1" w14:textId="12530469" w:rsidR="00D62370" w:rsidRPr="00F1270C" w:rsidRDefault="00D62370" w:rsidP="00D62370">
            <w:pPr>
              <w:rPr>
                <w:rFonts w:ascii="Arial" w:hAnsi="Arial" w:cs="Arial"/>
              </w:rPr>
            </w:pPr>
          </w:p>
        </w:tc>
      </w:tr>
      <w:tr w:rsidR="005F5EEC" w:rsidRPr="00CB3687" w14:paraId="7C38DB30" w14:textId="77777777" w:rsidTr="356F837E">
        <w:trPr>
          <w:trHeight w:val="180"/>
        </w:trPr>
        <w:tc>
          <w:tcPr>
            <w:tcW w:w="2501" w:type="pct"/>
          </w:tcPr>
          <w:p w14:paraId="389D2B04" w14:textId="22B3A4B5" w:rsidR="005F5EEC" w:rsidRPr="00F1270C" w:rsidRDefault="005F5EEC">
            <w:pPr>
              <w:rPr>
                <w:rFonts w:ascii="Arial" w:hAnsi="Arial" w:cs="Arial"/>
              </w:rPr>
            </w:pPr>
            <w:r w:rsidRPr="00F1270C">
              <w:rPr>
                <w:rFonts w:ascii="Arial" w:hAnsi="Arial" w:cs="Arial"/>
              </w:rPr>
              <w:t xml:space="preserve">The </w:t>
            </w:r>
            <w:r w:rsidRPr="00F1270C">
              <w:rPr>
                <w:rFonts w:ascii="Arial" w:hAnsi="Arial" w:cs="Arial"/>
                <w:b/>
                <w:bCs/>
              </w:rPr>
              <w:t>lifetime value</w:t>
            </w:r>
            <w:r w:rsidRPr="00F1270C">
              <w:rPr>
                <w:rFonts w:ascii="Arial" w:hAnsi="Arial" w:cs="Arial"/>
              </w:rPr>
              <w:t xml:space="preserve"> of the </w:t>
            </w:r>
            <w:r w:rsidR="00D40FB1" w:rsidRPr="00F1270C">
              <w:rPr>
                <w:rFonts w:ascii="Arial" w:hAnsi="Arial" w:cs="Arial"/>
              </w:rPr>
              <w:t xml:space="preserve">new </w:t>
            </w:r>
            <w:r w:rsidRPr="00F1270C">
              <w:rPr>
                <w:rFonts w:ascii="Arial" w:hAnsi="Arial" w:cs="Arial"/>
              </w:rPr>
              <w:t>contract or, where it is not known, the amounts payable to the provider under the contract</w:t>
            </w:r>
            <w:r w:rsidR="001B24F1" w:rsidRPr="00F1270C">
              <w:rPr>
                <w:rFonts w:ascii="Arial" w:hAnsi="Arial" w:cs="Arial"/>
              </w:rPr>
              <w:t xml:space="preserve"> i.e. </w:t>
            </w:r>
            <w:r w:rsidR="000E7BEC" w:rsidRPr="00F1270C">
              <w:rPr>
                <w:rFonts w:ascii="Arial" w:hAnsi="Arial" w:cs="Arial"/>
              </w:rPr>
              <w:t xml:space="preserve">individual </w:t>
            </w:r>
            <w:r w:rsidR="003B3E05" w:rsidRPr="00F1270C">
              <w:rPr>
                <w:rFonts w:ascii="Arial" w:hAnsi="Arial" w:cs="Arial"/>
              </w:rPr>
              <w:t>local prices</w:t>
            </w:r>
          </w:p>
        </w:tc>
        <w:tc>
          <w:tcPr>
            <w:tcW w:w="2499" w:type="pct"/>
          </w:tcPr>
          <w:p w14:paraId="0087FE71" w14:textId="7804259F" w:rsidR="00C0151E" w:rsidRPr="00F1270C" w:rsidRDefault="00C0151E" w:rsidP="0011185A">
            <w:pPr>
              <w:rPr>
                <w:rFonts w:ascii="Arial" w:hAnsi="Arial" w:cs="Arial"/>
              </w:rPr>
            </w:pPr>
          </w:p>
        </w:tc>
      </w:tr>
      <w:tr w:rsidR="005F5EEC" w:rsidRPr="00CB3687" w14:paraId="41EBF275" w14:textId="77777777" w:rsidTr="356F837E">
        <w:trPr>
          <w:trHeight w:val="180"/>
        </w:trPr>
        <w:tc>
          <w:tcPr>
            <w:tcW w:w="2501" w:type="pct"/>
          </w:tcPr>
          <w:p w14:paraId="1C6479E7" w14:textId="661F4085" w:rsidR="005F5EEC" w:rsidRPr="00CB3687" w:rsidRDefault="00E752F8">
            <w:pPr>
              <w:rPr>
                <w:rFonts w:ascii="Arial" w:hAnsi="Arial" w:cs="Arial"/>
              </w:rPr>
            </w:pPr>
            <w:r>
              <w:rPr>
                <w:rFonts w:ascii="Arial" w:hAnsi="Arial" w:cs="Arial"/>
              </w:rPr>
              <w:t xml:space="preserve">New </w:t>
            </w:r>
            <w:proofErr w:type="gramStart"/>
            <w:r>
              <w:rPr>
                <w:rFonts w:ascii="Arial" w:hAnsi="Arial" w:cs="Arial"/>
              </w:rPr>
              <w:t>c</w:t>
            </w:r>
            <w:r w:rsidR="00D703A0" w:rsidRPr="00CB3687">
              <w:rPr>
                <w:rFonts w:ascii="Arial" w:hAnsi="Arial" w:cs="Arial"/>
              </w:rPr>
              <w:t>ontract</w:t>
            </w:r>
            <w:proofErr w:type="gramEnd"/>
            <w:r w:rsidR="00D703A0" w:rsidRPr="00CB3687">
              <w:rPr>
                <w:rFonts w:ascii="Arial" w:hAnsi="Arial" w:cs="Arial"/>
              </w:rPr>
              <w:t xml:space="preserve"> start date</w:t>
            </w:r>
          </w:p>
        </w:tc>
        <w:tc>
          <w:tcPr>
            <w:tcW w:w="2499" w:type="pct"/>
          </w:tcPr>
          <w:p w14:paraId="55A54F9C" w14:textId="77777777" w:rsidR="005F5EEC" w:rsidRPr="00CB3687" w:rsidRDefault="005F5EEC" w:rsidP="0011185A">
            <w:pPr>
              <w:rPr>
                <w:rFonts w:ascii="Arial" w:hAnsi="Arial" w:cs="Arial"/>
              </w:rPr>
            </w:pPr>
          </w:p>
        </w:tc>
      </w:tr>
      <w:tr w:rsidR="00D703A0" w:rsidRPr="00CB3687" w14:paraId="4087471A" w14:textId="77777777" w:rsidTr="356F837E">
        <w:trPr>
          <w:trHeight w:val="180"/>
        </w:trPr>
        <w:tc>
          <w:tcPr>
            <w:tcW w:w="2501" w:type="pct"/>
          </w:tcPr>
          <w:p w14:paraId="56E0B9A7" w14:textId="7A54C201" w:rsidR="00D703A0" w:rsidRPr="00CB3687" w:rsidRDefault="00E752F8">
            <w:pPr>
              <w:rPr>
                <w:rFonts w:ascii="Arial" w:hAnsi="Arial" w:cs="Arial"/>
              </w:rPr>
            </w:pPr>
            <w:r>
              <w:rPr>
                <w:rFonts w:ascii="Arial" w:hAnsi="Arial" w:cs="Arial"/>
              </w:rPr>
              <w:t>New c</w:t>
            </w:r>
            <w:r w:rsidR="00D703A0" w:rsidRPr="00CB3687">
              <w:rPr>
                <w:rFonts w:ascii="Arial" w:hAnsi="Arial" w:cs="Arial"/>
              </w:rPr>
              <w:t>ontract end date</w:t>
            </w:r>
          </w:p>
        </w:tc>
        <w:tc>
          <w:tcPr>
            <w:tcW w:w="2499" w:type="pct"/>
          </w:tcPr>
          <w:p w14:paraId="063F2BFD" w14:textId="77777777" w:rsidR="00D703A0" w:rsidRPr="00CB3687" w:rsidRDefault="00D703A0" w:rsidP="0011185A">
            <w:pPr>
              <w:rPr>
                <w:rFonts w:ascii="Arial" w:hAnsi="Arial" w:cs="Arial"/>
              </w:rPr>
            </w:pPr>
          </w:p>
        </w:tc>
      </w:tr>
      <w:tr w:rsidR="004F39C3" w:rsidRPr="00CB3687" w14:paraId="53533D7E" w14:textId="77777777" w:rsidTr="356F837E">
        <w:trPr>
          <w:trHeight w:val="180"/>
        </w:trPr>
        <w:tc>
          <w:tcPr>
            <w:tcW w:w="5000" w:type="pct"/>
            <w:gridSpan w:val="2"/>
            <w:shd w:val="clear" w:color="auto" w:fill="B3E5A1" w:themeFill="accent6" w:themeFillTint="66"/>
          </w:tcPr>
          <w:p w14:paraId="6AFBA76F" w14:textId="7DDF0174" w:rsidR="004F39C3" w:rsidRPr="00705446" w:rsidRDefault="00705446">
            <w:pPr>
              <w:rPr>
                <w:rFonts w:ascii="Arial" w:hAnsi="Arial" w:cs="Arial"/>
                <w:b/>
                <w:bCs/>
              </w:rPr>
            </w:pPr>
            <w:r w:rsidRPr="00705446">
              <w:rPr>
                <w:rFonts w:ascii="Arial" w:hAnsi="Arial" w:cs="Arial"/>
                <w:b/>
                <w:bCs/>
              </w:rPr>
              <w:t xml:space="preserve">Direct </w:t>
            </w:r>
            <w:r w:rsidR="0056282D">
              <w:rPr>
                <w:rFonts w:ascii="Arial" w:hAnsi="Arial" w:cs="Arial"/>
                <w:b/>
                <w:bCs/>
              </w:rPr>
              <w:t>A</w:t>
            </w:r>
            <w:r w:rsidRPr="00705446">
              <w:rPr>
                <w:rFonts w:ascii="Arial" w:hAnsi="Arial" w:cs="Arial"/>
                <w:b/>
                <w:bCs/>
              </w:rPr>
              <w:t>ward B</w:t>
            </w:r>
            <w:r w:rsidR="008354C2">
              <w:rPr>
                <w:rFonts w:ascii="Arial" w:hAnsi="Arial" w:cs="Arial"/>
                <w:b/>
                <w:bCs/>
              </w:rPr>
              <w:t xml:space="preserve"> only:</w:t>
            </w:r>
          </w:p>
        </w:tc>
      </w:tr>
      <w:tr w:rsidR="00D703A0" w:rsidRPr="00CB3687" w14:paraId="5EDD828B" w14:textId="77777777" w:rsidTr="356F837E">
        <w:trPr>
          <w:trHeight w:val="180"/>
        </w:trPr>
        <w:tc>
          <w:tcPr>
            <w:tcW w:w="2501" w:type="pct"/>
            <w:shd w:val="clear" w:color="auto" w:fill="D9F2D0" w:themeFill="accent6" w:themeFillTint="33"/>
          </w:tcPr>
          <w:p w14:paraId="5ECB8E53" w14:textId="7D1DA149" w:rsidR="00D703A0" w:rsidRPr="00CB3687" w:rsidRDefault="00D703A0">
            <w:pPr>
              <w:rPr>
                <w:rFonts w:ascii="Arial" w:hAnsi="Arial" w:cs="Arial"/>
              </w:rPr>
            </w:pPr>
            <w:r w:rsidRPr="00CB3687">
              <w:rPr>
                <w:rFonts w:ascii="Arial" w:hAnsi="Arial" w:cs="Arial"/>
              </w:rPr>
              <w:t>Is the contract for a new or existing service?</w:t>
            </w:r>
          </w:p>
        </w:tc>
        <w:tc>
          <w:tcPr>
            <w:tcW w:w="2499" w:type="pct"/>
          </w:tcPr>
          <w:sdt>
            <w:sdtPr>
              <w:rPr>
                <w:rFonts w:ascii="Arial" w:hAnsi="Arial" w:cs="Arial"/>
              </w:rPr>
              <w:id w:val="-72203845"/>
              <w:placeholder>
                <w:docPart w:val="DefaultPlaceholder_-1854013438"/>
              </w:placeholder>
              <w:showingPlcHdr/>
              <w:dropDownList>
                <w:listItem w:value="Choose an item."/>
                <w:listItem w:displayText="New" w:value="New"/>
                <w:listItem w:displayText="Existing" w:value="Existing"/>
                <w:listItem w:displayText="Not Applicable" w:value="Not Applicable"/>
              </w:dropDownList>
            </w:sdtPr>
            <w:sdtContent>
              <w:p w14:paraId="421FF3EC" w14:textId="34F04CE4" w:rsidR="00D703A0" w:rsidRPr="00CB3687" w:rsidRDefault="007A239E">
                <w:pPr>
                  <w:rPr>
                    <w:rFonts w:ascii="Arial" w:hAnsi="Arial" w:cs="Arial"/>
                  </w:rPr>
                </w:pPr>
                <w:r w:rsidRPr="008E13CE">
                  <w:rPr>
                    <w:rStyle w:val="PlaceholderText"/>
                  </w:rPr>
                  <w:t>Choose an item.</w:t>
                </w:r>
              </w:p>
            </w:sdtContent>
          </w:sdt>
        </w:tc>
      </w:tr>
      <w:tr w:rsidR="00D703A0" w:rsidRPr="00CB3687" w14:paraId="46ACDB77" w14:textId="77777777" w:rsidTr="356F837E">
        <w:trPr>
          <w:trHeight w:val="180"/>
        </w:trPr>
        <w:tc>
          <w:tcPr>
            <w:tcW w:w="2501" w:type="pct"/>
            <w:shd w:val="clear" w:color="auto" w:fill="D9F2D0" w:themeFill="accent6" w:themeFillTint="33"/>
          </w:tcPr>
          <w:p w14:paraId="39CD58EC" w14:textId="36405ED9" w:rsidR="00D703A0" w:rsidRPr="00CB3687" w:rsidRDefault="00D703A0">
            <w:pPr>
              <w:rPr>
                <w:rFonts w:ascii="Arial" w:hAnsi="Arial" w:cs="Arial"/>
              </w:rPr>
            </w:pPr>
            <w:r w:rsidRPr="00CB3687">
              <w:rPr>
                <w:rFonts w:ascii="Arial" w:hAnsi="Arial" w:cs="Arial"/>
              </w:rPr>
              <w:t>Is the contract with a new or an existing provider?</w:t>
            </w:r>
          </w:p>
        </w:tc>
        <w:sdt>
          <w:sdtPr>
            <w:rPr>
              <w:rFonts w:ascii="Arial" w:hAnsi="Arial" w:cs="Arial"/>
            </w:rPr>
            <w:id w:val="1418051857"/>
            <w:placeholder>
              <w:docPart w:val="DefaultPlaceholder_-1854013438"/>
            </w:placeholder>
            <w:showingPlcHdr/>
            <w:dropDownList>
              <w:listItem w:value="Choose an item."/>
              <w:listItem w:displayText="New" w:value="New"/>
              <w:listItem w:displayText="Existing" w:value="Existing"/>
              <w:listItem w:displayText="Not Applicable" w:value="Not Applicable"/>
            </w:dropDownList>
          </w:sdtPr>
          <w:sdtContent>
            <w:tc>
              <w:tcPr>
                <w:tcW w:w="2499" w:type="pct"/>
              </w:tcPr>
              <w:p w14:paraId="15D926A9" w14:textId="06311541" w:rsidR="00D703A0" w:rsidRPr="00CB3687" w:rsidRDefault="007A239E">
                <w:pPr>
                  <w:rPr>
                    <w:rFonts w:ascii="Arial" w:hAnsi="Arial" w:cs="Arial"/>
                  </w:rPr>
                </w:pPr>
                <w:r w:rsidRPr="008E13CE">
                  <w:rPr>
                    <w:rStyle w:val="PlaceholderText"/>
                  </w:rPr>
                  <w:t>Choose an item.</w:t>
                </w:r>
              </w:p>
            </w:tc>
          </w:sdtContent>
        </w:sdt>
      </w:tr>
      <w:tr w:rsidR="00F0365D" w:rsidRPr="00CB3687" w14:paraId="5343DF9B" w14:textId="77777777" w:rsidTr="00F0365D">
        <w:trPr>
          <w:trHeight w:val="180"/>
        </w:trPr>
        <w:tc>
          <w:tcPr>
            <w:tcW w:w="5000" w:type="pct"/>
            <w:gridSpan w:val="2"/>
            <w:shd w:val="clear" w:color="auto" w:fill="A5C9EB" w:themeFill="text2" w:themeFillTint="40"/>
          </w:tcPr>
          <w:p w14:paraId="36040516" w14:textId="09F5AC1C" w:rsidR="00F0365D" w:rsidRPr="00CB3687" w:rsidRDefault="00F0365D">
            <w:pPr>
              <w:rPr>
                <w:rFonts w:ascii="Arial" w:hAnsi="Arial" w:cs="Arial"/>
              </w:rPr>
            </w:pPr>
            <w:r w:rsidRPr="00CB3687">
              <w:rPr>
                <w:rFonts w:ascii="Arial" w:hAnsi="Arial" w:cs="Arial"/>
                <w:b/>
                <w:bCs/>
              </w:rPr>
              <w:t>Urgent Contract Award only:</w:t>
            </w:r>
          </w:p>
        </w:tc>
      </w:tr>
      <w:tr w:rsidR="00F0365D" w:rsidRPr="00CB3687" w14:paraId="3CEE537D" w14:textId="77777777" w:rsidTr="00F0365D">
        <w:trPr>
          <w:trHeight w:val="180"/>
        </w:trPr>
        <w:tc>
          <w:tcPr>
            <w:tcW w:w="2501" w:type="pct"/>
            <w:shd w:val="clear" w:color="auto" w:fill="DAE9F7" w:themeFill="text2" w:themeFillTint="1A"/>
          </w:tcPr>
          <w:p w14:paraId="6DE61A24" w14:textId="77777777" w:rsidR="00F0365D" w:rsidRPr="00CB3687" w:rsidRDefault="00F0365D">
            <w:pPr>
              <w:rPr>
                <w:rFonts w:ascii="Arial" w:hAnsi="Arial" w:cs="Arial"/>
              </w:rPr>
            </w:pPr>
            <w:r w:rsidRPr="00CB3687">
              <w:rPr>
                <w:rFonts w:ascii="Arial" w:hAnsi="Arial" w:cs="Arial"/>
              </w:rPr>
              <w:t>Reason why the urgent circumstances provision was applied</w:t>
            </w:r>
          </w:p>
        </w:tc>
        <w:tc>
          <w:tcPr>
            <w:tcW w:w="2499" w:type="pct"/>
          </w:tcPr>
          <w:p w14:paraId="2F85D94E" w14:textId="77777777" w:rsidR="00F0365D" w:rsidRPr="00CB3687" w:rsidRDefault="00F0365D">
            <w:pPr>
              <w:rPr>
                <w:rFonts w:ascii="Arial" w:hAnsi="Arial" w:cs="Arial"/>
              </w:rPr>
            </w:pPr>
          </w:p>
        </w:tc>
      </w:tr>
      <w:tr w:rsidR="00F0365D" w:rsidRPr="00CB3687" w14:paraId="4CC65FD9" w14:textId="77777777" w:rsidTr="00F0365D">
        <w:trPr>
          <w:trHeight w:val="180"/>
        </w:trPr>
        <w:tc>
          <w:tcPr>
            <w:tcW w:w="2501" w:type="pct"/>
            <w:shd w:val="clear" w:color="auto" w:fill="DAE9F7" w:themeFill="text2" w:themeFillTint="1A"/>
          </w:tcPr>
          <w:p w14:paraId="1E05A732" w14:textId="77777777" w:rsidR="00F0365D" w:rsidRPr="00CB3687" w:rsidRDefault="00F0365D">
            <w:pPr>
              <w:rPr>
                <w:rFonts w:ascii="Arial" w:hAnsi="Arial" w:cs="Arial"/>
              </w:rPr>
            </w:pPr>
            <w:r w:rsidRPr="00E05D55">
              <w:rPr>
                <w:rFonts w:ascii="Arial" w:hAnsi="Arial" w:cs="Arial"/>
              </w:rPr>
              <w:t>Justification for length of contract if greater than 12 months</w:t>
            </w:r>
          </w:p>
        </w:tc>
        <w:tc>
          <w:tcPr>
            <w:tcW w:w="2499" w:type="pct"/>
          </w:tcPr>
          <w:p w14:paraId="59EBF943" w14:textId="77777777" w:rsidR="00F0365D" w:rsidRPr="00CB3687" w:rsidRDefault="00F0365D">
            <w:pPr>
              <w:rPr>
                <w:rFonts w:ascii="Arial" w:hAnsi="Arial" w:cs="Arial"/>
              </w:rPr>
            </w:pPr>
          </w:p>
        </w:tc>
      </w:tr>
      <w:tr w:rsidR="00F0365D" w:rsidRPr="00CB3687" w14:paraId="1A2ACBB3" w14:textId="77777777" w:rsidTr="002645CC">
        <w:trPr>
          <w:trHeight w:val="58"/>
        </w:trPr>
        <w:tc>
          <w:tcPr>
            <w:tcW w:w="2501" w:type="pct"/>
            <w:shd w:val="clear" w:color="auto" w:fill="DAE9F7" w:themeFill="text2" w:themeFillTint="1A"/>
          </w:tcPr>
          <w:p w14:paraId="7157DFDF" w14:textId="77777777" w:rsidR="00F0365D" w:rsidRPr="00CB3687" w:rsidRDefault="00F0365D">
            <w:pPr>
              <w:rPr>
                <w:rFonts w:ascii="Arial" w:hAnsi="Arial" w:cs="Arial"/>
              </w:rPr>
            </w:pPr>
            <w:r w:rsidRPr="00CB3687">
              <w:rPr>
                <w:rFonts w:ascii="Arial" w:hAnsi="Arial" w:cs="Arial"/>
              </w:rPr>
              <w:t>Proposed review date to conduct a full application of the PSR for that service (at the earliest feasible opportunity)</w:t>
            </w:r>
          </w:p>
        </w:tc>
        <w:tc>
          <w:tcPr>
            <w:tcW w:w="2499" w:type="pct"/>
          </w:tcPr>
          <w:p w14:paraId="29794B14" w14:textId="77777777" w:rsidR="00F0365D" w:rsidRDefault="00F0365D">
            <w:pPr>
              <w:rPr>
                <w:rFonts w:ascii="Arial" w:hAnsi="Arial" w:cs="Arial"/>
              </w:rPr>
            </w:pPr>
          </w:p>
          <w:p w14:paraId="7127F18B" w14:textId="77777777" w:rsidR="00B326D2" w:rsidRDefault="00B326D2">
            <w:pPr>
              <w:rPr>
                <w:rFonts w:ascii="Arial" w:hAnsi="Arial" w:cs="Arial"/>
              </w:rPr>
            </w:pPr>
          </w:p>
          <w:p w14:paraId="53345842" w14:textId="77777777" w:rsidR="00F0365D" w:rsidRPr="00CB3687" w:rsidRDefault="00F0365D">
            <w:pPr>
              <w:rPr>
                <w:rFonts w:ascii="Arial" w:hAnsi="Arial" w:cs="Arial"/>
              </w:rPr>
            </w:pPr>
          </w:p>
        </w:tc>
      </w:tr>
    </w:tbl>
    <w:p w14:paraId="7EDBF95C" w14:textId="6A0FB7B8" w:rsidR="00CA3AEB" w:rsidRDefault="00CA3AEB">
      <w:pPr>
        <w:rPr>
          <w:rFonts w:ascii="Arial" w:hAnsi="Arial" w:cs="Arial"/>
          <w:b/>
          <w:bCs/>
        </w:rPr>
      </w:pPr>
    </w:p>
    <w:p w14:paraId="2284BD21" w14:textId="7331FAC7" w:rsidR="00997F36" w:rsidRDefault="00997F36">
      <w:pPr>
        <w:rPr>
          <w:rFonts w:ascii="Arial" w:hAnsi="Arial" w:cs="Arial"/>
          <w:b/>
          <w:bCs/>
        </w:rPr>
      </w:pPr>
      <w:r>
        <w:rPr>
          <w:rFonts w:ascii="Arial" w:hAnsi="Arial" w:cs="Arial"/>
          <w:b/>
          <w:bCs/>
        </w:rPr>
        <w:br w:type="page"/>
      </w:r>
    </w:p>
    <w:p w14:paraId="5F6EA146" w14:textId="77777777" w:rsidR="00F1270C" w:rsidRDefault="00F1270C" w:rsidP="00CD381E">
      <w:pPr>
        <w:rPr>
          <w:rFonts w:ascii="Arial" w:hAnsi="Arial" w:cs="Arial"/>
          <w:b/>
          <w:bCs/>
        </w:rPr>
      </w:pPr>
    </w:p>
    <w:p w14:paraId="5F03EADC" w14:textId="4F7DA737" w:rsidR="004F39C3" w:rsidRPr="00CB3687" w:rsidRDefault="004F39C3" w:rsidP="00CD381E">
      <w:pPr>
        <w:rPr>
          <w:rFonts w:ascii="Arial" w:hAnsi="Arial" w:cs="Arial"/>
          <w:b/>
          <w:bCs/>
        </w:rPr>
      </w:pPr>
      <w:r w:rsidRPr="00CB3687">
        <w:rPr>
          <w:rFonts w:ascii="Arial" w:hAnsi="Arial" w:cs="Arial"/>
          <w:b/>
          <w:bCs/>
        </w:rPr>
        <w:t>Part 2 – Specific Information</w:t>
      </w:r>
    </w:p>
    <w:tbl>
      <w:tblPr>
        <w:tblStyle w:val="TableGrid"/>
        <w:tblW w:w="0" w:type="auto"/>
        <w:jc w:val="center"/>
        <w:tblLook w:val="04A0" w:firstRow="1" w:lastRow="0" w:firstColumn="1" w:lastColumn="0" w:noHBand="0" w:noVBand="1"/>
      </w:tblPr>
      <w:tblGrid>
        <w:gridCol w:w="5717"/>
        <w:gridCol w:w="4739"/>
      </w:tblGrid>
      <w:tr w:rsidR="00A0742C" w:rsidRPr="00CB3687" w14:paraId="02BDE687" w14:textId="77777777" w:rsidTr="00640898">
        <w:trPr>
          <w:jc w:val="center"/>
        </w:trPr>
        <w:tc>
          <w:tcPr>
            <w:tcW w:w="10626" w:type="dxa"/>
            <w:gridSpan w:val="2"/>
            <w:shd w:val="clear" w:color="auto" w:fill="FAE2D5" w:themeFill="accent2" w:themeFillTint="33"/>
          </w:tcPr>
          <w:p w14:paraId="106B62E7" w14:textId="0D272289" w:rsidR="00A0742C" w:rsidRPr="00A0742C" w:rsidRDefault="00206C97">
            <w:pPr>
              <w:rPr>
                <w:rFonts w:ascii="Arial" w:hAnsi="Arial" w:cs="Arial"/>
                <w:b/>
                <w:bCs/>
              </w:rPr>
            </w:pPr>
            <w:r>
              <w:rPr>
                <w:rFonts w:ascii="Arial" w:hAnsi="Arial" w:cs="Arial"/>
                <w:b/>
                <w:bCs/>
              </w:rPr>
              <w:t>F</w:t>
            </w:r>
            <w:r w:rsidR="00A0742C" w:rsidRPr="00A0742C">
              <w:rPr>
                <w:rFonts w:ascii="Arial" w:hAnsi="Arial" w:cs="Arial"/>
                <w:b/>
                <w:bCs/>
              </w:rPr>
              <w:t>or all awards:</w:t>
            </w:r>
          </w:p>
        </w:tc>
      </w:tr>
      <w:tr w:rsidR="00371161" w:rsidRPr="00CB3687" w14:paraId="3B7C15D5" w14:textId="77777777" w:rsidTr="00640898">
        <w:trPr>
          <w:jc w:val="center"/>
        </w:trPr>
        <w:tc>
          <w:tcPr>
            <w:tcW w:w="5812" w:type="dxa"/>
          </w:tcPr>
          <w:p w14:paraId="5D6CBA9B" w14:textId="66DE6D43" w:rsidR="002C7507" w:rsidRPr="00F1270C" w:rsidRDefault="002C7507">
            <w:pPr>
              <w:rPr>
                <w:rFonts w:ascii="Arial" w:hAnsi="Arial" w:cs="Arial"/>
              </w:rPr>
            </w:pPr>
            <w:r w:rsidRPr="00F1270C">
              <w:rPr>
                <w:rFonts w:ascii="Arial" w:hAnsi="Arial" w:cs="Arial"/>
              </w:rPr>
              <w:t xml:space="preserve">Provide details of the individual(s) who </w:t>
            </w:r>
            <w:r w:rsidR="00DE30E0" w:rsidRPr="00F1270C">
              <w:rPr>
                <w:rFonts w:ascii="Arial" w:hAnsi="Arial" w:cs="Arial"/>
              </w:rPr>
              <w:t xml:space="preserve">have </w:t>
            </w:r>
            <w:r w:rsidRPr="00F1270C">
              <w:rPr>
                <w:rFonts w:ascii="Arial" w:hAnsi="Arial" w:cs="Arial"/>
              </w:rPr>
              <w:t>made the decision and the date it was made</w:t>
            </w:r>
          </w:p>
        </w:tc>
        <w:tc>
          <w:tcPr>
            <w:tcW w:w="4814" w:type="dxa"/>
          </w:tcPr>
          <w:p w14:paraId="0D5491FB" w14:textId="2C97A0AD" w:rsidR="002C7507" w:rsidRPr="00F1270C" w:rsidRDefault="001B648F">
            <w:pPr>
              <w:rPr>
                <w:rFonts w:ascii="Arial" w:hAnsi="Arial" w:cs="Arial"/>
              </w:rPr>
            </w:pPr>
            <w:r w:rsidRPr="00F1270C">
              <w:rPr>
                <w:rFonts w:ascii="Arial" w:hAnsi="Arial" w:cs="Arial"/>
              </w:rPr>
              <w:t>Commissioning Lead</w:t>
            </w:r>
            <w:r w:rsidR="00C05FEC" w:rsidRPr="00F1270C">
              <w:rPr>
                <w:rFonts w:ascii="Arial" w:hAnsi="Arial" w:cs="Arial"/>
              </w:rPr>
              <w:t xml:space="preserve"> &amp; Date</w:t>
            </w:r>
            <w:r w:rsidRPr="00F1270C">
              <w:rPr>
                <w:rFonts w:ascii="Arial" w:hAnsi="Arial" w:cs="Arial"/>
              </w:rPr>
              <w:t>:</w:t>
            </w:r>
          </w:p>
          <w:p w14:paraId="2F3FBE81" w14:textId="7E020801" w:rsidR="001B648F" w:rsidRPr="00F1270C" w:rsidRDefault="001B648F">
            <w:pPr>
              <w:rPr>
                <w:rFonts w:ascii="Arial" w:hAnsi="Arial" w:cs="Arial"/>
              </w:rPr>
            </w:pPr>
            <w:r w:rsidRPr="00F1270C">
              <w:rPr>
                <w:rFonts w:ascii="Arial" w:hAnsi="Arial" w:cs="Arial"/>
              </w:rPr>
              <w:t>D</w:t>
            </w:r>
            <w:r w:rsidR="0060592C" w:rsidRPr="00F1270C">
              <w:rPr>
                <w:rFonts w:ascii="Arial" w:hAnsi="Arial" w:cs="Arial"/>
              </w:rPr>
              <w:t>irectorate Commissioning Lead</w:t>
            </w:r>
            <w:r w:rsidR="00C05FEC" w:rsidRPr="00F1270C">
              <w:rPr>
                <w:rFonts w:ascii="Arial" w:hAnsi="Arial" w:cs="Arial"/>
              </w:rPr>
              <w:t xml:space="preserve"> </w:t>
            </w:r>
            <w:r w:rsidR="00E52789" w:rsidRPr="00F1270C">
              <w:rPr>
                <w:rFonts w:ascii="Arial" w:hAnsi="Arial" w:cs="Arial"/>
              </w:rPr>
              <w:t xml:space="preserve">(Associate Director or Director) </w:t>
            </w:r>
            <w:r w:rsidR="00C05FEC" w:rsidRPr="00F1270C">
              <w:rPr>
                <w:rFonts w:ascii="Arial" w:hAnsi="Arial" w:cs="Arial"/>
              </w:rPr>
              <w:t>&amp; Date</w:t>
            </w:r>
            <w:r w:rsidR="0060592C" w:rsidRPr="00F1270C">
              <w:rPr>
                <w:rFonts w:ascii="Arial" w:hAnsi="Arial" w:cs="Arial"/>
              </w:rPr>
              <w:t>:</w:t>
            </w:r>
          </w:p>
        </w:tc>
      </w:tr>
      <w:tr w:rsidR="00371161" w:rsidRPr="00CB3687" w14:paraId="0B0CABEA" w14:textId="77777777" w:rsidTr="00640898">
        <w:trPr>
          <w:jc w:val="center"/>
        </w:trPr>
        <w:tc>
          <w:tcPr>
            <w:tcW w:w="5812" w:type="dxa"/>
          </w:tcPr>
          <w:p w14:paraId="7480304F" w14:textId="7E12898A" w:rsidR="006F1094" w:rsidRPr="00F1270C" w:rsidRDefault="006F1094">
            <w:pPr>
              <w:rPr>
                <w:rFonts w:ascii="Arial" w:hAnsi="Arial" w:cs="Arial"/>
              </w:rPr>
            </w:pPr>
            <w:r w:rsidRPr="00F1270C">
              <w:rPr>
                <w:rFonts w:ascii="Arial" w:hAnsi="Arial" w:cs="Arial"/>
              </w:rPr>
              <w:t xml:space="preserve">Provide details of </w:t>
            </w:r>
            <w:r w:rsidR="008F3E1B" w:rsidRPr="00F1270C">
              <w:rPr>
                <w:rFonts w:ascii="Arial" w:hAnsi="Arial" w:cs="Arial"/>
              </w:rPr>
              <w:t xml:space="preserve">where the final </w:t>
            </w:r>
            <w:r w:rsidRPr="00F1270C">
              <w:rPr>
                <w:rFonts w:ascii="Arial" w:hAnsi="Arial" w:cs="Arial"/>
              </w:rPr>
              <w:t>approval</w:t>
            </w:r>
            <w:r w:rsidR="003D4E39" w:rsidRPr="00F1270C">
              <w:rPr>
                <w:rFonts w:ascii="Arial" w:hAnsi="Arial" w:cs="Arial"/>
              </w:rPr>
              <w:t xml:space="preserve">/sign off is sought </w:t>
            </w:r>
            <w:r w:rsidRPr="00F1270C">
              <w:rPr>
                <w:rFonts w:ascii="Arial" w:hAnsi="Arial" w:cs="Arial"/>
              </w:rPr>
              <w:t>i.e. C</w:t>
            </w:r>
            <w:r w:rsidR="00D54C69" w:rsidRPr="00F1270C">
              <w:rPr>
                <w:rFonts w:ascii="Arial" w:hAnsi="Arial" w:cs="Arial"/>
              </w:rPr>
              <w:t>ommissioning Resource Group (C</w:t>
            </w:r>
            <w:r w:rsidRPr="00F1270C">
              <w:rPr>
                <w:rFonts w:ascii="Arial" w:hAnsi="Arial" w:cs="Arial"/>
              </w:rPr>
              <w:t>RG</w:t>
            </w:r>
            <w:r w:rsidR="00D54C69" w:rsidRPr="00F1270C">
              <w:rPr>
                <w:rFonts w:ascii="Arial" w:hAnsi="Arial" w:cs="Arial"/>
              </w:rPr>
              <w:t>)</w:t>
            </w:r>
            <w:r w:rsidRPr="00F1270C">
              <w:rPr>
                <w:rFonts w:ascii="Arial" w:hAnsi="Arial" w:cs="Arial"/>
              </w:rPr>
              <w:t xml:space="preserve"> / </w:t>
            </w:r>
            <w:r w:rsidR="00D54C69" w:rsidRPr="00F1270C">
              <w:rPr>
                <w:rFonts w:ascii="Arial" w:hAnsi="Arial" w:cs="Arial"/>
              </w:rPr>
              <w:t xml:space="preserve">ICB </w:t>
            </w:r>
            <w:r w:rsidRPr="00F1270C">
              <w:rPr>
                <w:rFonts w:ascii="Arial" w:hAnsi="Arial" w:cs="Arial"/>
              </w:rPr>
              <w:t xml:space="preserve">Executive </w:t>
            </w:r>
            <w:r w:rsidR="00D54C69" w:rsidRPr="00F1270C">
              <w:rPr>
                <w:rFonts w:ascii="Arial" w:hAnsi="Arial" w:cs="Arial"/>
              </w:rPr>
              <w:t xml:space="preserve">Team </w:t>
            </w:r>
            <w:r w:rsidR="00D126F9" w:rsidRPr="00F1270C">
              <w:rPr>
                <w:rFonts w:ascii="Arial" w:hAnsi="Arial" w:cs="Arial"/>
              </w:rPr>
              <w:t>or P</w:t>
            </w:r>
            <w:r w:rsidR="00D54C69" w:rsidRPr="00F1270C">
              <w:rPr>
                <w:rFonts w:ascii="Arial" w:hAnsi="Arial" w:cs="Arial"/>
              </w:rPr>
              <w:t xml:space="preserve">rimary </w:t>
            </w:r>
            <w:r w:rsidR="001B59F1" w:rsidRPr="00F1270C">
              <w:rPr>
                <w:rFonts w:ascii="Arial" w:hAnsi="Arial" w:cs="Arial"/>
              </w:rPr>
              <w:t>Care Commissioning Committee (P</w:t>
            </w:r>
            <w:r w:rsidR="00D126F9" w:rsidRPr="00F1270C">
              <w:rPr>
                <w:rFonts w:ascii="Arial" w:hAnsi="Arial" w:cs="Arial"/>
              </w:rPr>
              <w:t>CCC</w:t>
            </w:r>
            <w:r w:rsidR="001B59F1" w:rsidRPr="00F1270C">
              <w:rPr>
                <w:rFonts w:ascii="Arial" w:hAnsi="Arial" w:cs="Arial"/>
              </w:rPr>
              <w:t>)</w:t>
            </w:r>
          </w:p>
        </w:tc>
        <w:tc>
          <w:tcPr>
            <w:tcW w:w="4814" w:type="dxa"/>
          </w:tcPr>
          <w:p w14:paraId="74CA2C26" w14:textId="30E8BD98" w:rsidR="006F1094" w:rsidRPr="00F1270C" w:rsidRDefault="00C05FEC">
            <w:pPr>
              <w:rPr>
                <w:rFonts w:ascii="Arial" w:hAnsi="Arial" w:cs="Arial"/>
              </w:rPr>
            </w:pPr>
            <w:r w:rsidRPr="00F1270C">
              <w:rPr>
                <w:rFonts w:ascii="Arial" w:hAnsi="Arial" w:cs="Arial"/>
              </w:rPr>
              <w:t>Executive</w:t>
            </w:r>
            <w:r w:rsidR="00F26E01" w:rsidRPr="00F1270C">
              <w:rPr>
                <w:rFonts w:ascii="Arial" w:hAnsi="Arial" w:cs="Arial"/>
              </w:rPr>
              <w:t xml:space="preserve"> Team/PCCC</w:t>
            </w:r>
            <w:r w:rsidR="00B71D5F" w:rsidRPr="00F1270C">
              <w:rPr>
                <w:rFonts w:ascii="Arial" w:hAnsi="Arial" w:cs="Arial"/>
              </w:rPr>
              <w:t xml:space="preserve"> &amp; Date:</w:t>
            </w:r>
          </w:p>
        </w:tc>
      </w:tr>
      <w:tr w:rsidR="00371161" w:rsidRPr="00CB3687" w14:paraId="1384B9A4" w14:textId="77777777" w:rsidTr="00640898">
        <w:trPr>
          <w:jc w:val="center"/>
        </w:trPr>
        <w:tc>
          <w:tcPr>
            <w:tcW w:w="5812" w:type="dxa"/>
          </w:tcPr>
          <w:p w14:paraId="719B072D" w14:textId="77777777" w:rsidR="004F39C3" w:rsidRPr="00F1270C" w:rsidRDefault="004F39C3">
            <w:pPr>
              <w:rPr>
                <w:rStyle w:val="Hyperlink"/>
                <w:color w:val="auto"/>
              </w:rPr>
            </w:pPr>
            <w:r w:rsidRPr="00F1270C">
              <w:rPr>
                <w:rFonts w:ascii="Arial" w:hAnsi="Arial" w:cs="Arial"/>
              </w:rPr>
              <w:t xml:space="preserve">Provide rationale for why this provider has been awarded the contract for the service (in line with the requirements to award a contract using the </w:t>
            </w:r>
            <w:hyperlink r:id="rId13" w:anchor="applying-the-regime" w:history="1">
              <w:r w:rsidRPr="00F1270C">
                <w:rPr>
                  <w:rStyle w:val="Hyperlink"/>
                  <w:rFonts w:ascii="Arial" w:hAnsi="Arial" w:cs="Arial"/>
                  <w:color w:val="auto"/>
                </w:rPr>
                <w:t>specified process under the PSR</w:t>
              </w:r>
            </w:hyperlink>
            <w:r w:rsidR="00567EC4" w:rsidRPr="00F1270C">
              <w:rPr>
                <w:rStyle w:val="Hyperlink"/>
                <w:rFonts w:ascii="Arial" w:hAnsi="Arial" w:cs="Arial"/>
                <w:color w:val="auto"/>
              </w:rPr>
              <w:t>)</w:t>
            </w:r>
          </w:p>
          <w:p w14:paraId="400670BA" w14:textId="77777777" w:rsidR="00567EC4" w:rsidRPr="00F1270C" w:rsidRDefault="00567EC4">
            <w:pPr>
              <w:rPr>
                <w:rStyle w:val="Hyperlink"/>
                <w:color w:val="auto"/>
              </w:rPr>
            </w:pPr>
          </w:p>
          <w:p w14:paraId="0145036F" w14:textId="35EC8CC2" w:rsidR="00371161" w:rsidRPr="00F1270C" w:rsidRDefault="00567EC4" w:rsidP="00371161">
            <w:pPr>
              <w:rPr>
                <w:rFonts w:ascii="Arial" w:hAnsi="Arial" w:cs="Arial"/>
                <w:sz w:val="18"/>
                <w:szCs w:val="18"/>
              </w:rPr>
            </w:pPr>
            <w:r w:rsidRPr="00F1270C">
              <w:rPr>
                <w:rFonts w:ascii="Arial" w:hAnsi="Arial" w:cs="Arial"/>
              </w:rPr>
              <w:t>For Direct Award C</w:t>
            </w:r>
            <w:r w:rsidR="00380B8A" w:rsidRPr="00F1270C">
              <w:rPr>
                <w:rFonts w:ascii="Arial" w:hAnsi="Arial" w:cs="Arial"/>
              </w:rPr>
              <w:t xml:space="preserve"> please also </w:t>
            </w:r>
            <w:r w:rsidR="006E52C0" w:rsidRPr="00F1270C">
              <w:rPr>
                <w:rFonts w:ascii="Arial" w:hAnsi="Arial" w:cs="Arial"/>
              </w:rPr>
              <w:t xml:space="preserve">evidence that the </w:t>
            </w:r>
            <w:r w:rsidR="007247F3" w:rsidRPr="00F1270C">
              <w:rPr>
                <w:rFonts w:ascii="Arial" w:hAnsi="Arial" w:cs="Arial"/>
              </w:rPr>
              <w:t xml:space="preserve">new contract does not </w:t>
            </w:r>
            <w:r w:rsidR="00974B1B" w:rsidRPr="00F1270C">
              <w:rPr>
                <w:rFonts w:ascii="Arial" w:hAnsi="Arial" w:cs="Arial"/>
              </w:rPr>
              <w:t>meet the considerable change threshold </w:t>
            </w:r>
            <w:r w:rsidR="007247F3" w:rsidRPr="00F1270C">
              <w:rPr>
                <w:rFonts w:ascii="Arial" w:hAnsi="Arial" w:cs="Arial"/>
              </w:rPr>
              <w:t xml:space="preserve">as set out in the </w:t>
            </w:r>
            <w:r w:rsidR="00AC7F6E" w:rsidRPr="00F1270C">
              <w:rPr>
                <w:rFonts w:ascii="Arial" w:hAnsi="Arial" w:cs="Arial"/>
              </w:rPr>
              <w:t>PSR statutory guidance</w:t>
            </w:r>
            <w:r w:rsidR="00052135">
              <w:rPr>
                <w:rFonts w:ascii="Arial" w:hAnsi="Arial" w:cs="Arial"/>
              </w:rPr>
              <w:t>.</w:t>
            </w:r>
            <w:r w:rsidR="00371161" w:rsidRPr="00F1270C">
              <w:rPr>
                <w:rFonts w:ascii="Arial" w:hAnsi="Arial" w:cs="Arial"/>
                <w:sz w:val="18"/>
                <w:szCs w:val="18"/>
              </w:rPr>
              <w:t xml:space="preserve"> </w:t>
            </w:r>
          </w:p>
          <w:p w14:paraId="7D92F4C2" w14:textId="77777777" w:rsidR="00371161" w:rsidRPr="00F1270C" w:rsidRDefault="00371161" w:rsidP="00371161">
            <w:pPr>
              <w:rPr>
                <w:rFonts w:ascii="Arial" w:hAnsi="Arial" w:cs="Arial"/>
                <w:sz w:val="18"/>
                <w:szCs w:val="18"/>
              </w:rPr>
            </w:pPr>
          </w:p>
          <w:p w14:paraId="2EBD5DAB" w14:textId="6522B240" w:rsidR="00371161" w:rsidRPr="00F1270C" w:rsidRDefault="00371161" w:rsidP="00371161">
            <w:pPr>
              <w:rPr>
                <w:rFonts w:ascii="Arial" w:hAnsi="Arial" w:cs="Arial"/>
                <w:sz w:val="18"/>
                <w:szCs w:val="18"/>
              </w:rPr>
            </w:pPr>
            <w:r w:rsidRPr="00F1270C">
              <w:rPr>
                <w:rFonts w:ascii="Arial" w:hAnsi="Arial" w:cs="Arial"/>
                <w:sz w:val="18"/>
                <w:szCs w:val="18"/>
              </w:rPr>
              <w:t xml:space="preserve">(Basic rule to the considerable change threshold is the proposed new contract </w:t>
            </w:r>
            <w:proofErr w:type="gramStart"/>
            <w:r w:rsidR="00602360" w:rsidRPr="00F1270C">
              <w:rPr>
                <w:rFonts w:ascii="Arial" w:hAnsi="Arial" w:cs="Arial"/>
                <w:sz w:val="18"/>
                <w:szCs w:val="18"/>
              </w:rPr>
              <w:t>has to</w:t>
            </w:r>
            <w:proofErr w:type="gramEnd"/>
            <w:r w:rsidR="00602360" w:rsidRPr="00F1270C">
              <w:rPr>
                <w:rFonts w:ascii="Arial" w:hAnsi="Arial" w:cs="Arial"/>
                <w:sz w:val="18"/>
                <w:szCs w:val="18"/>
              </w:rPr>
              <w:t xml:space="preserve"> be materially different in character to the existing contract </w:t>
            </w:r>
            <w:r w:rsidR="00332F94" w:rsidRPr="00F1270C">
              <w:rPr>
                <w:rFonts w:ascii="Arial" w:hAnsi="Arial" w:cs="Arial"/>
                <w:sz w:val="18"/>
                <w:szCs w:val="18"/>
              </w:rPr>
              <w:t xml:space="preserve">or the contract </w:t>
            </w:r>
            <w:r w:rsidRPr="00F1270C">
              <w:rPr>
                <w:rFonts w:ascii="Arial" w:hAnsi="Arial" w:cs="Arial"/>
                <w:sz w:val="18"/>
                <w:szCs w:val="18"/>
              </w:rPr>
              <w:t>value</w:t>
            </w:r>
            <w:r w:rsidR="00602360" w:rsidRPr="00F1270C">
              <w:rPr>
                <w:rFonts w:ascii="Arial" w:hAnsi="Arial" w:cs="Arial"/>
                <w:sz w:val="18"/>
                <w:szCs w:val="18"/>
              </w:rPr>
              <w:t xml:space="preserve"> </w:t>
            </w:r>
            <w:r w:rsidRPr="00F1270C">
              <w:rPr>
                <w:rFonts w:ascii="Arial" w:hAnsi="Arial" w:cs="Arial"/>
                <w:sz w:val="18"/>
                <w:szCs w:val="18"/>
              </w:rPr>
              <w:t xml:space="preserve">has to be at least 500k higher than the existing contract value and at least 25% higher to be considered a considerable change, therefore </w:t>
            </w:r>
            <w:r w:rsidR="003054DC" w:rsidRPr="00F1270C">
              <w:rPr>
                <w:rFonts w:ascii="Arial" w:hAnsi="Arial" w:cs="Arial"/>
                <w:sz w:val="18"/>
                <w:szCs w:val="18"/>
              </w:rPr>
              <w:t xml:space="preserve">if the change is not materially </w:t>
            </w:r>
            <w:r w:rsidR="00BB4401" w:rsidRPr="00F1270C">
              <w:rPr>
                <w:rFonts w:ascii="Arial" w:hAnsi="Arial" w:cs="Arial"/>
                <w:sz w:val="18"/>
                <w:szCs w:val="18"/>
              </w:rPr>
              <w:t xml:space="preserve">different and </w:t>
            </w:r>
          </w:p>
          <w:p w14:paraId="31BF2537" w14:textId="77777777" w:rsidR="00371161" w:rsidRPr="00F1270C" w:rsidRDefault="00371161" w:rsidP="00371161">
            <w:pPr>
              <w:rPr>
                <w:rFonts w:ascii="Arial" w:hAnsi="Arial" w:cs="Arial"/>
                <w:sz w:val="18"/>
                <w:szCs w:val="18"/>
              </w:rPr>
            </w:pPr>
          </w:p>
          <w:p w14:paraId="0D037C63" w14:textId="77777777" w:rsidR="00371161" w:rsidRPr="00F1270C" w:rsidRDefault="00371161" w:rsidP="00371161">
            <w:pPr>
              <w:numPr>
                <w:ilvl w:val="0"/>
                <w:numId w:val="14"/>
              </w:numPr>
              <w:rPr>
                <w:rFonts w:ascii="Arial" w:hAnsi="Arial" w:cs="Arial"/>
                <w:b/>
                <w:bCs/>
                <w:sz w:val="18"/>
                <w:szCs w:val="18"/>
              </w:rPr>
            </w:pPr>
            <w:r w:rsidRPr="00F1270C">
              <w:rPr>
                <w:rFonts w:ascii="Arial" w:hAnsi="Arial" w:cs="Arial"/>
                <w:b/>
                <w:bCs/>
                <w:sz w:val="18"/>
                <w:szCs w:val="18"/>
              </w:rPr>
              <w:t xml:space="preserve">If it is under 500k but at least 25% </w:t>
            </w:r>
            <w:proofErr w:type="gramStart"/>
            <w:r w:rsidRPr="00F1270C">
              <w:rPr>
                <w:rFonts w:ascii="Arial" w:hAnsi="Arial" w:cs="Arial"/>
                <w:b/>
                <w:bCs/>
                <w:sz w:val="18"/>
                <w:szCs w:val="18"/>
              </w:rPr>
              <w:t>higher</w:t>
            </w:r>
            <w:proofErr w:type="gramEnd"/>
            <w:r w:rsidRPr="00F1270C">
              <w:rPr>
                <w:rFonts w:ascii="Arial" w:hAnsi="Arial" w:cs="Arial"/>
                <w:b/>
                <w:bCs/>
                <w:sz w:val="18"/>
                <w:szCs w:val="18"/>
              </w:rPr>
              <w:t xml:space="preserve"> it’s permitted </w:t>
            </w:r>
          </w:p>
          <w:p w14:paraId="59C7876E" w14:textId="77777777" w:rsidR="00371161" w:rsidRPr="00F1270C" w:rsidRDefault="00371161" w:rsidP="00371161">
            <w:pPr>
              <w:numPr>
                <w:ilvl w:val="0"/>
                <w:numId w:val="14"/>
              </w:numPr>
              <w:rPr>
                <w:rFonts w:ascii="Arial" w:hAnsi="Arial" w:cs="Arial"/>
                <w:b/>
                <w:bCs/>
                <w:sz w:val="18"/>
                <w:szCs w:val="18"/>
              </w:rPr>
            </w:pPr>
            <w:r w:rsidRPr="00F1270C">
              <w:rPr>
                <w:rFonts w:ascii="Arial" w:hAnsi="Arial" w:cs="Arial"/>
                <w:b/>
                <w:bCs/>
                <w:sz w:val="18"/>
                <w:szCs w:val="18"/>
              </w:rPr>
              <w:t xml:space="preserve">If it is at least 500k higher but under 25% it’s </w:t>
            </w:r>
            <w:proofErr w:type="gramStart"/>
            <w:r w:rsidRPr="00F1270C">
              <w:rPr>
                <w:rFonts w:ascii="Arial" w:hAnsi="Arial" w:cs="Arial"/>
                <w:b/>
                <w:bCs/>
                <w:sz w:val="18"/>
                <w:szCs w:val="18"/>
              </w:rPr>
              <w:t>permitted</w:t>
            </w:r>
            <w:proofErr w:type="gramEnd"/>
          </w:p>
          <w:p w14:paraId="56A359E8" w14:textId="5753E8FA" w:rsidR="00371161" w:rsidRPr="00F1270C" w:rsidRDefault="00371161" w:rsidP="00371161">
            <w:pPr>
              <w:numPr>
                <w:ilvl w:val="0"/>
                <w:numId w:val="14"/>
              </w:numPr>
              <w:rPr>
                <w:rFonts w:ascii="Arial" w:hAnsi="Arial" w:cs="Arial"/>
                <w:b/>
                <w:bCs/>
                <w:sz w:val="18"/>
                <w:szCs w:val="18"/>
              </w:rPr>
            </w:pPr>
            <w:r w:rsidRPr="00F1270C">
              <w:rPr>
                <w:rFonts w:ascii="Arial" w:hAnsi="Arial" w:cs="Arial"/>
                <w:b/>
                <w:bCs/>
                <w:sz w:val="18"/>
                <w:szCs w:val="18"/>
              </w:rPr>
              <w:t xml:space="preserve">If it is under both it’s </w:t>
            </w:r>
            <w:proofErr w:type="gramStart"/>
            <w:r w:rsidRPr="00F1270C">
              <w:rPr>
                <w:rFonts w:ascii="Arial" w:hAnsi="Arial" w:cs="Arial"/>
                <w:b/>
                <w:bCs/>
                <w:sz w:val="18"/>
                <w:szCs w:val="18"/>
              </w:rPr>
              <w:t>permitted )</w:t>
            </w:r>
            <w:proofErr w:type="gramEnd"/>
          </w:p>
          <w:p w14:paraId="5AB5CFD8" w14:textId="33226503" w:rsidR="00567EC4" w:rsidRPr="00F1270C" w:rsidRDefault="00371161">
            <w:pPr>
              <w:rPr>
                <w:rFonts w:ascii="Arial" w:hAnsi="Arial" w:cs="Arial"/>
                <w:sz w:val="18"/>
                <w:szCs w:val="18"/>
              </w:rPr>
            </w:pPr>
            <w:r w:rsidRPr="00F1270C">
              <w:rPr>
                <w:rFonts w:ascii="Arial" w:hAnsi="Arial" w:cs="Arial"/>
                <w:sz w:val="18"/>
                <w:szCs w:val="18"/>
              </w:rPr>
              <w:t xml:space="preserve">Please refer to the </w:t>
            </w:r>
            <w:r w:rsidR="009B5C12" w:rsidRPr="00F1270C">
              <w:rPr>
                <w:rFonts w:ascii="Arial" w:hAnsi="Arial" w:cs="Arial"/>
                <w:sz w:val="18"/>
                <w:szCs w:val="18"/>
              </w:rPr>
              <w:t>full details regarding the considerable change threshold in the statutory guidance before making a final decision</w:t>
            </w:r>
            <w:r w:rsidR="00997F36">
              <w:rPr>
                <w:rFonts w:ascii="Arial" w:hAnsi="Arial" w:cs="Arial"/>
                <w:sz w:val="18"/>
                <w:szCs w:val="18"/>
              </w:rPr>
              <w:t>)</w:t>
            </w:r>
          </w:p>
        </w:tc>
        <w:tc>
          <w:tcPr>
            <w:tcW w:w="4814" w:type="dxa"/>
          </w:tcPr>
          <w:p w14:paraId="5B2BBE02" w14:textId="77777777" w:rsidR="004F39C3" w:rsidRPr="00F1270C" w:rsidRDefault="004F39C3">
            <w:pPr>
              <w:rPr>
                <w:rFonts w:ascii="Arial" w:hAnsi="Arial" w:cs="Arial"/>
              </w:rPr>
            </w:pPr>
          </w:p>
          <w:p w14:paraId="07B52B20" w14:textId="77777777" w:rsidR="00F32AA8" w:rsidRPr="00F1270C" w:rsidRDefault="00F32AA8">
            <w:pPr>
              <w:rPr>
                <w:rFonts w:ascii="Arial" w:hAnsi="Arial" w:cs="Arial"/>
              </w:rPr>
            </w:pPr>
          </w:p>
          <w:p w14:paraId="6A9A3041" w14:textId="77777777" w:rsidR="00F32AA8" w:rsidRPr="00F1270C" w:rsidRDefault="00F32AA8">
            <w:pPr>
              <w:rPr>
                <w:rFonts w:ascii="Arial" w:hAnsi="Arial" w:cs="Arial"/>
              </w:rPr>
            </w:pPr>
          </w:p>
          <w:p w14:paraId="2A55C41A" w14:textId="77777777" w:rsidR="00F32AA8" w:rsidRPr="00F1270C" w:rsidRDefault="00F32AA8">
            <w:pPr>
              <w:rPr>
                <w:rFonts w:ascii="Arial" w:hAnsi="Arial" w:cs="Arial"/>
              </w:rPr>
            </w:pPr>
          </w:p>
          <w:p w14:paraId="688EE200" w14:textId="77777777" w:rsidR="00F32AA8" w:rsidRPr="00F1270C" w:rsidRDefault="00F32AA8">
            <w:pPr>
              <w:rPr>
                <w:rFonts w:ascii="Arial" w:hAnsi="Arial" w:cs="Arial"/>
              </w:rPr>
            </w:pPr>
          </w:p>
          <w:p w14:paraId="0BF36560" w14:textId="351EB903" w:rsidR="00F32AA8" w:rsidRPr="00F1270C" w:rsidRDefault="00F32AA8" w:rsidP="00371161">
            <w:pPr>
              <w:rPr>
                <w:rFonts w:ascii="Arial" w:hAnsi="Arial" w:cs="Arial"/>
              </w:rPr>
            </w:pPr>
          </w:p>
        </w:tc>
      </w:tr>
      <w:tr w:rsidR="00371161" w:rsidRPr="00CB3687" w14:paraId="0EC4088F" w14:textId="77777777" w:rsidTr="00640898">
        <w:trPr>
          <w:jc w:val="center"/>
        </w:trPr>
        <w:tc>
          <w:tcPr>
            <w:tcW w:w="5812" w:type="dxa"/>
          </w:tcPr>
          <w:p w14:paraId="380C6A41" w14:textId="28336A0C" w:rsidR="00B75589" w:rsidRPr="00CB3687" w:rsidRDefault="00B75589">
            <w:pPr>
              <w:rPr>
                <w:rFonts w:ascii="Arial" w:hAnsi="Arial" w:cs="Arial"/>
              </w:rPr>
            </w:pPr>
            <w:r w:rsidRPr="00CB3687">
              <w:rPr>
                <w:rFonts w:ascii="Arial" w:hAnsi="Arial" w:cs="Arial"/>
              </w:rPr>
              <w:t>Any declared conflicts or potential conflicts of interest</w:t>
            </w:r>
            <w:r w:rsidR="00636519" w:rsidRPr="00636519">
              <w:rPr>
                <w:rFonts w:ascii="Aptos" w:hAnsi="Aptos"/>
                <w:color w:val="000000" w:themeColor="text1"/>
                <w:kern w:val="0"/>
                <w:sz w:val="24"/>
                <w:lang w:eastAsia="en-GB"/>
                <w14:ligatures w14:val="none"/>
              </w:rPr>
              <w:t xml:space="preserve"> </w:t>
            </w:r>
            <w:r w:rsidR="00636519" w:rsidRPr="00997F36">
              <w:rPr>
                <w:rFonts w:ascii="Aptos" w:hAnsi="Aptos"/>
                <w:kern w:val="0"/>
                <w:sz w:val="24"/>
                <w:lang w:eastAsia="en-GB"/>
                <w14:ligatures w14:val="none"/>
              </w:rPr>
              <w:t xml:space="preserve">as </w:t>
            </w:r>
            <w:r w:rsidR="00636519" w:rsidRPr="00997F36">
              <w:rPr>
                <w:rFonts w:ascii="Arial" w:hAnsi="Arial" w:cs="Arial"/>
              </w:rPr>
              <w:t>defined by</w:t>
            </w:r>
            <w:r w:rsidR="004477C2" w:rsidRPr="00997F36">
              <w:rPr>
                <w:rFonts w:ascii="Arial" w:hAnsi="Arial" w:cs="Arial"/>
              </w:rPr>
              <w:t xml:space="preserve"> </w:t>
            </w:r>
            <w:hyperlink r:id="rId14" w:history="1">
              <w:r w:rsidR="004477C2" w:rsidRPr="004477C2">
                <w:rPr>
                  <w:rStyle w:val="Hyperlink"/>
                  <w:rFonts w:ascii="Arial" w:hAnsi="Arial" w:cs="Arial"/>
                </w:rPr>
                <w:t>regulation 21</w:t>
              </w:r>
            </w:hyperlink>
            <w:r w:rsidR="004477C2">
              <w:rPr>
                <w:rFonts w:ascii="Arial" w:hAnsi="Arial" w:cs="Arial"/>
                <w:color w:val="FF0000"/>
              </w:rPr>
              <w:t xml:space="preserve"> </w:t>
            </w:r>
            <w:r w:rsidR="004477C2" w:rsidRPr="00997F36">
              <w:rPr>
                <w:rFonts w:ascii="Arial" w:hAnsi="Arial" w:cs="Arial"/>
              </w:rPr>
              <w:t xml:space="preserve">the </w:t>
            </w:r>
            <w:r w:rsidR="00636519" w:rsidRPr="00997F36">
              <w:rPr>
                <w:rFonts w:ascii="Arial" w:hAnsi="Arial" w:cs="Arial"/>
              </w:rPr>
              <w:t>of PSR</w:t>
            </w:r>
          </w:p>
        </w:tc>
        <w:tc>
          <w:tcPr>
            <w:tcW w:w="4814" w:type="dxa"/>
          </w:tcPr>
          <w:p w14:paraId="4F55199A" w14:textId="296C0E40" w:rsidR="00B75589" w:rsidRPr="00CB3687" w:rsidRDefault="00B75589">
            <w:pPr>
              <w:rPr>
                <w:rFonts w:ascii="Arial" w:hAnsi="Arial" w:cs="Arial"/>
              </w:rPr>
            </w:pPr>
          </w:p>
        </w:tc>
      </w:tr>
      <w:tr w:rsidR="001F5D10" w:rsidRPr="00CB3687" w14:paraId="15945BAC" w14:textId="77777777" w:rsidTr="008A7442">
        <w:trPr>
          <w:jc w:val="center"/>
        </w:trPr>
        <w:tc>
          <w:tcPr>
            <w:tcW w:w="5812" w:type="dxa"/>
            <w:tcBorders>
              <w:bottom w:val="single" w:sz="4" w:space="0" w:color="auto"/>
            </w:tcBorders>
          </w:tcPr>
          <w:p w14:paraId="2B05C4C8" w14:textId="57780C06" w:rsidR="001E1F32" w:rsidRPr="00CB3687" w:rsidRDefault="001E1F32">
            <w:pPr>
              <w:rPr>
                <w:rFonts w:ascii="Arial" w:hAnsi="Arial" w:cs="Arial"/>
              </w:rPr>
            </w:pPr>
            <w:r w:rsidRPr="00CB3687">
              <w:rPr>
                <w:rFonts w:ascii="Arial" w:hAnsi="Arial" w:cs="Arial"/>
              </w:rPr>
              <w:t>Information as to how any conflicts or potential conflicts of interest were managed</w:t>
            </w:r>
          </w:p>
        </w:tc>
        <w:tc>
          <w:tcPr>
            <w:tcW w:w="4814" w:type="dxa"/>
            <w:tcBorders>
              <w:bottom w:val="single" w:sz="4" w:space="0" w:color="auto"/>
            </w:tcBorders>
          </w:tcPr>
          <w:p w14:paraId="175AE874" w14:textId="77777777" w:rsidR="001E1F32" w:rsidRPr="00CB3687" w:rsidRDefault="001E1F32">
            <w:pPr>
              <w:rPr>
                <w:rFonts w:ascii="Arial" w:hAnsi="Arial" w:cs="Arial"/>
              </w:rPr>
            </w:pPr>
          </w:p>
        </w:tc>
      </w:tr>
      <w:tr w:rsidR="001F5D10" w:rsidRPr="008A7442" w14:paraId="783A7FC8" w14:textId="77777777" w:rsidTr="008A7442">
        <w:trPr>
          <w:jc w:val="center"/>
        </w:trPr>
        <w:tc>
          <w:tcPr>
            <w:tcW w:w="5812" w:type="dxa"/>
            <w:shd w:val="clear" w:color="auto" w:fill="auto"/>
          </w:tcPr>
          <w:p w14:paraId="5EE4C364" w14:textId="33722ED4" w:rsidR="00E05D55" w:rsidRPr="008A7442" w:rsidRDefault="00E05D55" w:rsidP="00E05D55">
            <w:pPr>
              <w:rPr>
                <w:rFonts w:ascii="Arial" w:hAnsi="Arial" w:cs="Arial"/>
              </w:rPr>
            </w:pPr>
            <w:r w:rsidRPr="008A7442">
              <w:rPr>
                <w:rFonts w:ascii="Arial" w:hAnsi="Arial" w:cs="Arial"/>
              </w:rPr>
              <w:t xml:space="preserve">For mixed procurements, how the procurement meets the requirements for mixed </w:t>
            </w:r>
            <w:r w:rsidR="00AC07DF" w:rsidRPr="008A7442">
              <w:rPr>
                <w:rFonts w:ascii="Arial" w:hAnsi="Arial" w:cs="Arial"/>
              </w:rPr>
              <w:t>procurement (</w:t>
            </w:r>
            <w:r w:rsidR="00B42FC6" w:rsidRPr="008A7442">
              <w:rPr>
                <w:rFonts w:ascii="Arial" w:hAnsi="Arial" w:cs="Arial"/>
              </w:rPr>
              <w:t xml:space="preserve">Generally not applicable; </w:t>
            </w:r>
            <w:r w:rsidR="001B17A2" w:rsidRPr="008A7442">
              <w:rPr>
                <w:rFonts w:ascii="Arial" w:hAnsi="Arial" w:cs="Arial"/>
              </w:rPr>
              <w:t xml:space="preserve">seek advice from </w:t>
            </w:r>
            <w:r w:rsidR="00CC3EA0" w:rsidRPr="008A7442">
              <w:rPr>
                <w:rFonts w:ascii="Arial" w:hAnsi="Arial" w:cs="Arial"/>
              </w:rPr>
              <w:t>CMT</w:t>
            </w:r>
            <w:r w:rsidR="001B17A2" w:rsidRPr="008A7442">
              <w:rPr>
                <w:rFonts w:ascii="Arial" w:hAnsi="Arial" w:cs="Arial"/>
              </w:rPr>
              <w:t xml:space="preserve"> if </w:t>
            </w:r>
            <w:r w:rsidR="00B42FC6" w:rsidRPr="008A7442">
              <w:rPr>
                <w:rFonts w:ascii="Arial" w:hAnsi="Arial" w:cs="Arial"/>
              </w:rPr>
              <w:t>you think this applies)</w:t>
            </w:r>
          </w:p>
        </w:tc>
        <w:tc>
          <w:tcPr>
            <w:tcW w:w="4814" w:type="dxa"/>
            <w:shd w:val="clear" w:color="auto" w:fill="auto"/>
          </w:tcPr>
          <w:p w14:paraId="0928AB26" w14:textId="51F583F5" w:rsidR="00E05D55" w:rsidRPr="008A7442" w:rsidRDefault="00E05D55" w:rsidP="00E05D55">
            <w:pPr>
              <w:rPr>
                <w:rFonts w:ascii="Arial" w:hAnsi="Arial" w:cs="Arial"/>
                <w:color w:val="000000" w:themeColor="text1"/>
              </w:rPr>
            </w:pPr>
          </w:p>
        </w:tc>
      </w:tr>
      <w:tr w:rsidR="00371161" w:rsidRPr="00CB3687" w14:paraId="06BA4043" w14:textId="77777777" w:rsidTr="00640898">
        <w:trPr>
          <w:jc w:val="center"/>
        </w:trPr>
        <w:tc>
          <w:tcPr>
            <w:tcW w:w="5812" w:type="dxa"/>
            <w:shd w:val="clear" w:color="auto" w:fill="auto"/>
          </w:tcPr>
          <w:p w14:paraId="28469D0E" w14:textId="3E7B3D07" w:rsidR="00E05D55" w:rsidRPr="00CB3687" w:rsidRDefault="00E05D55" w:rsidP="00E05D55">
            <w:pPr>
              <w:rPr>
                <w:rFonts w:ascii="Arial" w:hAnsi="Arial" w:cs="Arial"/>
              </w:rPr>
            </w:pPr>
            <w:r w:rsidRPr="00CB3687">
              <w:rPr>
                <w:rFonts w:ascii="Arial" w:hAnsi="Arial" w:cs="Arial"/>
              </w:rPr>
              <w:t>Date that the contract was awarded</w:t>
            </w:r>
          </w:p>
        </w:tc>
        <w:tc>
          <w:tcPr>
            <w:tcW w:w="4814" w:type="dxa"/>
          </w:tcPr>
          <w:p w14:paraId="3803D975" w14:textId="74D61E5D" w:rsidR="00E05D55" w:rsidRPr="00CB3687" w:rsidRDefault="003370C9" w:rsidP="00E05D55">
            <w:pPr>
              <w:rPr>
                <w:rFonts w:ascii="Arial" w:hAnsi="Arial" w:cs="Arial"/>
              </w:rPr>
            </w:pPr>
            <w:r>
              <w:rPr>
                <w:rFonts w:ascii="Arial" w:hAnsi="Arial" w:cs="Arial"/>
              </w:rPr>
              <w:t>[to be completed by CMT]</w:t>
            </w:r>
          </w:p>
        </w:tc>
      </w:tr>
      <w:tr w:rsidR="00235190" w:rsidRPr="00CB3687" w14:paraId="42F048A4" w14:textId="77777777" w:rsidTr="00640898">
        <w:trPr>
          <w:jc w:val="center"/>
        </w:trPr>
        <w:tc>
          <w:tcPr>
            <w:tcW w:w="10626" w:type="dxa"/>
            <w:gridSpan w:val="2"/>
            <w:shd w:val="clear" w:color="auto" w:fill="95DCF7" w:themeFill="accent4" w:themeFillTint="66"/>
          </w:tcPr>
          <w:p w14:paraId="2F614DBE" w14:textId="258598FE" w:rsidR="00235190" w:rsidRPr="00CB3687" w:rsidRDefault="00235190">
            <w:pPr>
              <w:rPr>
                <w:rFonts w:ascii="Arial" w:hAnsi="Arial" w:cs="Arial"/>
                <w:b/>
                <w:bCs/>
              </w:rPr>
            </w:pPr>
            <w:r w:rsidRPr="00CB3687">
              <w:rPr>
                <w:rFonts w:ascii="Arial" w:hAnsi="Arial" w:cs="Arial"/>
                <w:b/>
                <w:bCs/>
              </w:rPr>
              <w:t>Direct Award C</w:t>
            </w:r>
            <w:r w:rsidR="004B401C">
              <w:rPr>
                <w:rFonts w:ascii="Arial" w:hAnsi="Arial" w:cs="Arial"/>
                <w:b/>
                <w:bCs/>
              </w:rPr>
              <w:t xml:space="preserve"> </w:t>
            </w:r>
            <w:r w:rsidRPr="00CB3687">
              <w:rPr>
                <w:rFonts w:ascii="Arial" w:hAnsi="Arial" w:cs="Arial"/>
                <w:b/>
                <w:bCs/>
              </w:rPr>
              <w:t xml:space="preserve">only: </w:t>
            </w:r>
          </w:p>
        </w:tc>
      </w:tr>
      <w:tr w:rsidR="00371161" w:rsidRPr="00CB3687" w14:paraId="284E444F" w14:textId="77777777" w:rsidTr="00640898">
        <w:trPr>
          <w:jc w:val="center"/>
        </w:trPr>
        <w:tc>
          <w:tcPr>
            <w:tcW w:w="5812" w:type="dxa"/>
            <w:shd w:val="clear" w:color="auto" w:fill="CAEDFB" w:themeFill="accent4" w:themeFillTint="33"/>
          </w:tcPr>
          <w:p w14:paraId="62E874F4" w14:textId="0AB0E0A5" w:rsidR="00235190" w:rsidRPr="00CB3687" w:rsidRDefault="00235190">
            <w:pPr>
              <w:rPr>
                <w:rFonts w:ascii="Arial" w:hAnsi="Arial" w:cs="Arial"/>
              </w:rPr>
            </w:pPr>
            <w:r w:rsidRPr="00CB3687">
              <w:rPr>
                <w:rFonts w:ascii="Arial" w:hAnsi="Arial" w:cs="Arial"/>
              </w:rPr>
              <w:t xml:space="preserve">A description of the way in which the key criteria were taken into account (e.g. weighting, prioritisation), the basic selection criteria were </w:t>
            </w:r>
            <w:proofErr w:type="gramStart"/>
            <w:r w:rsidRPr="00CB3687">
              <w:rPr>
                <w:rFonts w:ascii="Arial" w:hAnsi="Arial" w:cs="Arial"/>
              </w:rPr>
              <w:t>assessed</w:t>
            </w:r>
            <w:proofErr w:type="gramEnd"/>
            <w:r w:rsidRPr="00CB3687">
              <w:rPr>
                <w:rFonts w:ascii="Arial" w:hAnsi="Arial" w:cs="Arial"/>
              </w:rPr>
              <w:t xml:space="preserve"> and contract award criteria were evaluated when making a decision</w:t>
            </w:r>
          </w:p>
        </w:tc>
        <w:tc>
          <w:tcPr>
            <w:tcW w:w="4814" w:type="dxa"/>
          </w:tcPr>
          <w:p w14:paraId="0ADBAB7B" w14:textId="4C0D2A99" w:rsidR="00235190" w:rsidRPr="00081829" w:rsidRDefault="007C159B">
            <w:pPr>
              <w:rPr>
                <w:rFonts w:ascii="Arial" w:hAnsi="Arial" w:cs="Arial"/>
                <w:i/>
                <w:iCs/>
              </w:rPr>
            </w:pPr>
            <w:r>
              <w:rPr>
                <w:rFonts w:ascii="Arial" w:hAnsi="Arial" w:cs="Arial"/>
              </w:rPr>
              <w:t xml:space="preserve">The ICB has </w:t>
            </w:r>
            <w:r w:rsidR="00E11DB7">
              <w:rPr>
                <w:rFonts w:ascii="Arial" w:hAnsi="Arial" w:cs="Arial"/>
              </w:rPr>
              <w:t xml:space="preserve">reviewed the </w:t>
            </w:r>
            <w:r w:rsidR="00945DBC">
              <w:rPr>
                <w:rFonts w:ascii="Arial" w:hAnsi="Arial" w:cs="Arial"/>
              </w:rPr>
              <w:t xml:space="preserve">service in line with the </w:t>
            </w:r>
            <w:r w:rsidR="00E22344">
              <w:rPr>
                <w:rFonts w:ascii="Arial" w:hAnsi="Arial" w:cs="Arial"/>
              </w:rPr>
              <w:t xml:space="preserve">key criteria </w:t>
            </w:r>
            <w:r w:rsidR="00E36E00">
              <w:rPr>
                <w:rFonts w:ascii="Arial" w:hAnsi="Arial" w:cs="Arial"/>
              </w:rPr>
              <w:t>(with a weigh</w:t>
            </w:r>
            <w:r w:rsidR="005F644E">
              <w:rPr>
                <w:rFonts w:ascii="Arial" w:hAnsi="Arial" w:cs="Arial"/>
              </w:rPr>
              <w:t>ting of</w:t>
            </w:r>
            <w:r w:rsidR="00F21CF9">
              <w:rPr>
                <w:rFonts w:ascii="Arial" w:hAnsi="Arial" w:cs="Arial"/>
              </w:rPr>
              <w:t xml:space="preserve"> </w:t>
            </w:r>
            <w:r w:rsidR="005F644E">
              <w:rPr>
                <w:rFonts w:ascii="Arial" w:hAnsi="Arial" w:cs="Arial"/>
              </w:rPr>
              <w:t xml:space="preserve">20% each) </w:t>
            </w:r>
            <w:r w:rsidR="00E22344">
              <w:rPr>
                <w:rFonts w:ascii="Arial" w:hAnsi="Arial" w:cs="Arial"/>
              </w:rPr>
              <w:t xml:space="preserve">and </w:t>
            </w:r>
            <w:r w:rsidR="005F644E">
              <w:rPr>
                <w:rFonts w:ascii="Arial" w:hAnsi="Arial" w:cs="Arial"/>
              </w:rPr>
              <w:t xml:space="preserve">the </w:t>
            </w:r>
            <w:r w:rsidR="00E22344">
              <w:rPr>
                <w:rFonts w:ascii="Arial" w:hAnsi="Arial" w:cs="Arial"/>
              </w:rPr>
              <w:t xml:space="preserve">basic </w:t>
            </w:r>
            <w:r w:rsidR="002F4515">
              <w:rPr>
                <w:rFonts w:ascii="Arial" w:hAnsi="Arial" w:cs="Arial"/>
              </w:rPr>
              <w:t xml:space="preserve">selection </w:t>
            </w:r>
            <w:r w:rsidR="00222C50">
              <w:rPr>
                <w:rFonts w:ascii="Arial" w:hAnsi="Arial" w:cs="Arial"/>
              </w:rPr>
              <w:t>criteria</w:t>
            </w:r>
            <w:r w:rsidR="00D15B3C">
              <w:rPr>
                <w:rFonts w:ascii="Arial" w:hAnsi="Arial" w:cs="Arial"/>
              </w:rPr>
              <w:t xml:space="preserve">. </w:t>
            </w:r>
            <w:r w:rsidR="00C64F54">
              <w:rPr>
                <w:rFonts w:ascii="Arial" w:hAnsi="Arial" w:cs="Arial"/>
              </w:rPr>
              <w:t xml:space="preserve">The </w:t>
            </w:r>
            <w:proofErr w:type="gramStart"/>
            <w:r w:rsidR="00C64F54">
              <w:rPr>
                <w:rFonts w:ascii="Arial" w:hAnsi="Arial" w:cs="Arial"/>
              </w:rPr>
              <w:t>details</w:t>
            </w:r>
            <w:proofErr w:type="gramEnd"/>
            <w:r w:rsidR="00C64F54">
              <w:rPr>
                <w:rFonts w:ascii="Arial" w:hAnsi="Arial" w:cs="Arial"/>
              </w:rPr>
              <w:t xml:space="preserve"> of this assessment is record</w:t>
            </w:r>
            <w:r w:rsidR="00AA413C">
              <w:rPr>
                <w:rFonts w:ascii="Arial" w:hAnsi="Arial" w:cs="Arial"/>
              </w:rPr>
              <w:t>ed</w:t>
            </w:r>
            <w:r w:rsidR="00C64F54">
              <w:rPr>
                <w:rFonts w:ascii="Arial" w:hAnsi="Arial" w:cs="Arial"/>
              </w:rPr>
              <w:t xml:space="preserve"> </w:t>
            </w:r>
            <w:r w:rsidR="00AA13F5">
              <w:rPr>
                <w:rFonts w:ascii="Arial" w:hAnsi="Arial" w:cs="Arial"/>
              </w:rPr>
              <w:t>on the provider and service assessment</w:t>
            </w:r>
            <w:r w:rsidR="00B77982">
              <w:rPr>
                <w:rFonts w:ascii="Arial" w:hAnsi="Arial" w:cs="Arial"/>
              </w:rPr>
              <w:t xml:space="preserve"> </w:t>
            </w:r>
            <w:r w:rsidR="00081829">
              <w:rPr>
                <w:rFonts w:ascii="Arial" w:hAnsi="Arial" w:cs="Arial"/>
              </w:rPr>
              <w:t xml:space="preserve">form </w:t>
            </w:r>
            <w:r w:rsidR="00B77982">
              <w:rPr>
                <w:rFonts w:ascii="Arial" w:hAnsi="Arial" w:cs="Arial"/>
              </w:rPr>
              <w:t>and is</w:t>
            </w:r>
            <w:r w:rsidR="00D56D73">
              <w:rPr>
                <w:rFonts w:ascii="Arial" w:hAnsi="Arial" w:cs="Arial"/>
              </w:rPr>
              <w:t xml:space="preserve"> </w:t>
            </w:r>
            <w:r w:rsidR="00B77982">
              <w:rPr>
                <w:rFonts w:ascii="Arial" w:hAnsi="Arial" w:cs="Arial"/>
              </w:rPr>
              <w:t>r</w:t>
            </w:r>
            <w:r w:rsidR="00EF26DE">
              <w:rPr>
                <w:rFonts w:ascii="Arial" w:hAnsi="Arial" w:cs="Arial"/>
              </w:rPr>
              <w:t>ationale for the award.</w:t>
            </w:r>
            <w:r w:rsidR="00081829">
              <w:rPr>
                <w:rFonts w:ascii="Arial" w:hAnsi="Arial" w:cs="Arial"/>
              </w:rPr>
              <w:t xml:space="preserve"> </w:t>
            </w:r>
            <w:r w:rsidR="00081829">
              <w:rPr>
                <w:rFonts w:ascii="Arial" w:hAnsi="Arial" w:cs="Arial"/>
                <w:i/>
                <w:iCs/>
              </w:rPr>
              <w:t>(update</w:t>
            </w:r>
            <w:r w:rsidR="00BB3571">
              <w:rPr>
                <w:rFonts w:ascii="Arial" w:hAnsi="Arial" w:cs="Arial"/>
                <w:i/>
                <w:iCs/>
              </w:rPr>
              <w:t xml:space="preserve"> weighting</w:t>
            </w:r>
            <w:r w:rsidR="00081829">
              <w:rPr>
                <w:rFonts w:ascii="Arial" w:hAnsi="Arial" w:cs="Arial"/>
                <w:i/>
                <w:iCs/>
              </w:rPr>
              <w:t xml:space="preserve"> if required)</w:t>
            </w:r>
          </w:p>
        </w:tc>
      </w:tr>
      <w:tr w:rsidR="00371161" w:rsidRPr="00CB3687" w14:paraId="25AE5D7B" w14:textId="77777777" w:rsidTr="00640898">
        <w:trPr>
          <w:jc w:val="center"/>
        </w:trPr>
        <w:tc>
          <w:tcPr>
            <w:tcW w:w="5812" w:type="dxa"/>
            <w:shd w:val="clear" w:color="auto" w:fill="CAEDFB" w:themeFill="accent4" w:themeFillTint="33"/>
          </w:tcPr>
          <w:p w14:paraId="72E4715E" w14:textId="628A518A" w:rsidR="00CB3687" w:rsidRPr="00CB3687" w:rsidRDefault="00CB3687">
            <w:pPr>
              <w:rPr>
                <w:rFonts w:ascii="Arial" w:hAnsi="Arial" w:cs="Arial"/>
              </w:rPr>
            </w:pPr>
            <w:r w:rsidRPr="00CB3687">
              <w:rPr>
                <w:rFonts w:ascii="Arial" w:hAnsi="Arial" w:cs="Arial"/>
              </w:rPr>
              <w:t xml:space="preserve">Standstill </w:t>
            </w:r>
            <w:proofErr w:type="gramStart"/>
            <w:r w:rsidRPr="00CB3687">
              <w:rPr>
                <w:rFonts w:ascii="Arial" w:hAnsi="Arial" w:cs="Arial"/>
              </w:rPr>
              <w:t>period</w:t>
            </w:r>
            <w:proofErr w:type="gramEnd"/>
            <w:r w:rsidRPr="00CB3687">
              <w:rPr>
                <w:rFonts w:ascii="Arial" w:hAnsi="Arial" w:cs="Arial"/>
              </w:rPr>
              <w:t xml:space="preserve"> start and end date</w:t>
            </w:r>
          </w:p>
        </w:tc>
        <w:tc>
          <w:tcPr>
            <w:tcW w:w="4814" w:type="dxa"/>
          </w:tcPr>
          <w:p w14:paraId="40DE27EC" w14:textId="2FDB90FC" w:rsidR="00CB3687" w:rsidRPr="00CB3687" w:rsidRDefault="000206D1">
            <w:pPr>
              <w:rPr>
                <w:rFonts w:ascii="Arial" w:hAnsi="Arial" w:cs="Arial"/>
              </w:rPr>
            </w:pPr>
            <w:r>
              <w:rPr>
                <w:rFonts w:ascii="Arial" w:hAnsi="Arial" w:cs="Arial"/>
              </w:rPr>
              <w:t>[</w:t>
            </w:r>
            <w:r w:rsidR="007C7A94">
              <w:rPr>
                <w:rFonts w:ascii="Arial" w:hAnsi="Arial" w:cs="Arial"/>
              </w:rPr>
              <w:t>to be completed by CMT]</w:t>
            </w:r>
          </w:p>
        </w:tc>
      </w:tr>
      <w:tr w:rsidR="00371161" w:rsidRPr="00CB3687" w14:paraId="6CE165E0" w14:textId="77777777" w:rsidTr="00640898">
        <w:trPr>
          <w:jc w:val="center"/>
        </w:trPr>
        <w:tc>
          <w:tcPr>
            <w:tcW w:w="5812" w:type="dxa"/>
            <w:shd w:val="clear" w:color="auto" w:fill="CAEDFB" w:themeFill="accent4" w:themeFillTint="33"/>
          </w:tcPr>
          <w:p w14:paraId="49F2D6E2" w14:textId="5C7ABD8A" w:rsidR="00257696" w:rsidRPr="00CB3687" w:rsidRDefault="00257696" w:rsidP="00257696">
            <w:pPr>
              <w:rPr>
                <w:rFonts w:ascii="Arial" w:hAnsi="Arial" w:cs="Arial"/>
              </w:rPr>
            </w:pPr>
            <w:r w:rsidRPr="00CB3687">
              <w:rPr>
                <w:rFonts w:ascii="Arial" w:hAnsi="Arial" w:cs="Arial"/>
              </w:rPr>
              <w:t>Number of representations received</w:t>
            </w:r>
          </w:p>
        </w:tc>
        <w:tc>
          <w:tcPr>
            <w:tcW w:w="4814" w:type="dxa"/>
          </w:tcPr>
          <w:p w14:paraId="042A7BF0" w14:textId="04D284FB" w:rsidR="00257696" w:rsidRPr="00257696" w:rsidRDefault="00257696" w:rsidP="00257696">
            <w:pPr>
              <w:rPr>
                <w:rFonts w:ascii="Arial" w:hAnsi="Arial" w:cs="Arial"/>
              </w:rPr>
            </w:pPr>
            <w:r w:rsidRPr="00257696">
              <w:rPr>
                <w:rFonts w:ascii="Arial" w:hAnsi="Arial" w:cs="Arial"/>
              </w:rPr>
              <w:t>[to be completed by CMT]</w:t>
            </w:r>
          </w:p>
        </w:tc>
      </w:tr>
      <w:tr w:rsidR="00371161" w:rsidRPr="00CB3687" w14:paraId="1843E9A4" w14:textId="77777777" w:rsidTr="00640898">
        <w:trPr>
          <w:jc w:val="center"/>
        </w:trPr>
        <w:tc>
          <w:tcPr>
            <w:tcW w:w="5812" w:type="dxa"/>
            <w:shd w:val="clear" w:color="auto" w:fill="CAEDFB" w:themeFill="accent4" w:themeFillTint="33"/>
          </w:tcPr>
          <w:p w14:paraId="578FB88B" w14:textId="7CB0CAC7" w:rsidR="00257696" w:rsidRPr="00CB3687" w:rsidRDefault="00257696" w:rsidP="00257696">
            <w:pPr>
              <w:rPr>
                <w:rFonts w:ascii="Arial" w:hAnsi="Arial" w:cs="Arial"/>
              </w:rPr>
            </w:pPr>
            <w:r w:rsidRPr="00CB3687">
              <w:rPr>
                <w:rFonts w:ascii="Arial" w:hAnsi="Arial" w:cs="Arial"/>
              </w:rPr>
              <w:t>Number of representations received where it was identified that there was a failure / potential failure to apply the PSR properly</w:t>
            </w:r>
          </w:p>
        </w:tc>
        <w:tc>
          <w:tcPr>
            <w:tcW w:w="4814" w:type="dxa"/>
          </w:tcPr>
          <w:p w14:paraId="3FA78270" w14:textId="1B444782" w:rsidR="00257696" w:rsidRPr="00257696" w:rsidRDefault="00257696" w:rsidP="00257696">
            <w:pPr>
              <w:rPr>
                <w:rFonts w:ascii="Arial" w:hAnsi="Arial" w:cs="Arial"/>
              </w:rPr>
            </w:pPr>
            <w:r w:rsidRPr="00257696">
              <w:rPr>
                <w:rFonts w:ascii="Arial" w:hAnsi="Arial" w:cs="Arial"/>
              </w:rPr>
              <w:t>[to be completed by CMT]</w:t>
            </w:r>
          </w:p>
        </w:tc>
      </w:tr>
      <w:tr w:rsidR="00371161" w:rsidRPr="00CB3687" w14:paraId="3F390943" w14:textId="77777777" w:rsidTr="00640898">
        <w:trPr>
          <w:jc w:val="center"/>
        </w:trPr>
        <w:tc>
          <w:tcPr>
            <w:tcW w:w="5812" w:type="dxa"/>
            <w:shd w:val="clear" w:color="auto" w:fill="CAEDFB" w:themeFill="accent4" w:themeFillTint="33"/>
          </w:tcPr>
          <w:p w14:paraId="0653AD31" w14:textId="673CC3A1" w:rsidR="00257696" w:rsidRPr="00CB3687" w:rsidRDefault="00257696" w:rsidP="00257696">
            <w:pPr>
              <w:rPr>
                <w:rFonts w:ascii="Arial" w:hAnsi="Arial" w:cs="Arial"/>
              </w:rPr>
            </w:pPr>
            <w:r w:rsidRPr="00CB3687">
              <w:rPr>
                <w:rFonts w:ascii="Arial" w:hAnsi="Arial" w:cs="Arial"/>
              </w:rPr>
              <w:t>Number of the outcome(s) of representations</w:t>
            </w:r>
          </w:p>
        </w:tc>
        <w:tc>
          <w:tcPr>
            <w:tcW w:w="4814" w:type="dxa"/>
          </w:tcPr>
          <w:p w14:paraId="5327F6EF" w14:textId="25781427" w:rsidR="00257696" w:rsidRPr="00257696" w:rsidRDefault="00257696" w:rsidP="00257696">
            <w:pPr>
              <w:rPr>
                <w:rFonts w:ascii="Arial" w:hAnsi="Arial" w:cs="Arial"/>
              </w:rPr>
            </w:pPr>
            <w:r w:rsidRPr="00257696">
              <w:rPr>
                <w:rFonts w:ascii="Arial" w:hAnsi="Arial" w:cs="Arial"/>
              </w:rPr>
              <w:t>[to be completed by CMT]</w:t>
            </w:r>
          </w:p>
        </w:tc>
      </w:tr>
    </w:tbl>
    <w:p w14:paraId="4D1336F5" w14:textId="77777777" w:rsidR="00020741" w:rsidRDefault="00020741">
      <w:pPr>
        <w:rPr>
          <w:rFonts w:ascii="Arial" w:hAnsi="Arial" w:cs="Arial"/>
          <w:b/>
          <w:bCs/>
        </w:rPr>
      </w:pPr>
    </w:p>
    <w:p w14:paraId="1AB09F20" w14:textId="327F8287" w:rsidR="005721BD" w:rsidRDefault="00D76A1F">
      <w:pPr>
        <w:rPr>
          <w:rFonts w:ascii="Arial" w:hAnsi="Arial" w:cs="Arial"/>
          <w:b/>
          <w:bCs/>
          <w:sz w:val="24"/>
          <w:szCs w:val="24"/>
        </w:rPr>
        <w:sectPr w:rsidR="005721BD" w:rsidSect="00322648">
          <w:pgSz w:w="11906" w:h="16838"/>
          <w:pgMar w:top="720" w:right="720" w:bottom="720" w:left="720" w:header="709" w:footer="709" w:gutter="0"/>
          <w:cols w:space="708"/>
          <w:docGrid w:linePitch="360"/>
        </w:sectPr>
      </w:pPr>
      <w:r>
        <w:rPr>
          <w:rFonts w:ascii="Arial" w:hAnsi="Arial" w:cs="Arial"/>
          <w:b/>
          <w:bCs/>
          <w:sz w:val="24"/>
          <w:szCs w:val="24"/>
        </w:rPr>
        <w:t xml:space="preserve">Please complete </w:t>
      </w:r>
      <w:r w:rsidR="00D71E6A">
        <w:rPr>
          <w:rFonts w:ascii="Arial" w:hAnsi="Arial" w:cs="Arial"/>
          <w:b/>
          <w:bCs/>
          <w:sz w:val="24"/>
          <w:szCs w:val="24"/>
        </w:rPr>
        <w:t xml:space="preserve">the next page </w:t>
      </w:r>
      <w:r w:rsidR="004C006F">
        <w:rPr>
          <w:rFonts w:ascii="Arial" w:hAnsi="Arial" w:cs="Arial"/>
          <w:b/>
          <w:bCs/>
          <w:sz w:val="24"/>
          <w:szCs w:val="24"/>
        </w:rPr>
        <w:t>for Direct Award C</w:t>
      </w:r>
    </w:p>
    <w:p w14:paraId="1C1988CB" w14:textId="351631FB" w:rsidR="00AD349D" w:rsidRDefault="00D9465B">
      <w:pPr>
        <w:rPr>
          <w:rFonts w:ascii="Arial" w:hAnsi="Arial" w:cs="Arial"/>
          <w:b/>
          <w:bCs/>
          <w:sz w:val="24"/>
          <w:szCs w:val="24"/>
        </w:rPr>
      </w:pPr>
      <w:r w:rsidRPr="002667FB">
        <w:rPr>
          <w:rFonts w:ascii="Arial" w:hAnsi="Arial" w:cs="Arial"/>
          <w:b/>
          <w:bCs/>
          <w:sz w:val="24"/>
          <w:szCs w:val="24"/>
        </w:rPr>
        <w:lastRenderedPageBreak/>
        <w:t xml:space="preserve">Direct Award C </w:t>
      </w:r>
      <w:r w:rsidR="009A4923">
        <w:rPr>
          <w:rFonts w:ascii="Arial" w:hAnsi="Arial" w:cs="Arial"/>
          <w:b/>
          <w:bCs/>
          <w:sz w:val="24"/>
          <w:szCs w:val="24"/>
        </w:rPr>
        <w:t xml:space="preserve">only </w:t>
      </w:r>
      <w:r w:rsidR="00D5154F">
        <w:rPr>
          <w:rFonts w:ascii="Arial" w:hAnsi="Arial" w:cs="Arial"/>
          <w:b/>
          <w:bCs/>
          <w:sz w:val="24"/>
          <w:szCs w:val="24"/>
        </w:rPr>
        <w:t xml:space="preserve">- </w:t>
      </w:r>
      <w:r w:rsidR="003A1E27" w:rsidRPr="002667FB">
        <w:rPr>
          <w:rFonts w:ascii="Arial" w:hAnsi="Arial" w:cs="Arial"/>
          <w:b/>
          <w:bCs/>
          <w:sz w:val="24"/>
          <w:szCs w:val="24"/>
        </w:rPr>
        <w:t>Service &amp; Provider Assessment</w:t>
      </w:r>
    </w:p>
    <w:p w14:paraId="57E75899" w14:textId="0A8BD42E" w:rsidR="00C70EDF" w:rsidRPr="00997F36" w:rsidRDefault="00C70EDF" w:rsidP="00C70EDF">
      <w:pPr>
        <w:rPr>
          <w:rFonts w:ascii="Arial" w:hAnsi="Arial" w:cs="Arial"/>
          <w:sz w:val="20"/>
          <w:szCs w:val="20"/>
        </w:rPr>
      </w:pPr>
      <w:r w:rsidRPr="00997F36">
        <w:rPr>
          <w:rFonts w:ascii="Arial" w:hAnsi="Arial" w:cs="Arial"/>
          <w:sz w:val="20"/>
          <w:szCs w:val="20"/>
        </w:rPr>
        <w:t>This section is intended to gather evidence of the application of th</w:t>
      </w:r>
      <w:r w:rsidR="00B626C9" w:rsidRPr="00997F36">
        <w:rPr>
          <w:rFonts w:ascii="Arial" w:hAnsi="Arial" w:cs="Arial"/>
          <w:sz w:val="20"/>
          <w:szCs w:val="20"/>
        </w:rPr>
        <w:t>e Key Criteria and Basic Selection Criteria</w:t>
      </w:r>
      <w:r w:rsidRPr="00997F36">
        <w:rPr>
          <w:rFonts w:ascii="Arial" w:hAnsi="Arial" w:cs="Arial"/>
          <w:sz w:val="20"/>
          <w:szCs w:val="20"/>
        </w:rPr>
        <w:t xml:space="preserve"> to any proposed award made under Direct Award Process C</w:t>
      </w:r>
      <w:r w:rsidR="00B626C9" w:rsidRPr="00997F36">
        <w:rPr>
          <w:rFonts w:ascii="Arial" w:hAnsi="Arial" w:cs="Arial"/>
          <w:sz w:val="20"/>
          <w:szCs w:val="20"/>
        </w:rPr>
        <w:t>.</w:t>
      </w:r>
    </w:p>
    <w:p w14:paraId="613EB860" w14:textId="4D3B03D9" w:rsidR="00C70EDF" w:rsidRPr="00997F36" w:rsidRDefault="00C70EDF" w:rsidP="00C70EDF">
      <w:pPr>
        <w:rPr>
          <w:rFonts w:ascii="Arial" w:hAnsi="Arial" w:cs="Arial"/>
          <w:sz w:val="20"/>
          <w:szCs w:val="20"/>
        </w:rPr>
      </w:pPr>
      <w:r w:rsidRPr="00997F36">
        <w:rPr>
          <w:rFonts w:ascii="Arial" w:hAnsi="Arial" w:cs="Arial"/>
          <w:sz w:val="20"/>
          <w:szCs w:val="20"/>
        </w:rPr>
        <w:t xml:space="preserve">The Key Criteria must be weighted as per the guidance and must equal, in total, 100%. </w:t>
      </w:r>
    </w:p>
    <w:p w14:paraId="1E6B8755" w14:textId="0DB9CD88" w:rsidR="00C70EDF" w:rsidRPr="00997F36" w:rsidRDefault="00B626C9">
      <w:pPr>
        <w:rPr>
          <w:rFonts w:ascii="Arial" w:hAnsi="Arial" w:cs="Arial"/>
          <w:b/>
          <w:bCs/>
          <w:sz w:val="24"/>
          <w:szCs w:val="24"/>
        </w:rPr>
      </w:pPr>
      <w:r w:rsidRPr="00997F36">
        <w:rPr>
          <w:rFonts w:ascii="Arial" w:hAnsi="Arial" w:cs="Arial"/>
          <w:sz w:val="20"/>
          <w:szCs w:val="20"/>
        </w:rPr>
        <w:t>Please embed supporting evidence such as service specification, performance/ outcome data, quality requirements etc.</w:t>
      </w:r>
    </w:p>
    <w:p w14:paraId="19CF1CBA" w14:textId="541A29F6" w:rsidR="00874513" w:rsidRPr="00997F36" w:rsidRDefault="00B626C9">
      <w:pPr>
        <w:rPr>
          <w:rFonts w:ascii="Arial" w:hAnsi="Arial" w:cs="Arial"/>
          <w:sz w:val="20"/>
          <w:szCs w:val="20"/>
        </w:rPr>
      </w:pPr>
      <w:r w:rsidRPr="00997F36">
        <w:rPr>
          <w:rFonts w:ascii="Arial" w:hAnsi="Arial" w:cs="Arial"/>
          <w:sz w:val="20"/>
          <w:szCs w:val="20"/>
        </w:rPr>
        <w:t>This is a mandatory requirement for completion</w:t>
      </w:r>
      <w:r w:rsidR="00510360" w:rsidRPr="00997F36">
        <w:rPr>
          <w:rFonts w:ascii="Arial" w:hAnsi="Arial" w:cs="Arial"/>
          <w:sz w:val="20"/>
          <w:szCs w:val="20"/>
        </w:rPr>
        <w:t xml:space="preserve"> and is required to justify the award of contract via Direct Award C. </w:t>
      </w:r>
    </w:p>
    <w:tbl>
      <w:tblPr>
        <w:tblStyle w:val="TableGrid"/>
        <w:tblW w:w="4988" w:type="pct"/>
        <w:jc w:val="center"/>
        <w:tblLayout w:type="fixed"/>
        <w:tblLook w:val="04A0" w:firstRow="1" w:lastRow="0" w:firstColumn="1" w:lastColumn="0" w:noHBand="0" w:noVBand="1"/>
      </w:tblPr>
      <w:tblGrid>
        <w:gridCol w:w="4651"/>
        <w:gridCol w:w="293"/>
        <w:gridCol w:w="4651"/>
        <w:gridCol w:w="285"/>
        <w:gridCol w:w="4645"/>
      </w:tblGrid>
      <w:tr w:rsidR="009B754B" w14:paraId="303B9007" w14:textId="0E59D70C" w:rsidTr="00875EB1">
        <w:trPr>
          <w:jc w:val="center"/>
        </w:trPr>
        <w:tc>
          <w:tcPr>
            <w:tcW w:w="1601" w:type="pct"/>
            <w:shd w:val="clear" w:color="auto" w:fill="DAE9F7" w:themeFill="text2" w:themeFillTint="1A"/>
          </w:tcPr>
          <w:p w14:paraId="2BFE95C7" w14:textId="77777777" w:rsidR="009B754B" w:rsidRDefault="009B754B" w:rsidP="005D6691">
            <w:pPr>
              <w:rPr>
                <w:rFonts w:ascii="Arial" w:hAnsi="Arial" w:cs="Arial"/>
                <w:b/>
                <w:bCs/>
                <w:sz w:val="24"/>
                <w:szCs w:val="24"/>
              </w:rPr>
            </w:pPr>
            <w:r w:rsidRPr="00AE40FA">
              <w:rPr>
                <w:rFonts w:ascii="Arial" w:hAnsi="Arial" w:cs="Arial"/>
                <w:b/>
                <w:bCs/>
                <w:sz w:val="24"/>
                <w:szCs w:val="24"/>
              </w:rPr>
              <w:t>Step 1:</w:t>
            </w:r>
            <w:r w:rsidRPr="006C33D7">
              <w:rPr>
                <w:rFonts w:ascii="Arial" w:hAnsi="Arial" w:cs="Arial"/>
                <w:b/>
                <w:bCs/>
                <w:sz w:val="24"/>
                <w:szCs w:val="24"/>
              </w:rPr>
              <w:t xml:space="preserve"> Service</w:t>
            </w:r>
          </w:p>
          <w:p w14:paraId="6D91F4B1" w14:textId="4E339597" w:rsidR="009B754B" w:rsidRPr="004E2D88" w:rsidRDefault="009B754B" w:rsidP="005D6691">
            <w:pPr>
              <w:rPr>
                <w:rFonts w:ascii="Arial" w:hAnsi="Arial" w:cs="Arial"/>
                <w:i/>
                <w:iCs/>
                <w:sz w:val="16"/>
                <w:szCs w:val="16"/>
              </w:rPr>
            </w:pPr>
            <w:r w:rsidRPr="004E2D88">
              <w:rPr>
                <w:rFonts w:ascii="Arial" w:hAnsi="Arial" w:cs="Arial"/>
                <w:b/>
                <w:bCs/>
                <w:sz w:val="20"/>
                <w:szCs w:val="20"/>
              </w:rPr>
              <w:t xml:space="preserve">Decide on the key criteria for the </w:t>
            </w:r>
            <w:proofErr w:type="gramStart"/>
            <w:r w:rsidRPr="004E2D88">
              <w:rPr>
                <w:rFonts w:ascii="Arial" w:hAnsi="Arial" w:cs="Arial"/>
                <w:b/>
                <w:bCs/>
                <w:sz w:val="20"/>
                <w:szCs w:val="20"/>
              </w:rPr>
              <w:t>service</w:t>
            </w:r>
            <w:proofErr w:type="gramEnd"/>
            <w:r w:rsidRPr="004E2D88">
              <w:rPr>
                <w:rFonts w:ascii="Arial" w:hAnsi="Arial" w:cs="Arial"/>
                <w:i/>
                <w:iCs/>
                <w:sz w:val="16"/>
                <w:szCs w:val="16"/>
              </w:rPr>
              <w:t xml:space="preserve"> </w:t>
            </w:r>
          </w:p>
          <w:p w14:paraId="13652483" w14:textId="77777777" w:rsidR="009B754B" w:rsidRPr="00BA7658" w:rsidRDefault="009B754B" w:rsidP="005D6691">
            <w:pPr>
              <w:rPr>
                <w:rFonts w:ascii="Arial" w:hAnsi="Arial" w:cs="Arial"/>
                <w:i/>
                <w:iCs/>
                <w:sz w:val="18"/>
                <w:szCs w:val="18"/>
              </w:rPr>
            </w:pPr>
            <w:r w:rsidRPr="00BA7658">
              <w:rPr>
                <w:rFonts w:ascii="Arial" w:hAnsi="Arial" w:cs="Arial"/>
                <w:i/>
                <w:iCs/>
                <w:sz w:val="18"/>
                <w:szCs w:val="18"/>
              </w:rPr>
              <w:t>Relevant authorities must:</w:t>
            </w:r>
          </w:p>
          <w:p w14:paraId="2A3672F5" w14:textId="77777777" w:rsidR="009B754B" w:rsidRPr="00BA7658" w:rsidRDefault="009B754B" w:rsidP="005D6691">
            <w:pPr>
              <w:pStyle w:val="ListParagraph"/>
              <w:numPr>
                <w:ilvl w:val="0"/>
                <w:numId w:val="5"/>
              </w:numPr>
              <w:rPr>
                <w:rFonts w:ascii="Arial" w:hAnsi="Arial" w:cs="Arial"/>
                <w:i/>
                <w:iCs/>
                <w:sz w:val="18"/>
                <w:szCs w:val="18"/>
              </w:rPr>
            </w:pPr>
            <w:r w:rsidRPr="00BA7658">
              <w:rPr>
                <w:rFonts w:ascii="Arial" w:hAnsi="Arial" w:cs="Arial"/>
                <w:i/>
                <w:iCs/>
                <w:sz w:val="18"/>
                <w:szCs w:val="18"/>
              </w:rPr>
              <w:t xml:space="preserve">Have a clear understanding of the service they want to </w:t>
            </w:r>
            <w:proofErr w:type="gramStart"/>
            <w:r w:rsidRPr="00BA7658">
              <w:rPr>
                <w:rFonts w:ascii="Arial" w:hAnsi="Arial" w:cs="Arial"/>
                <w:i/>
                <w:iCs/>
                <w:sz w:val="18"/>
                <w:szCs w:val="18"/>
              </w:rPr>
              <w:t>arrange</w:t>
            </w:r>
            <w:proofErr w:type="gramEnd"/>
          </w:p>
          <w:p w14:paraId="6419B4C3" w14:textId="77777777" w:rsidR="009B754B" w:rsidRDefault="009B754B" w:rsidP="005D6691">
            <w:pPr>
              <w:pStyle w:val="ListParagraph"/>
              <w:numPr>
                <w:ilvl w:val="0"/>
                <w:numId w:val="5"/>
              </w:numPr>
              <w:rPr>
                <w:rFonts w:ascii="Arial" w:hAnsi="Arial" w:cs="Arial"/>
                <w:i/>
                <w:iCs/>
                <w:sz w:val="18"/>
                <w:szCs w:val="18"/>
              </w:rPr>
            </w:pPr>
            <w:r w:rsidRPr="00BA7658">
              <w:rPr>
                <w:rFonts w:ascii="Arial" w:hAnsi="Arial" w:cs="Arial"/>
                <w:i/>
                <w:iCs/>
                <w:sz w:val="18"/>
                <w:szCs w:val="18"/>
              </w:rPr>
              <w:t xml:space="preserve">The outcomes they are intending to </w:t>
            </w:r>
            <w:proofErr w:type="gramStart"/>
            <w:r w:rsidRPr="00BA7658">
              <w:rPr>
                <w:rFonts w:ascii="Arial" w:hAnsi="Arial" w:cs="Arial"/>
                <w:i/>
                <w:iCs/>
                <w:sz w:val="18"/>
                <w:szCs w:val="18"/>
              </w:rPr>
              <w:t>deliver</w:t>
            </w:r>
            <w:proofErr w:type="gramEnd"/>
          </w:p>
          <w:p w14:paraId="36241C85" w14:textId="1835D42E" w:rsidR="009B754B" w:rsidRPr="005D6691" w:rsidRDefault="009B754B" w:rsidP="005D6691">
            <w:pPr>
              <w:pStyle w:val="ListParagraph"/>
              <w:numPr>
                <w:ilvl w:val="0"/>
                <w:numId w:val="5"/>
              </w:numPr>
              <w:rPr>
                <w:rFonts w:ascii="Arial" w:hAnsi="Arial" w:cs="Arial"/>
                <w:i/>
                <w:iCs/>
                <w:sz w:val="18"/>
                <w:szCs w:val="18"/>
              </w:rPr>
            </w:pPr>
            <w:r w:rsidRPr="005D6691">
              <w:rPr>
                <w:rFonts w:ascii="Arial" w:hAnsi="Arial" w:cs="Arial"/>
                <w:i/>
                <w:iCs/>
                <w:sz w:val="18"/>
                <w:szCs w:val="18"/>
              </w:rPr>
              <w:t>Decide on the relative importance of each of the key criteria for the service</w:t>
            </w:r>
          </w:p>
        </w:tc>
        <w:tc>
          <w:tcPr>
            <w:tcW w:w="101" w:type="pct"/>
            <w:shd w:val="clear" w:color="auto" w:fill="BFBFBF" w:themeFill="background1" w:themeFillShade="BF"/>
          </w:tcPr>
          <w:p w14:paraId="7C846733" w14:textId="77777777" w:rsidR="009B754B" w:rsidRPr="00AE40FA" w:rsidRDefault="009B754B" w:rsidP="005914CB">
            <w:pPr>
              <w:rPr>
                <w:rFonts w:ascii="Arial" w:hAnsi="Arial" w:cs="Arial"/>
                <w:b/>
                <w:bCs/>
                <w:sz w:val="24"/>
                <w:szCs w:val="24"/>
              </w:rPr>
            </w:pPr>
          </w:p>
        </w:tc>
        <w:tc>
          <w:tcPr>
            <w:tcW w:w="1601" w:type="pct"/>
            <w:shd w:val="clear" w:color="auto" w:fill="DAE9F7" w:themeFill="text2" w:themeFillTint="1A"/>
          </w:tcPr>
          <w:p w14:paraId="0A192681" w14:textId="0C679323" w:rsidR="009B754B" w:rsidRDefault="009B754B" w:rsidP="005914CB">
            <w:pPr>
              <w:rPr>
                <w:rFonts w:ascii="Arial" w:hAnsi="Arial" w:cs="Arial"/>
                <w:b/>
                <w:bCs/>
                <w:sz w:val="24"/>
                <w:szCs w:val="24"/>
              </w:rPr>
            </w:pPr>
            <w:r w:rsidRPr="00AE40FA">
              <w:rPr>
                <w:rFonts w:ascii="Arial" w:hAnsi="Arial" w:cs="Arial"/>
                <w:b/>
                <w:bCs/>
                <w:sz w:val="24"/>
                <w:szCs w:val="24"/>
              </w:rPr>
              <w:t xml:space="preserve">Step </w:t>
            </w:r>
            <w:r>
              <w:rPr>
                <w:rFonts w:ascii="Arial" w:hAnsi="Arial" w:cs="Arial"/>
                <w:b/>
                <w:bCs/>
                <w:sz w:val="24"/>
                <w:szCs w:val="24"/>
              </w:rPr>
              <w:t>2</w:t>
            </w:r>
            <w:r w:rsidRPr="00AE40FA">
              <w:rPr>
                <w:rFonts w:ascii="Arial" w:hAnsi="Arial" w:cs="Arial"/>
                <w:b/>
                <w:bCs/>
                <w:sz w:val="24"/>
                <w:szCs w:val="24"/>
              </w:rPr>
              <w:t>:</w:t>
            </w:r>
            <w:r w:rsidRPr="006C33D7">
              <w:rPr>
                <w:rFonts w:ascii="Arial" w:hAnsi="Arial" w:cs="Arial"/>
                <w:b/>
                <w:bCs/>
                <w:sz w:val="24"/>
                <w:szCs w:val="24"/>
              </w:rPr>
              <w:t xml:space="preserve"> </w:t>
            </w:r>
            <w:r>
              <w:rPr>
                <w:rFonts w:ascii="Arial" w:hAnsi="Arial" w:cs="Arial"/>
                <w:b/>
                <w:bCs/>
                <w:sz w:val="24"/>
                <w:szCs w:val="24"/>
              </w:rPr>
              <w:t>Provider</w:t>
            </w:r>
          </w:p>
          <w:p w14:paraId="01E6E9E6" w14:textId="77777777" w:rsidR="009B754B" w:rsidRPr="004E2D88" w:rsidRDefault="009B754B" w:rsidP="005914CB">
            <w:pPr>
              <w:rPr>
                <w:rFonts w:ascii="Arial" w:hAnsi="Arial" w:cs="Arial"/>
                <w:i/>
                <w:iCs/>
                <w:sz w:val="16"/>
                <w:szCs w:val="16"/>
              </w:rPr>
            </w:pPr>
            <w:r w:rsidRPr="009D1EFA">
              <w:rPr>
                <w:rFonts w:ascii="Arial" w:hAnsi="Arial" w:cs="Arial"/>
                <w:b/>
                <w:bCs/>
                <w:sz w:val="20"/>
                <w:szCs w:val="20"/>
              </w:rPr>
              <w:t xml:space="preserve">Assess the existing provider's current performance against the existing contract considering the established key </w:t>
            </w:r>
            <w:proofErr w:type="gramStart"/>
            <w:r w:rsidRPr="009D1EFA">
              <w:rPr>
                <w:rFonts w:ascii="Arial" w:hAnsi="Arial" w:cs="Arial"/>
                <w:b/>
                <w:bCs/>
                <w:sz w:val="20"/>
                <w:szCs w:val="20"/>
              </w:rPr>
              <w:t>criteria</w:t>
            </w:r>
            <w:proofErr w:type="gramEnd"/>
          </w:p>
          <w:p w14:paraId="12A7D787" w14:textId="77777777" w:rsidR="009B754B" w:rsidRPr="0080086C" w:rsidRDefault="009B754B" w:rsidP="005914CB">
            <w:pPr>
              <w:rPr>
                <w:rFonts w:ascii="Arial" w:hAnsi="Arial" w:cs="Arial"/>
                <w:i/>
                <w:iCs/>
                <w:sz w:val="18"/>
                <w:szCs w:val="18"/>
              </w:rPr>
            </w:pPr>
            <w:r w:rsidRPr="0080086C">
              <w:rPr>
                <w:rFonts w:ascii="Arial" w:hAnsi="Arial" w:cs="Arial"/>
                <w:i/>
                <w:iCs/>
                <w:sz w:val="18"/>
                <w:szCs w:val="18"/>
              </w:rPr>
              <w:t>Relevant authorities must:</w:t>
            </w:r>
          </w:p>
          <w:p w14:paraId="4C0407A6" w14:textId="426AF3A5" w:rsidR="009B754B" w:rsidRPr="00636678" w:rsidRDefault="009B754B" w:rsidP="00636678">
            <w:pPr>
              <w:pStyle w:val="ListParagraph"/>
              <w:numPr>
                <w:ilvl w:val="0"/>
                <w:numId w:val="5"/>
              </w:numPr>
              <w:rPr>
                <w:rFonts w:ascii="Arial" w:hAnsi="Arial" w:cs="Arial"/>
                <w:i/>
                <w:iCs/>
                <w:sz w:val="18"/>
                <w:szCs w:val="18"/>
              </w:rPr>
            </w:pPr>
            <w:r w:rsidRPr="00636678">
              <w:rPr>
                <w:rFonts w:ascii="Arial" w:hAnsi="Arial" w:cs="Arial"/>
                <w:i/>
                <w:iCs/>
                <w:sz w:val="18"/>
                <w:szCs w:val="18"/>
              </w:rPr>
              <w:t>Use the key criteria identified in Step 1</w:t>
            </w:r>
          </w:p>
          <w:p w14:paraId="07DA415C" w14:textId="77777777" w:rsidR="009B754B" w:rsidRDefault="009B754B" w:rsidP="00F41DD5">
            <w:pPr>
              <w:pStyle w:val="ListParagraph"/>
              <w:numPr>
                <w:ilvl w:val="0"/>
                <w:numId w:val="5"/>
              </w:numPr>
              <w:rPr>
                <w:rFonts w:ascii="Arial" w:hAnsi="Arial" w:cs="Arial"/>
                <w:i/>
                <w:iCs/>
                <w:sz w:val="18"/>
                <w:szCs w:val="18"/>
              </w:rPr>
            </w:pPr>
            <w:r w:rsidRPr="00636678">
              <w:rPr>
                <w:rFonts w:ascii="Arial" w:hAnsi="Arial" w:cs="Arial"/>
                <w:i/>
                <w:iCs/>
                <w:sz w:val="18"/>
                <w:szCs w:val="18"/>
              </w:rPr>
              <w:t xml:space="preserve">Apply the key criteria to the existing </w:t>
            </w:r>
            <w:proofErr w:type="gramStart"/>
            <w:r w:rsidRPr="00636678">
              <w:rPr>
                <w:rFonts w:ascii="Arial" w:hAnsi="Arial" w:cs="Arial"/>
                <w:i/>
                <w:iCs/>
                <w:sz w:val="18"/>
                <w:szCs w:val="18"/>
              </w:rPr>
              <w:t>provider</w:t>
            </w:r>
            <w:proofErr w:type="gramEnd"/>
          </w:p>
          <w:p w14:paraId="3E6CDF0E" w14:textId="74E4C804" w:rsidR="009B754B" w:rsidRPr="00F41DD5" w:rsidRDefault="009B754B" w:rsidP="00F41DD5">
            <w:pPr>
              <w:pStyle w:val="ListParagraph"/>
              <w:numPr>
                <w:ilvl w:val="0"/>
                <w:numId w:val="5"/>
              </w:numPr>
              <w:rPr>
                <w:rFonts w:ascii="Arial" w:hAnsi="Arial" w:cs="Arial"/>
                <w:i/>
                <w:iCs/>
                <w:sz w:val="18"/>
                <w:szCs w:val="18"/>
              </w:rPr>
            </w:pPr>
            <w:r w:rsidRPr="00F41DD5">
              <w:rPr>
                <w:rFonts w:ascii="Arial" w:hAnsi="Arial" w:cs="Arial"/>
                <w:i/>
                <w:iCs/>
                <w:sz w:val="18"/>
                <w:szCs w:val="18"/>
              </w:rPr>
              <w:t>Decide whether the provider is satisfying the existing contract to a sufficient standard</w:t>
            </w:r>
          </w:p>
        </w:tc>
        <w:tc>
          <w:tcPr>
            <w:tcW w:w="98" w:type="pct"/>
            <w:shd w:val="clear" w:color="auto" w:fill="BFBFBF" w:themeFill="background1" w:themeFillShade="BF"/>
          </w:tcPr>
          <w:p w14:paraId="10C4FD41" w14:textId="77777777" w:rsidR="009B754B" w:rsidRPr="00AE40FA" w:rsidRDefault="009B754B" w:rsidP="005914CB">
            <w:pPr>
              <w:rPr>
                <w:rFonts w:ascii="Arial" w:hAnsi="Arial" w:cs="Arial"/>
                <w:b/>
                <w:bCs/>
                <w:sz w:val="24"/>
                <w:szCs w:val="24"/>
              </w:rPr>
            </w:pPr>
          </w:p>
        </w:tc>
        <w:tc>
          <w:tcPr>
            <w:tcW w:w="1599" w:type="pct"/>
            <w:shd w:val="clear" w:color="auto" w:fill="DAE9F7" w:themeFill="text2" w:themeFillTint="1A"/>
          </w:tcPr>
          <w:p w14:paraId="6ABDADD4" w14:textId="00AD3B34" w:rsidR="009B754B" w:rsidRDefault="009B754B" w:rsidP="005914CB">
            <w:pPr>
              <w:rPr>
                <w:rFonts w:ascii="Arial" w:hAnsi="Arial" w:cs="Arial"/>
                <w:b/>
                <w:bCs/>
                <w:sz w:val="24"/>
                <w:szCs w:val="24"/>
              </w:rPr>
            </w:pPr>
            <w:r w:rsidRPr="00AE40FA">
              <w:rPr>
                <w:rFonts w:ascii="Arial" w:hAnsi="Arial" w:cs="Arial"/>
                <w:b/>
                <w:bCs/>
                <w:sz w:val="24"/>
                <w:szCs w:val="24"/>
              </w:rPr>
              <w:t xml:space="preserve">Step </w:t>
            </w:r>
            <w:r>
              <w:rPr>
                <w:rFonts w:ascii="Arial" w:hAnsi="Arial" w:cs="Arial"/>
                <w:b/>
                <w:bCs/>
                <w:sz w:val="24"/>
                <w:szCs w:val="24"/>
              </w:rPr>
              <w:t>3</w:t>
            </w:r>
            <w:r w:rsidRPr="00AE40FA">
              <w:rPr>
                <w:rFonts w:ascii="Arial" w:hAnsi="Arial" w:cs="Arial"/>
                <w:b/>
                <w:bCs/>
                <w:sz w:val="24"/>
                <w:szCs w:val="24"/>
              </w:rPr>
              <w:t>:</w:t>
            </w:r>
            <w:r w:rsidRPr="006C33D7">
              <w:rPr>
                <w:rFonts w:ascii="Arial" w:hAnsi="Arial" w:cs="Arial"/>
                <w:b/>
                <w:bCs/>
                <w:sz w:val="24"/>
                <w:szCs w:val="24"/>
              </w:rPr>
              <w:t xml:space="preserve"> </w:t>
            </w:r>
            <w:r>
              <w:rPr>
                <w:rFonts w:ascii="Arial" w:hAnsi="Arial" w:cs="Arial"/>
                <w:b/>
                <w:bCs/>
                <w:sz w:val="24"/>
                <w:szCs w:val="24"/>
              </w:rPr>
              <w:t>Provider</w:t>
            </w:r>
          </w:p>
          <w:p w14:paraId="09C28FE9" w14:textId="77777777" w:rsidR="009B754B" w:rsidRPr="004E2D88" w:rsidRDefault="009B754B" w:rsidP="005914CB">
            <w:pPr>
              <w:rPr>
                <w:rFonts w:ascii="Arial" w:hAnsi="Arial" w:cs="Arial"/>
                <w:i/>
                <w:iCs/>
                <w:sz w:val="16"/>
                <w:szCs w:val="16"/>
              </w:rPr>
            </w:pPr>
            <w:r w:rsidRPr="00430D54">
              <w:rPr>
                <w:rFonts w:ascii="Arial" w:hAnsi="Arial" w:cs="Arial"/>
                <w:b/>
                <w:bCs/>
                <w:sz w:val="20"/>
                <w:szCs w:val="20"/>
              </w:rPr>
              <w:t xml:space="preserve">Assess the existing provider's likely future performance against the new contract taking into account the established key </w:t>
            </w:r>
            <w:proofErr w:type="gramStart"/>
            <w:r w:rsidRPr="00430D54">
              <w:rPr>
                <w:rFonts w:ascii="Arial" w:hAnsi="Arial" w:cs="Arial"/>
                <w:b/>
                <w:bCs/>
                <w:sz w:val="20"/>
                <w:szCs w:val="20"/>
              </w:rPr>
              <w:t>criteria</w:t>
            </w:r>
            <w:proofErr w:type="gramEnd"/>
          </w:p>
          <w:p w14:paraId="081794B8" w14:textId="77777777" w:rsidR="009B754B" w:rsidRPr="0080086C" w:rsidRDefault="009B754B" w:rsidP="005914CB">
            <w:pPr>
              <w:rPr>
                <w:rFonts w:ascii="Arial" w:hAnsi="Arial" w:cs="Arial"/>
                <w:i/>
                <w:iCs/>
                <w:sz w:val="18"/>
                <w:szCs w:val="18"/>
              </w:rPr>
            </w:pPr>
            <w:r w:rsidRPr="0080086C">
              <w:rPr>
                <w:rFonts w:ascii="Arial" w:hAnsi="Arial" w:cs="Arial"/>
                <w:i/>
                <w:iCs/>
                <w:sz w:val="18"/>
                <w:szCs w:val="18"/>
              </w:rPr>
              <w:t>Relevant authorities must:</w:t>
            </w:r>
          </w:p>
          <w:p w14:paraId="0BB11DBB" w14:textId="77777777" w:rsidR="009B754B" w:rsidRPr="00E72E1E" w:rsidRDefault="009B754B" w:rsidP="005914CB">
            <w:pPr>
              <w:pStyle w:val="ListParagraph"/>
              <w:numPr>
                <w:ilvl w:val="0"/>
                <w:numId w:val="5"/>
              </w:numPr>
              <w:rPr>
                <w:rFonts w:ascii="Arial" w:hAnsi="Arial" w:cs="Arial"/>
                <w:i/>
                <w:iCs/>
                <w:sz w:val="18"/>
                <w:szCs w:val="18"/>
              </w:rPr>
            </w:pPr>
            <w:r w:rsidRPr="00E72E1E">
              <w:rPr>
                <w:rFonts w:ascii="Arial" w:hAnsi="Arial" w:cs="Arial"/>
                <w:i/>
                <w:iCs/>
                <w:sz w:val="18"/>
                <w:szCs w:val="18"/>
              </w:rPr>
              <w:t>Use the key criteria identified in Step 1</w:t>
            </w:r>
          </w:p>
          <w:p w14:paraId="1B65DB51" w14:textId="77777777" w:rsidR="009B754B" w:rsidRDefault="009B754B" w:rsidP="00F41DD5">
            <w:pPr>
              <w:pStyle w:val="ListParagraph"/>
              <w:numPr>
                <w:ilvl w:val="0"/>
                <w:numId w:val="5"/>
              </w:numPr>
              <w:rPr>
                <w:rFonts w:ascii="Arial" w:hAnsi="Arial" w:cs="Arial"/>
                <w:i/>
                <w:iCs/>
                <w:sz w:val="18"/>
                <w:szCs w:val="18"/>
              </w:rPr>
            </w:pPr>
            <w:r w:rsidRPr="00E72E1E">
              <w:rPr>
                <w:rFonts w:ascii="Arial" w:hAnsi="Arial" w:cs="Arial"/>
                <w:i/>
                <w:iCs/>
                <w:sz w:val="18"/>
                <w:szCs w:val="18"/>
              </w:rPr>
              <w:t xml:space="preserve">Apply the key criteria to the existing </w:t>
            </w:r>
            <w:proofErr w:type="gramStart"/>
            <w:r w:rsidRPr="00E72E1E">
              <w:rPr>
                <w:rFonts w:ascii="Arial" w:hAnsi="Arial" w:cs="Arial"/>
                <w:i/>
                <w:iCs/>
                <w:sz w:val="18"/>
                <w:szCs w:val="18"/>
              </w:rPr>
              <w:t>provider</w:t>
            </w:r>
            <w:proofErr w:type="gramEnd"/>
          </w:p>
          <w:p w14:paraId="279B9A16" w14:textId="4DD2647D" w:rsidR="009B754B" w:rsidRPr="00F41DD5" w:rsidRDefault="009B754B" w:rsidP="00F41DD5">
            <w:pPr>
              <w:pStyle w:val="ListParagraph"/>
              <w:numPr>
                <w:ilvl w:val="0"/>
                <w:numId w:val="5"/>
              </w:numPr>
              <w:rPr>
                <w:rFonts w:ascii="Arial" w:hAnsi="Arial" w:cs="Arial"/>
                <w:i/>
                <w:iCs/>
                <w:sz w:val="18"/>
                <w:szCs w:val="18"/>
              </w:rPr>
            </w:pPr>
            <w:r w:rsidRPr="00F41DD5">
              <w:rPr>
                <w:rFonts w:ascii="Arial" w:hAnsi="Arial" w:cs="Arial"/>
                <w:i/>
                <w:iCs/>
                <w:sz w:val="18"/>
                <w:szCs w:val="18"/>
              </w:rPr>
              <w:t>Decide whether the provider will be able to satisfy the new contract to a sufficient standard</w:t>
            </w:r>
          </w:p>
        </w:tc>
      </w:tr>
      <w:tr w:rsidR="009B754B" w14:paraId="545EE5F6" w14:textId="32954FC1" w:rsidTr="00225CED">
        <w:trPr>
          <w:trHeight w:val="70"/>
          <w:jc w:val="center"/>
        </w:trPr>
        <w:tc>
          <w:tcPr>
            <w:tcW w:w="5000" w:type="pct"/>
            <w:gridSpan w:val="5"/>
            <w:shd w:val="clear" w:color="auto" w:fill="DAE9F7" w:themeFill="text2" w:themeFillTint="1A"/>
          </w:tcPr>
          <w:p w14:paraId="2A69624D" w14:textId="77777777" w:rsidR="009B754B" w:rsidRDefault="009B754B" w:rsidP="005778FE">
            <w:pPr>
              <w:rPr>
                <w:rFonts w:ascii="Arial" w:hAnsi="Arial" w:cs="Arial"/>
                <w:b/>
                <w:bCs/>
                <w:sz w:val="20"/>
                <w:szCs w:val="20"/>
              </w:rPr>
            </w:pPr>
            <w:r w:rsidRPr="005778FE">
              <w:rPr>
                <w:rFonts w:ascii="Arial" w:hAnsi="Arial" w:cs="Arial"/>
                <w:b/>
                <w:bCs/>
                <w:sz w:val="20"/>
                <w:szCs w:val="20"/>
              </w:rPr>
              <w:t>Key Criteria 1.  Quality and innovation</w:t>
            </w:r>
          </w:p>
          <w:p w14:paraId="27ECF3A0" w14:textId="77777777" w:rsidR="009B754B" w:rsidRDefault="009B754B" w:rsidP="005778FE">
            <w:pPr>
              <w:rPr>
                <w:rFonts w:ascii="Arial" w:hAnsi="Arial" w:cs="Arial"/>
                <w:i/>
                <w:iCs/>
                <w:sz w:val="18"/>
                <w:szCs w:val="18"/>
              </w:rPr>
            </w:pPr>
            <w:r w:rsidRPr="005778FE">
              <w:rPr>
                <w:rFonts w:ascii="Arial" w:hAnsi="Arial" w:cs="Arial"/>
                <w:i/>
                <w:iCs/>
                <w:sz w:val="18"/>
                <w:szCs w:val="18"/>
              </w:rPr>
              <w:t>Relative authorities must give due consideration to how well providers are able to deliver high quality care when deciding who to arrange services with.</w:t>
            </w:r>
          </w:p>
          <w:p w14:paraId="252167B9" w14:textId="75FE1515" w:rsidR="009B754B" w:rsidRPr="005778FE" w:rsidRDefault="009B754B" w:rsidP="005778FE">
            <w:pPr>
              <w:rPr>
                <w:rFonts w:ascii="Arial" w:hAnsi="Arial" w:cs="Arial"/>
                <w:b/>
                <w:bCs/>
                <w:sz w:val="20"/>
                <w:szCs w:val="20"/>
              </w:rPr>
            </w:pPr>
            <w:r w:rsidRPr="005778FE">
              <w:rPr>
                <w:rFonts w:ascii="Arial" w:hAnsi="Arial" w:cs="Arial"/>
                <w:i/>
                <w:iCs/>
                <w:sz w:val="18"/>
                <w:szCs w:val="18"/>
              </w:rPr>
              <w:t>Relevant authorities must ensure they assess the extent to which an arrangement with a provider could generate new and significant improvements in the promotion and adoption of proven innovations in care delivery.</w:t>
            </w:r>
          </w:p>
        </w:tc>
      </w:tr>
      <w:tr w:rsidR="009B754B" w14:paraId="6E4D71FF" w14:textId="60DF29BA" w:rsidTr="00E127FF">
        <w:trPr>
          <w:trHeight w:val="1474"/>
          <w:jc w:val="center"/>
        </w:trPr>
        <w:tc>
          <w:tcPr>
            <w:tcW w:w="1601" w:type="pct"/>
            <w:shd w:val="clear" w:color="auto" w:fill="auto"/>
          </w:tcPr>
          <w:p w14:paraId="131A3EDB" w14:textId="77777777" w:rsidR="009B754B" w:rsidRPr="00503E4B" w:rsidRDefault="009B754B" w:rsidP="005778FE">
            <w:pPr>
              <w:rPr>
                <w:rFonts w:ascii="Arial" w:hAnsi="Arial" w:cs="Arial"/>
                <w:sz w:val="20"/>
                <w:szCs w:val="20"/>
              </w:rPr>
            </w:pPr>
          </w:p>
          <w:p w14:paraId="1BE9AAE2" w14:textId="77777777" w:rsidR="009B754B" w:rsidRPr="00503E4B" w:rsidRDefault="009B754B" w:rsidP="005778FE">
            <w:pPr>
              <w:rPr>
                <w:rFonts w:ascii="Arial" w:hAnsi="Arial" w:cs="Arial"/>
                <w:sz w:val="20"/>
                <w:szCs w:val="20"/>
              </w:rPr>
            </w:pPr>
          </w:p>
        </w:tc>
        <w:tc>
          <w:tcPr>
            <w:tcW w:w="101" w:type="pct"/>
            <w:shd w:val="clear" w:color="auto" w:fill="BFBFBF" w:themeFill="background1" w:themeFillShade="BF"/>
          </w:tcPr>
          <w:p w14:paraId="68E8137E" w14:textId="77777777" w:rsidR="009B754B" w:rsidRPr="00503E4B" w:rsidRDefault="009B754B" w:rsidP="005778FE">
            <w:pPr>
              <w:rPr>
                <w:rFonts w:ascii="Arial" w:hAnsi="Arial" w:cs="Arial"/>
                <w:sz w:val="20"/>
                <w:szCs w:val="20"/>
              </w:rPr>
            </w:pPr>
          </w:p>
        </w:tc>
        <w:tc>
          <w:tcPr>
            <w:tcW w:w="1601" w:type="pct"/>
            <w:shd w:val="clear" w:color="auto" w:fill="auto"/>
          </w:tcPr>
          <w:p w14:paraId="526DFDC6" w14:textId="7D4C0851" w:rsidR="009B754B" w:rsidRPr="00503E4B" w:rsidRDefault="009B754B" w:rsidP="005778FE">
            <w:pPr>
              <w:rPr>
                <w:rFonts w:ascii="Arial" w:hAnsi="Arial" w:cs="Arial"/>
                <w:sz w:val="20"/>
                <w:szCs w:val="20"/>
              </w:rPr>
            </w:pPr>
          </w:p>
        </w:tc>
        <w:tc>
          <w:tcPr>
            <w:tcW w:w="98" w:type="pct"/>
            <w:shd w:val="clear" w:color="auto" w:fill="BFBFBF" w:themeFill="background1" w:themeFillShade="BF"/>
          </w:tcPr>
          <w:p w14:paraId="705245BF" w14:textId="77777777" w:rsidR="009B754B" w:rsidRPr="00503E4B" w:rsidRDefault="009B754B" w:rsidP="005778FE">
            <w:pPr>
              <w:rPr>
                <w:rFonts w:ascii="Arial" w:hAnsi="Arial" w:cs="Arial"/>
                <w:sz w:val="20"/>
                <w:szCs w:val="20"/>
              </w:rPr>
            </w:pPr>
          </w:p>
        </w:tc>
        <w:tc>
          <w:tcPr>
            <w:tcW w:w="1599" w:type="pct"/>
            <w:shd w:val="clear" w:color="auto" w:fill="auto"/>
          </w:tcPr>
          <w:p w14:paraId="6C50BB08" w14:textId="58953D01" w:rsidR="009B754B" w:rsidRPr="00503E4B" w:rsidRDefault="009B754B" w:rsidP="005778FE">
            <w:pPr>
              <w:rPr>
                <w:rFonts w:ascii="Arial" w:hAnsi="Arial" w:cs="Arial"/>
                <w:sz w:val="20"/>
                <w:szCs w:val="20"/>
              </w:rPr>
            </w:pPr>
          </w:p>
        </w:tc>
      </w:tr>
      <w:tr w:rsidR="00225CED" w14:paraId="3598B5EC" w14:textId="57ED092E" w:rsidTr="00225CED">
        <w:trPr>
          <w:trHeight w:val="70"/>
          <w:jc w:val="center"/>
        </w:trPr>
        <w:tc>
          <w:tcPr>
            <w:tcW w:w="5000" w:type="pct"/>
            <w:gridSpan w:val="5"/>
            <w:shd w:val="clear" w:color="auto" w:fill="DAE9F7" w:themeFill="text2" w:themeFillTint="1A"/>
          </w:tcPr>
          <w:p w14:paraId="065A720A" w14:textId="77777777" w:rsidR="00225CED" w:rsidRDefault="00225CED" w:rsidP="00D842F3">
            <w:pPr>
              <w:rPr>
                <w:rFonts w:ascii="Arial" w:hAnsi="Arial" w:cs="Arial"/>
                <w:b/>
                <w:bCs/>
                <w:sz w:val="20"/>
                <w:szCs w:val="20"/>
              </w:rPr>
            </w:pPr>
            <w:r w:rsidRPr="00D842F3">
              <w:rPr>
                <w:rFonts w:ascii="Arial" w:hAnsi="Arial" w:cs="Arial"/>
                <w:b/>
                <w:bCs/>
                <w:sz w:val="20"/>
                <w:szCs w:val="20"/>
              </w:rPr>
              <w:t>Key Criteria 2.  Value</w:t>
            </w:r>
          </w:p>
          <w:p w14:paraId="3B862040" w14:textId="277D5056" w:rsidR="00225CED" w:rsidRPr="00D842F3" w:rsidRDefault="00225CED" w:rsidP="00D842F3">
            <w:pPr>
              <w:rPr>
                <w:rFonts w:ascii="Arial" w:hAnsi="Arial" w:cs="Arial"/>
                <w:b/>
                <w:bCs/>
                <w:sz w:val="20"/>
                <w:szCs w:val="20"/>
              </w:rPr>
            </w:pPr>
            <w:r w:rsidRPr="00D842F3">
              <w:rPr>
                <w:rFonts w:ascii="Arial" w:hAnsi="Arial" w:cs="Arial"/>
                <w:i/>
                <w:iCs/>
                <w:sz w:val="18"/>
                <w:szCs w:val="18"/>
              </w:rPr>
              <w:t>Relevant authorities must give due consideration to the value offered by a service, in terms of the balance of costs, overall benefits and the financial implications of an arrangement.</w:t>
            </w:r>
          </w:p>
        </w:tc>
      </w:tr>
      <w:tr w:rsidR="009B754B" w14:paraId="74FEAFD0" w14:textId="2AF47304" w:rsidTr="00E127FF">
        <w:trPr>
          <w:trHeight w:val="1474"/>
          <w:jc w:val="center"/>
        </w:trPr>
        <w:tc>
          <w:tcPr>
            <w:tcW w:w="1601" w:type="pct"/>
            <w:shd w:val="clear" w:color="auto" w:fill="auto"/>
          </w:tcPr>
          <w:p w14:paraId="5E1DA549" w14:textId="77777777" w:rsidR="009B754B" w:rsidRPr="00503E4B" w:rsidRDefault="009B754B" w:rsidP="00D842F3">
            <w:pPr>
              <w:rPr>
                <w:rFonts w:ascii="Arial" w:hAnsi="Arial" w:cs="Arial"/>
                <w:sz w:val="20"/>
                <w:szCs w:val="20"/>
              </w:rPr>
            </w:pPr>
          </w:p>
          <w:p w14:paraId="2A575FB0" w14:textId="77777777" w:rsidR="009B754B" w:rsidRPr="00503E4B" w:rsidRDefault="009B754B" w:rsidP="00D842F3">
            <w:pPr>
              <w:rPr>
                <w:rFonts w:ascii="Arial" w:hAnsi="Arial" w:cs="Arial"/>
                <w:sz w:val="20"/>
                <w:szCs w:val="20"/>
              </w:rPr>
            </w:pPr>
          </w:p>
        </w:tc>
        <w:tc>
          <w:tcPr>
            <w:tcW w:w="101" w:type="pct"/>
            <w:shd w:val="clear" w:color="auto" w:fill="BFBFBF" w:themeFill="background1" w:themeFillShade="BF"/>
          </w:tcPr>
          <w:p w14:paraId="39DD2D73" w14:textId="77777777" w:rsidR="009B754B" w:rsidRPr="00503E4B" w:rsidRDefault="009B754B" w:rsidP="00D842F3">
            <w:pPr>
              <w:rPr>
                <w:rFonts w:ascii="Arial" w:hAnsi="Arial" w:cs="Arial"/>
                <w:sz w:val="20"/>
                <w:szCs w:val="20"/>
              </w:rPr>
            </w:pPr>
          </w:p>
        </w:tc>
        <w:tc>
          <w:tcPr>
            <w:tcW w:w="1601" w:type="pct"/>
            <w:shd w:val="clear" w:color="auto" w:fill="auto"/>
          </w:tcPr>
          <w:p w14:paraId="1C665557" w14:textId="737DBD89" w:rsidR="009B754B" w:rsidRPr="00503E4B" w:rsidRDefault="009B754B" w:rsidP="00D842F3">
            <w:pPr>
              <w:rPr>
                <w:rFonts w:ascii="Arial" w:hAnsi="Arial" w:cs="Arial"/>
                <w:sz w:val="20"/>
                <w:szCs w:val="20"/>
              </w:rPr>
            </w:pPr>
          </w:p>
        </w:tc>
        <w:tc>
          <w:tcPr>
            <w:tcW w:w="98" w:type="pct"/>
            <w:shd w:val="clear" w:color="auto" w:fill="BFBFBF" w:themeFill="background1" w:themeFillShade="BF"/>
          </w:tcPr>
          <w:p w14:paraId="40E54F68" w14:textId="77777777" w:rsidR="009B754B" w:rsidRPr="00503E4B" w:rsidRDefault="009B754B" w:rsidP="00D842F3">
            <w:pPr>
              <w:rPr>
                <w:rFonts w:ascii="Arial" w:hAnsi="Arial" w:cs="Arial"/>
                <w:sz w:val="20"/>
                <w:szCs w:val="20"/>
              </w:rPr>
            </w:pPr>
          </w:p>
        </w:tc>
        <w:tc>
          <w:tcPr>
            <w:tcW w:w="1599" w:type="pct"/>
            <w:shd w:val="clear" w:color="auto" w:fill="auto"/>
          </w:tcPr>
          <w:p w14:paraId="7EED2622" w14:textId="581F3947" w:rsidR="009B754B" w:rsidRPr="00503E4B" w:rsidRDefault="009B754B" w:rsidP="00D842F3">
            <w:pPr>
              <w:rPr>
                <w:rFonts w:ascii="Arial" w:hAnsi="Arial" w:cs="Arial"/>
                <w:sz w:val="20"/>
                <w:szCs w:val="20"/>
              </w:rPr>
            </w:pPr>
          </w:p>
        </w:tc>
      </w:tr>
      <w:tr w:rsidR="00225CED" w14:paraId="52AA12D3" w14:textId="3EFD9078" w:rsidTr="00225CED">
        <w:trPr>
          <w:trHeight w:val="70"/>
          <w:jc w:val="center"/>
        </w:trPr>
        <w:tc>
          <w:tcPr>
            <w:tcW w:w="5000" w:type="pct"/>
            <w:gridSpan w:val="5"/>
            <w:shd w:val="clear" w:color="auto" w:fill="DAE9F7" w:themeFill="text2" w:themeFillTint="1A"/>
          </w:tcPr>
          <w:p w14:paraId="35EF98E4" w14:textId="77777777" w:rsidR="00225CED" w:rsidRDefault="00225CED" w:rsidP="00474DA4">
            <w:pPr>
              <w:rPr>
                <w:rFonts w:ascii="Arial" w:hAnsi="Arial" w:cs="Arial"/>
                <w:b/>
                <w:bCs/>
                <w:sz w:val="20"/>
                <w:szCs w:val="20"/>
              </w:rPr>
            </w:pPr>
            <w:r>
              <w:rPr>
                <w:rFonts w:ascii="Arial" w:hAnsi="Arial" w:cs="Arial"/>
                <w:b/>
                <w:bCs/>
                <w:sz w:val="20"/>
                <w:szCs w:val="20"/>
              </w:rPr>
              <w:t>K</w:t>
            </w:r>
            <w:r w:rsidRPr="00474DA4">
              <w:rPr>
                <w:rFonts w:ascii="Arial" w:hAnsi="Arial" w:cs="Arial"/>
                <w:b/>
                <w:bCs/>
                <w:sz w:val="20"/>
                <w:szCs w:val="20"/>
              </w:rPr>
              <w:t xml:space="preserve">ey </w:t>
            </w:r>
            <w:r>
              <w:rPr>
                <w:rFonts w:ascii="Arial" w:hAnsi="Arial" w:cs="Arial"/>
                <w:b/>
                <w:bCs/>
                <w:sz w:val="20"/>
                <w:szCs w:val="20"/>
              </w:rPr>
              <w:t>C</w:t>
            </w:r>
            <w:r w:rsidRPr="00474DA4">
              <w:rPr>
                <w:rFonts w:ascii="Arial" w:hAnsi="Arial" w:cs="Arial"/>
                <w:b/>
                <w:bCs/>
                <w:sz w:val="20"/>
                <w:szCs w:val="20"/>
              </w:rPr>
              <w:t xml:space="preserve">riteria 3.  Integration, </w:t>
            </w:r>
            <w:proofErr w:type="gramStart"/>
            <w:r>
              <w:rPr>
                <w:rFonts w:ascii="Arial" w:hAnsi="Arial" w:cs="Arial"/>
                <w:b/>
                <w:bCs/>
                <w:sz w:val="20"/>
                <w:szCs w:val="20"/>
              </w:rPr>
              <w:t>c</w:t>
            </w:r>
            <w:r w:rsidRPr="00474DA4">
              <w:rPr>
                <w:rFonts w:ascii="Arial" w:hAnsi="Arial" w:cs="Arial"/>
                <w:b/>
                <w:bCs/>
                <w:sz w:val="20"/>
                <w:szCs w:val="20"/>
              </w:rPr>
              <w:t>ollaboration</w:t>
            </w:r>
            <w:proofErr w:type="gramEnd"/>
            <w:r w:rsidRPr="00474DA4">
              <w:rPr>
                <w:rFonts w:ascii="Arial" w:hAnsi="Arial" w:cs="Arial"/>
                <w:b/>
                <w:bCs/>
                <w:sz w:val="20"/>
                <w:szCs w:val="20"/>
              </w:rPr>
              <w:t xml:space="preserve"> and service sustainability</w:t>
            </w:r>
          </w:p>
          <w:p w14:paraId="209C0E6F" w14:textId="62B39CB2" w:rsidR="00225CED" w:rsidRDefault="00225CED" w:rsidP="00474DA4">
            <w:pPr>
              <w:rPr>
                <w:rFonts w:ascii="Arial" w:hAnsi="Arial" w:cs="Arial"/>
                <w:b/>
                <w:bCs/>
                <w:sz w:val="20"/>
                <w:szCs w:val="20"/>
              </w:rPr>
            </w:pPr>
            <w:r w:rsidRPr="00474DA4">
              <w:rPr>
                <w:rFonts w:ascii="Arial" w:hAnsi="Arial" w:cs="Arial"/>
                <w:i/>
                <w:iCs/>
                <w:sz w:val="18"/>
                <w:szCs w:val="18"/>
              </w:rPr>
              <w:t>Relevant authorities must consider the extent to which their decisions are consistent with local and national NHS plans and the importance of services being provided in an integrated and collaborative way, and in a way that improves health outcomes and in a way that seeks to secure the stability of good quality health care services or service continuity of health care services.</w:t>
            </w:r>
          </w:p>
        </w:tc>
      </w:tr>
      <w:tr w:rsidR="009B754B" w14:paraId="54181047" w14:textId="10718086" w:rsidTr="00E127FF">
        <w:trPr>
          <w:trHeight w:val="1474"/>
          <w:jc w:val="center"/>
        </w:trPr>
        <w:tc>
          <w:tcPr>
            <w:tcW w:w="1601" w:type="pct"/>
            <w:shd w:val="clear" w:color="auto" w:fill="auto"/>
          </w:tcPr>
          <w:p w14:paraId="5E8A81D1" w14:textId="77777777" w:rsidR="009B754B" w:rsidRPr="00503E4B" w:rsidRDefault="009B754B" w:rsidP="00474DA4">
            <w:pPr>
              <w:rPr>
                <w:rFonts w:ascii="Arial" w:hAnsi="Arial" w:cs="Arial"/>
                <w:sz w:val="20"/>
                <w:szCs w:val="20"/>
              </w:rPr>
            </w:pPr>
          </w:p>
          <w:p w14:paraId="7919211B" w14:textId="77777777" w:rsidR="009B754B" w:rsidRPr="00503E4B" w:rsidRDefault="009B754B" w:rsidP="00474DA4">
            <w:pPr>
              <w:rPr>
                <w:rFonts w:ascii="Arial" w:hAnsi="Arial" w:cs="Arial"/>
                <w:sz w:val="20"/>
                <w:szCs w:val="20"/>
              </w:rPr>
            </w:pPr>
          </w:p>
        </w:tc>
        <w:tc>
          <w:tcPr>
            <w:tcW w:w="101" w:type="pct"/>
            <w:shd w:val="clear" w:color="auto" w:fill="BFBFBF" w:themeFill="background1" w:themeFillShade="BF"/>
          </w:tcPr>
          <w:p w14:paraId="38C7FE56" w14:textId="77777777" w:rsidR="009B754B" w:rsidRPr="00503E4B" w:rsidRDefault="009B754B" w:rsidP="00474DA4">
            <w:pPr>
              <w:rPr>
                <w:rFonts w:ascii="Arial" w:hAnsi="Arial" w:cs="Arial"/>
                <w:sz w:val="20"/>
                <w:szCs w:val="20"/>
              </w:rPr>
            </w:pPr>
          </w:p>
        </w:tc>
        <w:tc>
          <w:tcPr>
            <w:tcW w:w="1601" w:type="pct"/>
            <w:shd w:val="clear" w:color="auto" w:fill="auto"/>
          </w:tcPr>
          <w:p w14:paraId="52E4CEA3" w14:textId="7E12F82E" w:rsidR="009B754B" w:rsidRPr="00503E4B" w:rsidRDefault="009B754B" w:rsidP="00474DA4">
            <w:pPr>
              <w:rPr>
                <w:rFonts w:ascii="Arial" w:hAnsi="Arial" w:cs="Arial"/>
                <w:sz w:val="20"/>
                <w:szCs w:val="20"/>
              </w:rPr>
            </w:pPr>
          </w:p>
        </w:tc>
        <w:tc>
          <w:tcPr>
            <w:tcW w:w="98" w:type="pct"/>
            <w:shd w:val="clear" w:color="auto" w:fill="BFBFBF" w:themeFill="background1" w:themeFillShade="BF"/>
          </w:tcPr>
          <w:p w14:paraId="67DF4EE0" w14:textId="77777777" w:rsidR="009B754B" w:rsidRPr="00503E4B" w:rsidRDefault="009B754B" w:rsidP="00474DA4">
            <w:pPr>
              <w:rPr>
                <w:rFonts w:ascii="Arial" w:hAnsi="Arial" w:cs="Arial"/>
                <w:sz w:val="20"/>
                <w:szCs w:val="20"/>
              </w:rPr>
            </w:pPr>
          </w:p>
        </w:tc>
        <w:tc>
          <w:tcPr>
            <w:tcW w:w="1599" w:type="pct"/>
            <w:shd w:val="clear" w:color="auto" w:fill="auto"/>
          </w:tcPr>
          <w:p w14:paraId="6D5C4109" w14:textId="30271F0F" w:rsidR="009B754B" w:rsidRPr="00503E4B" w:rsidRDefault="009B754B" w:rsidP="00474DA4">
            <w:pPr>
              <w:rPr>
                <w:rFonts w:ascii="Arial" w:hAnsi="Arial" w:cs="Arial"/>
                <w:sz w:val="20"/>
                <w:szCs w:val="20"/>
              </w:rPr>
            </w:pPr>
          </w:p>
        </w:tc>
      </w:tr>
      <w:tr w:rsidR="00225CED" w14:paraId="27E0C908" w14:textId="310300FE" w:rsidTr="00225CED">
        <w:trPr>
          <w:trHeight w:val="70"/>
          <w:jc w:val="center"/>
        </w:trPr>
        <w:tc>
          <w:tcPr>
            <w:tcW w:w="5000" w:type="pct"/>
            <w:gridSpan w:val="5"/>
            <w:shd w:val="clear" w:color="auto" w:fill="DAE9F7" w:themeFill="text2" w:themeFillTint="1A"/>
          </w:tcPr>
          <w:p w14:paraId="13EAE989" w14:textId="77777777" w:rsidR="00225CED" w:rsidRDefault="00225CED" w:rsidP="00323E50">
            <w:pPr>
              <w:rPr>
                <w:rFonts w:ascii="Arial" w:hAnsi="Arial" w:cs="Arial"/>
                <w:b/>
                <w:bCs/>
                <w:sz w:val="20"/>
                <w:szCs w:val="20"/>
              </w:rPr>
            </w:pPr>
            <w:r>
              <w:rPr>
                <w:rFonts w:ascii="Arial" w:hAnsi="Arial" w:cs="Arial"/>
                <w:b/>
                <w:bCs/>
                <w:sz w:val="20"/>
                <w:szCs w:val="20"/>
              </w:rPr>
              <w:t>K</w:t>
            </w:r>
            <w:r w:rsidRPr="00323E50">
              <w:rPr>
                <w:rFonts w:ascii="Arial" w:hAnsi="Arial" w:cs="Arial"/>
                <w:b/>
                <w:bCs/>
                <w:sz w:val="20"/>
                <w:szCs w:val="20"/>
              </w:rPr>
              <w:t xml:space="preserve">ey </w:t>
            </w:r>
            <w:r>
              <w:rPr>
                <w:rFonts w:ascii="Arial" w:hAnsi="Arial" w:cs="Arial"/>
                <w:b/>
                <w:bCs/>
                <w:sz w:val="20"/>
                <w:szCs w:val="20"/>
              </w:rPr>
              <w:t>C</w:t>
            </w:r>
            <w:r w:rsidRPr="00323E50">
              <w:rPr>
                <w:rFonts w:ascii="Arial" w:hAnsi="Arial" w:cs="Arial"/>
                <w:b/>
                <w:bCs/>
                <w:sz w:val="20"/>
                <w:szCs w:val="20"/>
              </w:rPr>
              <w:t xml:space="preserve">riteria 4.  Improving access, reducing health </w:t>
            </w:r>
            <w:proofErr w:type="gramStart"/>
            <w:r w:rsidRPr="00323E50">
              <w:rPr>
                <w:rFonts w:ascii="Arial" w:hAnsi="Arial" w:cs="Arial"/>
                <w:b/>
                <w:bCs/>
                <w:sz w:val="20"/>
                <w:szCs w:val="20"/>
              </w:rPr>
              <w:t>inequalities</w:t>
            </w:r>
            <w:proofErr w:type="gramEnd"/>
            <w:r w:rsidRPr="00323E50">
              <w:rPr>
                <w:rFonts w:ascii="Arial" w:hAnsi="Arial" w:cs="Arial"/>
                <w:b/>
                <w:bCs/>
                <w:sz w:val="20"/>
                <w:szCs w:val="20"/>
              </w:rPr>
              <w:t xml:space="preserve"> and facilitating choice</w:t>
            </w:r>
          </w:p>
          <w:p w14:paraId="5B49CD30" w14:textId="67E90FE2" w:rsidR="00225CED" w:rsidRDefault="00225CED" w:rsidP="00323E50">
            <w:pPr>
              <w:rPr>
                <w:rFonts w:ascii="Arial" w:hAnsi="Arial" w:cs="Arial"/>
                <w:b/>
                <w:bCs/>
                <w:sz w:val="20"/>
                <w:szCs w:val="20"/>
              </w:rPr>
            </w:pPr>
            <w:r>
              <w:rPr>
                <w:rFonts w:ascii="Arial" w:hAnsi="Arial" w:cs="Arial"/>
                <w:i/>
                <w:iCs/>
                <w:sz w:val="18"/>
                <w:szCs w:val="18"/>
              </w:rPr>
              <w:t>Re</w:t>
            </w:r>
            <w:r w:rsidRPr="001C1E17">
              <w:rPr>
                <w:rFonts w:ascii="Arial" w:hAnsi="Arial" w:cs="Arial"/>
                <w:i/>
                <w:iCs/>
                <w:sz w:val="18"/>
                <w:szCs w:val="18"/>
              </w:rPr>
              <w:t>levant authorities must consider the importance of accessibility to services and treatments for all eligible patients, the need to tackle health inequalities and the importance of ensuring that patients have choice in respect of their health care.</w:t>
            </w:r>
          </w:p>
        </w:tc>
      </w:tr>
      <w:tr w:rsidR="009B754B" w14:paraId="13132455" w14:textId="365B87E6" w:rsidTr="00E127FF">
        <w:trPr>
          <w:trHeight w:val="1474"/>
          <w:jc w:val="center"/>
        </w:trPr>
        <w:tc>
          <w:tcPr>
            <w:tcW w:w="1601" w:type="pct"/>
            <w:shd w:val="clear" w:color="auto" w:fill="auto"/>
          </w:tcPr>
          <w:p w14:paraId="443AD160" w14:textId="77777777" w:rsidR="009B754B" w:rsidRPr="00503E4B" w:rsidRDefault="009B754B" w:rsidP="00323E50">
            <w:pPr>
              <w:rPr>
                <w:rFonts w:ascii="Arial" w:hAnsi="Arial" w:cs="Arial"/>
                <w:sz w:val="20"/>
                <w:szCs w:val="20"/>
              </w:rPr>
            </w:pPr>
          </w:p>
          <w:p w14:paraId="2C45F6A0" w14:textId="77777777" w:rsidR="009B754B" w:rsidRPr="00503E4B" w:rsidRDefault="009B754B" w:rsidP="00323E50">
            <w:pPr>
              <w:rPr>
                <w:rFonts w:ascii="Arial" w:hAnsi="Arial" w:cs="Arial"/>
                <w:sz w:val="20"/>
                <w:szCs w:val="20"/>
              </w:rPr>
            </w:pPr>
          </w:p>
        </w:tc>
        <w:tc>
          <w:tcPr>
            <w:tcW w:w="101" w:type="pct"/>
            <w:shd w:val="clear" w:color="auto" w:fill="BFBFBF" w:themeFill="background1" w:themeFillShade="BF"/>
          </w:tcPr>
          <w:p w14:paraId="08A79B4D" w14:textId="77777777" w:rsidR="009B754B" w:rsidRPr="00503E4B" w:rsidRDefault="009B754B" w:rsidP="00323E50">
            <w:pPr>
              <w:rPr>
                <w:rFonts w:ascii="Arial" w:hAnsi="Arial" w:cs="Arial"/>
                <w:sz w:val="20"/>
                <w:szCs w:val="20"/>
              </w:rPr>
            </w:pPr>
          </w:p>
        </w:tc>
        <w:tc>
          <w:tcPr>
            <w:tcW w:w="1601" w:type="pct"/>
            <w:shd w:val="clear" w:color="auto" w:fill="auto"/>
          </w:tcPr>
          <w:p w14:paraId="0BFFD5DD" w14:textId="3DFC070F" w:rsidR="009B754B" w:rsidRPr="00503E4B" w:rsidRDefault="009B754B" w:rsidP="00323E50">
            <w:pPr>
              <w:rPr>
                <w:rFonts w:ascii="Arial" w:hAnsi="Arial" w:cs="Arial"/>
                <w:sz w:val="20"/>
                <w:szCs w:val="20"/>
              </w:rPr>
            </w:pPr>
          </w:p>
        </w:tc>
        <w:tc>
          <w:tcPr>
            <w:tcW w:w="98" w:type="pct"/>
            <w:shd w:val="clear" w:color="auto" w:fill="BFBFBF" w:themeFill="background1" w:themeFillShade="BF"/>
          </w:tcPr>
          <w:p w14:paraId="5194EE55" w14:textId="77777777" w:rsidR="009B754B" w:rsidRPr="00503E4B" w:rsidRDefault="009B754B" w:rsidP="00323E50">
            <w:pPr>
              <w:rPr>
                <w:rFonts w:ascii="Arial" w:hAnsi="Arial" w:cs="Arial"/>
                <w:sz w:val="20"/>
                <w:szCs w:val="20"/>
              </w:rPr>
            </w:pPr>
          </w:p>
        </w:tc>
        <w:tc>
          <w:tcPr>
            <w:tcW w:w="1599" w:type="pct"/>
            <w:shd w:val="clear" w:color="auto" w:fill="auto"/>
          </w:tcPr>
          <w:p w14:paraId="70795EF0" w14:textId="6055AB2E" w:rsidR="009B754B" w:rsidRPr="00503E4B" w:rsidRDefault="009B754B" w:rsidP="00323E50">
            <w:pPr>
              <w:rPr>
                <w:rFonts w:ascii="Arial" w:hAnsi="Arial" w:cs="Arial"/>
                <w:sz w:val="20"/>
                <w:szCs w:val="20"/>
              </w:rPr>
            </w:pPr>
          </w:p>
        </w:tc>
      </w:tr>
      <w:tr w:rsidR="00225CED" w14:paraId="1A88E0B8" w14:textId="2C1C988B" w:rsidTr="00225CED">
        <w:trPr>
          <w:trHeight w:val="70"/>
          <w:jc w:val="center"/>
        </w:trPr>
        <w:tc>
          <w:tcPr>
            <w:tcW w:w="5000" w:type="pct"/>
            <w:gridSpan w:val="5"/>
            <w:shd w:val="clear" w:color="auto" w:fill="DAE9F7" w:themeFill="text2" w:themeFillTint="1A"/>
          </w:tcPr>
          <w:p w14:paraId="6E5FF03A" w14:textId="77777777" w:rsidR="00225CED" w:rsidRDefault="00225CED" w:rsidP="00954990">
            <w:pPr>
              <w:rPr>
                <w:rFonts w:ascii="Arial" w:hAnsi="Arial" w:cs="Arial"/>
                <w:b/>
                <w:bCs/>
                <w:sz w:val="20"/>
                <w:szCs w:val="20"/>
              </w:rPr>
            </w:pPr>
            <w:r>
              <w:rPr>
                <w:rFonts w:ascii="Arial" w:hAnsi="Arial" w:cs="Arial"/>
                <w:b/>
                <w:bCs/>
                <w:sz w:val="20"/>
                <w:szCs w:val="20"/>
              </w:rPr>
              <w:t>K</w:t>
            </w:r>
            <w:r w:rsidRPr="00954990">
              <w:rPr>
                <w:rFonts w:ascii="Arial" w:hAnsi="Arial" w:cs="Arial"/>
                <w:b/>
                <w:bCs/>
                <w:sz w:val="20"/>
                <w:szCs w:val="20"/>
              </w:rPr>
              <w:t xml:space="preserve">ey </w:t>
            </w:r>
            <w:r>
              <w:rPr>
                <w:rFonts w:ascii="Arial" w:hAnsi="Arial" w:cs="Arial"/>
                <w:b/>
                <w:bCs/>
                <w:sz w:val="20"/>
                <w:szCs w:val="20"/>
              </w:rPr>
              <w:t>C</w:t>
            </w:r>
            <w:r w:rsidRPr="00954990">
              <w:rPr>
                <w:rFonts w:ascii="Arial" w:hAnsi="Arial" w:cs="Arial"/>
                <w:b/>
                <w:bCs/>
                <w:sz w:val="20"/>
                <w:szCs w:val="20"/>
              </w:rPr>
              <w:t>riteria 5.  Social value</w:t>
            </w:r>
          </w:p>
          <w:p w14:paraId="6014DA92" w14:textId="1E962AF3" w:rsidR="00225CED" w:rsidRDefault="00225CED" w:rsidP="00954990">
            <w:pPr>
              <w:rPr>
                <w:rFonts w:ascii="Arial" w:hAnsi="Arial" w:cs="Arial"/>
                <w:b/>
                <w:bCs/>
                <w:sz w:val="20"/>
                <w:szCs w:val="20"/>
              </w:rPr>
            </w:pPr>
            <w:r w:rsidRPr="00954990">
              <w:rPr>
                <w:rFonts w:ascii="Arial" w:hAnsi="Arial" w:cs="Arial"/>
                <w:i/>
                <w:iCs/>
                <w:sz w:val="18"/>
                <w:szCs w:val="18"/>
              </w:rPr>
              <w:t>Relevant authorities must consider whether what is proposed might improve economic, social, and environmental well-being of the area relevant to an arrangement.</w:t>
            </w:r>
            <w:r w:rsidRPr="00954990">
              <w:rPr>
                <w:rFonts w:ascii="Arial" w:hAnsi="Arial" w:cs="Arial"/>
                <w:i/>
                <w:iCs/>
                <w:sz w:val="18"/>
                <w:szCs w:val="18"/>
              </w:rPr>
              <w:tab/>
            </w:r>
          </w:p>
        </w:tc>
      </w:tr>
      <w:tr w:rsidR="009B754B" w14:paraId="1EEA2886" w14:textId="659DBB72" w:rsidTr="00E127FF">
        <w:trPr>
          <w:trHeight w:val="1474"/>
          <w:jc w:val="center"/>
        </w:trPr>
        <w:tc>
          <w:tcPr>
            <w:tcW w:w="1601" w:type="pct"/>
            <w:shd w:val="clear" w:color="auto" w:fill="auto"/>
          </w:tcPr>
          <w:p w14:paraId="6B0BCA30" w14:textId="77777777" w:rsidR="009B754B" w:rsidRPr="00503E4B" w:rsidRDefault="009B754B" w:rsidP="00954990">
            <w:pPr>
              <w:rPr>
                <w:rFonts w:ascii="Arial" w:hAnsi="Arial" w:cs="Arial"/>
                <w:sz w:val="20"/>
                <w:szCs w:val="20"/>
              </w:rPr>
            </w:pPr>
          </w:p>
          <w:p w14:paraId="3003DAB5" w14:textId="77777777" w:rsidR="009B754B" w:rsidRPr="00503E4B" w:rsidRDefault="009B754B" w:rsidP="00954990">
            <w:pPr>
              <w:rPr>
                <w:rFonts w:ascii="Arial" w:hAnsi="Arial" w:cs="Arial"/>
                <w:sz w:val="20"/>
                <w:szCs w:val="20"/>
              </w:rPr>
            </w:pPr>
          </w:p>
        </w:tc>
        <w:tc>
          <w:tcPr>
            <w:tcW w:w="101" w:type="pct"/>
            <w:shd w:val="clear" w:color="auto" w:fill="BFBFBF" w:themeFill="background1" w:themeFillShade="BF"/>
          </w:tcPr>
          <w:p w14:paraId="4C98C99D" w14:textId="77777777" w:rsidR="009B754B" w:rsidRPr="00503E4B" w:rsidRDefault="009B754B" w:rsidP="00954990">
            <w:pPr>
              <w:rPr>
                <w:rFonts w:ascii="Arial" w:hAnsi="Arial" w:cs="Arial"/>
                <w:sz w:val="20"/>
                <w:szCs w:val="20"/>
              </w:rPr>
            </w:pPr>
          </w:p>
        </w:tc>
        <w:tc>
          <w:tcPr>
            <w:tcW w:w="1601" w:type="pct"/>
            <w:shd w:val="clear" w:color="auto" w:fill="auto"/>
          </w:tcPr>
          <w:p w14:paraId="1C76787A" w14:textId="3736CE65" w:rsidR="009B754B" w:rsidRPr="00503E4B" w:rsidRDefault="009B754B" w:rsidP="00954990">
            <w:pPr>
              <w:rPr>
                <w:rFonts w:ascii="Arial" w:hAnsi="Arial" w:cs="Arial"/>
                <w:sz w:val="20"/>
                <w:szCs w:val="20"/>
              </w:rPr>
            </w:pPr>
          </w:p>
        </w:tc>
        <w:tc>
          <w:tcPr>
            <w:tcW w:w="98" w:type="pct"/>
            <w:shd w:val="clear" w:color="auto" w:fill="BFBFBF" w:themeFill="background1" w:themeFillShade="BF"/>
          </w:tcPr>
          <w:p w14:paraId="41EA04AF" w14:textId="77777777" w:rsidR="009B754B" w:rsidRPr="00503E4B" w:rsidRDefault="009B754B" w:rsidP="00954990">
            <w:pPr>
              <w:rPr>
                <w:rFonts w:ascii="Arial" w:hAnsi="Arial" w:cs="Arial"/>
                <w:sz w:val="20"/>
                <w:szCs w:val="20"/>
              </w:rPr>
            </w:pPr>
          </w:p>
        </w:tc>
        <w:tc>
          <w:tcPr>
            <w:tcW w:w="1599" w:type="pct"/>
            <w:shd w:val="clear" w:color="auto" w:fill="auto"/>
          </w:tcPr>
          <w:p w14:paraId="6F2CDFF9" w14:textId="04BC2BD4" w:rsidR="009B754B" w:rsidRPr="00503E4B" w:rsidRDefault="009B754B" w:rsidP="00954990">
            <w:pPr>
              <w:rPr>
                <w:rFonts w:ascii="Arial" w:hAnsi="Arial" w:cs="Arial"/>
                <w:sz w:val="20"/>
                <w:szCs w:val="20"/>
              </w:rPr>
            </w:pPr>
          </w:p>
        </w:tc>
      </w:tr>
    </w:tbl>
    <w:p w14:paraId="34F5D336" w14:textId="3A5C9C40" w:rsidR="008A3B30" w:rsidRDefault="008A3B30" w:rsidP="00F021D6">
      <w:pPr>
        <w:spacing w:after="0"/>
        <w:rPr>
          <w:rFonts w:ascii="Arial" w:hAnsi="Arial" w:cs="Arial"/>
          <w:b/>
          <w:bCs/>
        </w:rPr>
      </w:pPr>
    </w:p>
    <w:tbl>
      <w:tblPr>
        <w:tblStyle w:val="TableGrid"/>
        <w:tblW w:w="5000" w:type="pct"/>
        <w:jc w:val="center"/>
        <w:tblLook w:val="04A0" w:firstRow="1" w:lastRow="0" w:firstColumn="1" w:lastColumn="0" w:noHBand="0" w:noVBand="1"/>
      </w:tblPr>
      <w:tblGrid>
        <w:gridCol w:w="14560"/>
      </w:tblGrid>
      <w:tr w:rsidR="00F021D6" w:rsidRPr="00E72E1E" w14:paraId="749DF9AC" w14:textId="77777777" w:rsidTr="00875EB1">
        <w:trPr>
          <w:jc w:val="center"/>
        </w:trPr>
        <w:tc>
          <w:tcPr>
            <w:tcW w:w="5000" w:type="pct"/>
            <w:shd w:val="clear" w:color="auto" w:fill="DAE9F7" w:themeFill="text2" w:themeFillTint="1A"/>
          </w:tcPr>
          <w:p w14:paraId="6BE28960" w14:textId="28AA40E9" w:rsidR="00F021D6" w:rsidRPr="00997F36" w:rsidRDefault="00F021D6" w:rsidP="00F021D6">
            <w:pPr>
              <w:rPr>
                <w:rFonts w:ascii="Arial" w:hAnsi="Arial" w:cs="Arial"/>
                <w:i/>
                <w:iCs/>
                <w:sz w:val="20"/>
                <w:szCs w:val="20"/>
              </w:rPr>
            </w:pPr>
            <w:r w:rsidRPr="00F021D6">
              <w:rPr>
                <w:rFonts w:ascii="Arial" w:hAnsi="Arial" w:cs="Arial"/>
                <w:b/>
                <w:bCs/>
                <w:sz w:val="24"/>
                <w:szCs w:val="24"/>
              </w:rPr>
              <w:t>Basic selection criteria</w:t>
            </w:r>
            <w:r w:rsidR="009A34E8">
              <w:rPr>
                <w:rFonts w:ascii="Arial" w:hAnsi="Arial" w:cs="Arial"/>
                <w:b/>
                <w:bCs/>
                <w:sz w:val="24"/>
                <w:szCs w:val="24"/>
              </w:rPr>
              <w:t xml:space="preserve"> </w:t>
            </w:r>
            <w:r w:rsidR="00026367">
              <w:rPr>
                <w:rFonts w:ascii="Arial" w:hAnsi="Arial" w:cs="Arial"/>
                <w:i/>
                <w:iCs/>
                <w:sz w:val="20"/>
                <w:szCs w:val="20"/>
              </w:rPr>
              <w:t xml:space="preserve">Refer to </w:t>
            </w:r>
            <w:r w:rsidR="00597137">
              <w:rPr>
                <w:rFonts w:ascii="Arial" w:hAnsi="Arial" w:cs="Arial"/>
                <w:i/>
                <w:iCs/>
                <w:sz w:val="20"/>
                <w:szCs w:val="20"/>
              </w:rPr>
              <w:t xml:space="preserve">the statutory </w:t>
            </w:r>
            <w:hyperlink r:id="rId15" w:anchor="applying-the-regime" w:history="1">
              <w:r w:rsidR="006A5B18" w:rsidRPr="006A5B18">
                <w:rPr>
                  <w:rStyle w:val="Hyperlink"/>
                  <w:rFonts w:ascii="Arial" w:hAnsi="Arial" w:cs="Arial"/>
                  <w:i/>
                  <w:iCs/>
                  <w:sz w:val="20"/>
                  <w:szCs w:val="20"/>
                </w:rPr>
                <w:t>guida</w:t>
              </w:r>
              <w:r w:rsidR="006A5B18" w:rsidRPr="006A5B18">
                <w:rPr>
                  <w:rStyle w:val="Hyperlink"/>
                  <w:rFonts w:ascii="Arial" w:hAnsi="Arial" w:cs="Arial"/>
                  <w:i/>
                  <w:iCs/>
                  <w:sz w:val="20"/>
                  <w:szCs w:val="20"/>
                </w:rPr>
                <w:t>n</w:t>
              </w:r>
              <w:r w:rsidR="006A5B18" w:rsidRPr="006A5B18">
                <w:rPr>
                  <w:rStyle w:val="Hyperlink"/>
                  <w:rFonts w:ascii="Arial" w:hAnsi="Arial" w:cs="Arial"/>
                  <w:i/>
                  <w:iCs/>
                  <w:sz w:val="20"/>
                  <w:szCs w:val="20"/>
                </w:rPr>
                <w:t>ce</w:t>
              </w:r>
            </w:hyperlink>
            <w:r w:rsidR="00026367">
              <w:rPr>
                <w:rFonts w:ascii="Arial" w:hAnsi="Arial" w:cs="Arial"/>
                <w:i/>
                <w:iCs/>
                <w:sz w:val="20"/>
                <w:szCs w:val="20"/>
              </w:rPr>
              <w:t xml:space="preserve"> </w:t>
            </w:r>
            <w:r w:rsidR="0075387C" w:rsidRPr="00997F36">
              <w:rPr>
                <w:rFonts w:ascii="Arial" w:hAnsi="Arial" w:cs="Arial"/>
                <w:i/>
                <w:iCs/>
                <w:sz w:val="20"/>
                <w:szCs w:val="20"/>
              </w:rPr>
              <w:t xml:space="preserve">with </w:t>
            </w:r>
            <w:r w:rsidR="00160283" w:rsidRPr="00997F36">
              <w:rPr>
                <w:rFonts w:ascii="Arial" w:hAnsi="Arial" w:cs="Arial"/>
                <w:i/>
                <w:iCs/>
                <w:sz w:val="20"/>
                <w:szCs w:val="20"/>
              </w:rPr>
              <w:t>regards to the criteria providers are expected to meet</w:t>
            </w:r>
            <w:r w:rsidR="00A90A3C" w:rsidRPr="00997F36">
              <w:rPr>
                <w:rFonts w:ascii="Arial" w:hAnsi="Arial" w:cs="Arial"/>
                <w:i/>
                <w:iCs/>
                <w:sz w:val="20"/>
                <w:szCs w:val="20"/>
              </w:rPr>
              <w:t>;</w:t>
            </w:r>
            <w:r w:rsidR="00997F36">
              <w:t xml:space="preserve"> </w:t>
            </w:r>
          </w:p>
          <w:p w14:paraId="083149DC" w14:textId="2A728C44" w:rsidR="006343A7" w:rsidRPr="00997F36" w:rsidRDefault="006343A7" w:rsidP="00160283">
            <w:pPr>
              <w:pStyle w:val="ListParagraph"/>
              <w:numPr>
                <w:ilvl w:val="0"/>
                <w:numId w:val="16"/>
              </w:numPr>
              <w:rPr>
                <w:rFonts w:ascii="Arial" w:hAnsi="Arial" w:cs="Arial"/>
                <w:i/>
                <w:iCs/>
                <w:sz w:val="18"/>
                <w:szCs w:val="18"/>
              </w:rPr>
            </w:pPr>
            <w:r w:rsidRPr="00997F36">
              <w:rPr>
                <w:rFonts w:ascii="Arial" w:hAnsi="Arial" w:cs="Arial"/>
                <w:i/>
                <w:iCs/>
                <w:sz w:val="18"/>
                <w:szCs w:val="18"/>
              </w:rPr>
              <w:t xml:space="preserve">Relevant authorities must </w:t>
            </w:r>
            <w:r w:rsidR="003874EB" w:rsidRPr="00997F36">
              <w:rPr>
                <w:rFonts w:ascii="Arial" w:hAnsi="Arial" w:cs="Arial"/>
                <w:i/>
                <w:iCs/>
                <w:sz w:val="18"/>
                <w:szCs w:val="18"/>
              </w:rPr>
              <w:t xml:space="preserve">not award a contract to a provider, and may exclude a provider from any of the PSR processes, if the provider meets the exclusion criteria detailed in </w:t>
            </w:r>
            <w:hyperlink r:id="rId16" w:history="1">
              <w:r w:rsidR="00997F36" w:rsidRPr="00160283">
                <w:rPr>
                  <w:rStyle w:val="Hyperlink"/>
                  <w:rFonts w:ascii="Arial" w:hAnsi="Arial" w:cs="Arial"/>
                  <w:i/>
                  <w:iCs/>
                  <w:sz w:val="18"/>
                  <w:szCs w:val="18"/>
                </w:rPr>
                <w:t>regulation 20</w:t>
              </w:r>
            </w:hyperlink>
            <w:r w:rsidR="00997F36">
              <w:rPr>
                <w:rStyle w:val="Hyperlink"/>
                <w:rFonts w:ascii="Arial" w:hAnsi="Arial" w:cs="Arial"/>
                <w:i/>
                <w:iCs/>
                <w:color w:val="auto"/>
                <w:sz w:val="18"/>
                <w:szCs w:val="18"/>
              </w:rPr>
              <w:t>.</w:t>
            </w:r>
          </w:p>
          <w:p w14:paraId="4B9ADF4B" w14:textId="1ABC3EF9" w:rsidR="00415917" w:rsidRPr="00997F36" w:rsidRDefault="00415917" w:rsidP="00160283">
            <w:pPr>
              <w:pStyle w:val="ListParagraph"/>
              <w:numPr>
                <w:ilvl w:val="0"/>
                <w:numId w:val="16"/>
              </w:numPr>
              <w:rPr>
                <w:rFonts w:ascii="Arial" w:hAnsi="Arial" w:cs="Arial"/>
                <w:i/>
                <w:iCs/>
                <w:sz w:val="18"/>
                <w:szCs w:val="18"/>
              </w:rPr>
            </w:pPr>
            <w:r w:rsidRPr="00997F36">
              <w:rPr>
                <w:rFonts w:ascii="Arial" w:hAnsi="Arial" w:cs="Arial"/>
                <w:i/>
                <w:iCs/>
                <w:sz w:val="18"/>
                <w:szCs w:val="18"/>
              </w:rPr>
              <w:t>The basic selection criteria may relate to:</w:t>
            </w:r>
          </w:p>
          <w:p w14:paraId="0F751166" w14:textId="4C554E19" w:rsidR="00415917" w:rsidRPr="00997F36" w:rsidRDefault="00415917" w:rsidP="00415917">
            <w:pPr>
              <w:numPr>
                <w:ilvl w:val="0"/>
                <w:numId w:val="15"/>
              </w:numPr>
              <w:rPr>
                <w:rFonts w:ascii="Arial" w:hAnsi="Arial" w:cs="Arial"/>
                <w:b/>
                <w:bCs/>
                <w:i/>
                <w:iCs/>
                <w:sz w:val="18"/>
                <w:szCs w:val="18"/>
              </w:rPr>
            </w:pPr>
            <w:r w:rsidRPr="00997F36">
              <w:rPr>
                <w:rFonts w:ascii="Arial" w:hAnsi="Arial" w:cs="Arial"/>
                <w:i/>
                <w:iCs/>
                <w:sz w:val="18"/>
                <w:szCs w:val="18"/>
              </w:rPr>
              <w:t>The provider’s suitability to pursue a particular activity. Where the provider is required to possess a particular authorisation or be a member of a particular organisation in order to be able to perform the required services, the relevant authority may require a provider to prove that they hold such authorisation or membership</w:t>
            </w:r>
            <w:r w:rsidR="009D79AA" w:rsidRPr="00997F36">
              <w:rPr>
                <w:rFonts w:ascii="Arial" w:hAnsi="Arial" w:cs="Arial"/>
                <w:i/>
                <w:iCs/>
                <w:sz w:val="18"/>
                <w:szCs w:val="18"/>
              </w:rPr>
              <w:t xml:space="preserve">; </w:t>
            </w:r>
            <w:r w:rsidR="009D79AA" w:rsidRPr="00997F36">
              <w:rPr>
                <w:rFonts w:ascii="Arial" w:hAnsi="Arial" w:cs="Arial"/>
                <w:b/>
                <w:bCs/>
                <w:i/>
                <w:iCs/>
                <w:sz w:val="18"/>
                <w:szCs w:val="18"/>
              </w:rPr>
              <w:t xml:space="preserve">for an existing provider, </w:t>
            </w:r>
            <w:r w:rsidR="00643FBF" w:rsidRPr="00997F36">
              <w:rPr>
                <w:rFonts w:ascii="Arial" w:hAnsi="Arial" w:cs="Arial"/>
                <w:b/>
                <w:bCs/>
                <w:i/>
                <w:iCs/>
                <w:sz w:val="18"/>
                <w:szCs w:val="18"/>
              </w:rPr>
              <w:t xml:space="preserve">if a membership of a professional body is required such as CQC, </w:t>
            </w:r>
            <w:r w:rsidR="000A6383" w:rsidRPr="00997F36">
              <w:rPr>
                <w:rFonts w:ascii="Arial" w:hAnsi="Arial" w:cs="Arial"/>
                <w:b/>
                <w:bCs/>
                <w:i/>
                <w:iCs/>
                <w:sz w:val="18"/>
                <w:szCs w:val="18"/>
              </w:rPr>
              <w:t xml:space="preserve">is this checked routinely contractually, </w:t>
            </w:r>
            <w:r w:rsidR="00E2425C" w:rsidRPr="00997F36">
              <w:rPr>
                <w:rFonts w:ascii="Arial" w:hAnsi="Arial" w:cs="Arial"/>
                <w:b/>
                <w:bCs/>
                <w:i/>
                <w:iCs/>
                <w:sz w:val="18"/>
                <w:szCs w:val="18"/>
              </w:rPr>
              <w:t>have any recent concerns been raised?</w:t>
            </w:r>
          </w:p>
          <w:p w14:paraId="19291EAB" w14:textId="1923BA03" w:rsidR="00415917" w:rsidRPr="00997F36" w:rsidRDefault="00415917" w:rsidP="00415917">
            <w:pPr>
              <w:numPr>
                <w:ilvl w:val="0"/>
                <w:numId w:val="15"/>
              </w:numPr>
              <w:rPr>
                <w:rFonts w:ascii="Arial" w:hAnsi="Arial" w:cs="Arial"/>
                <w:b/>
                <w:bCs/>
                <w:i/>
                <w:iCs/>
                <w:sz w:val="18"/>
                <w:szCs w:val="18"/>
              </w:rPr>
            </w:pPr>
            <w:r w:rsidRPr="00997F36">
              <w:rPr>
                <w:rFonts w:ascii="Arial" w:hAnsi="Arial" w:cs="Arial"/>
                <w:i/>
                <w:iCs/>
                <w:sz w:val="18"/>
                <w:szCs w:val="18"/>
              </w:rPr>
              <w:t>The provider’s economic and financial standing. The relevant authority may impose requirements ensuring that the provider possesses the necessary economic and financial capacity to perform the contract</w:t>
            </w:r>
            <w:r w:rsidR="00720CB2" w:rsidRPr="00997F36">
              <w:rPr>
                <w:rFonts w:ascii="Arial" w:hAnsi="Arial" w:cs="Arial"/>
                <w:i/>
                <w:iCs/>
                <w:sz w:val="18"/>
                <w:szCs w:val="18"/>
              </w:rPr>
              <w:t xml:space="preserve">; </w:t>
            </w:r>
            <w:r w:rsidR="00720CB2" w:rsidRPr="00997F36">
              <w:rPr>
                <w:rFonts w:ascii="Arial" w:hAnsi="Arial" w:cs="Arial"/>
                <w:b/>
                <w:bCs/>
                <w:i/>
                <w:iCs/>
                <w:sz w:val="18"/>
                <w:szCs w:val="18"/>
              </w:rPr>
              <w:t xml:space="preserve">for an existing provider, have there been any concerns regarding the </w:t>
            </w:r>
            <w:r w:rsidR="00455D0E" w:rsidRPr="00997F36">
              <w:rPr>
                <w:rFonts w:ascii="Arial" w:hAnsi="Arial" w:cs="Arial"/>
                <w:b/>
                <w:bCs/>
                <w:i/>
                <w:iCs/>
                <w:sz w:val="18"/>
                <w:szCs w:val="18"/>
              </w:rPr>
              <w:t xml:space="preserve">provider’s financial standing? </w:t>
            </w:r>
            <w:r w:rsidR="007D5778" w:rsidRPr="00997F36">
              <w:rPr>
                <w:rFonts w:ascii="Arial" w:hAnsi="Arial" w:cs="Arial"/>
                <w:b/>
                <w:bCs/>
                <w:i/>
                <w:iCs/>
                <w:sz w:val="18"/>
                <w:szCs w:val="18"/>
              </w:rPr>
              <w:t xml:space="preserve">If it is </w:t>
            </w:r>
            <w:r w:rsidR="00455D0E" w:rsidRPr="00997F36">
              <w:rPr>
                <w:rFonts w:ascii="Arial" w:hAnsi="Arial" w:cs="Arial"/>
                <w:b/>
                <w:bCs/>
                <w:i/>
                <w:iCs/>
                <w:sz w:val="18"/>
                <w:szCs w:val="18"/>
              </w:rPr>
              <w:t xml:space="preserve">deemed necessary to carry out </w:t>
            </w:r>
            <w:r w:rsidR="007D5778" w:rsidRPr="00997F36">
              <w:rPr>
                <w:rFonts w:ascii="Arial" w:hAnsi="Arial" w:cs="Arial"/>
                <w:b/>
                <w:bCs/>
                <w:i/>
                <w:iCs/>
                <w:sz w:val="18"/>
                <w:szCs w:val="18"/>
              </w:rPr>
              <w:t xml:space="preserve">an up-to-date assessment of the provider’s financial </w:t>
            </w:r>
            <w:r w:rsidR="006915A3" w:rsidRPr="00997F36">
              <w:rPr>
                <w:rFonts w:ascii="Arial" w:hAnsi="Arial" w:cs="Arial"/>
                <w:b/>
                <w:bCs/>
                <w:i/>
                <w:iCs/>
                <w:sz w:val="18"/>
                <w:szCs w:val="18"/>
              </w:rPr>
              <w:t>standing,</w:t>
            </w:r>
            <w:r w:rsidR="007D5778" w:rsidRPr="00997F36">
              <w:rPr>
                <w:rFonts w:ascii="Arial" w:hAnsi="Arial" w:cs="Arial"/>
                <w:b/>
                <w:bCs/>
                <w:i/>
                <w:iCs/>
                <w:sz w:val="18"/>
                <w:szCs w:val="18"/>
              </w:rPr>
              <w:t xml:space="preserve"> </w:t>
            </w:r>
            <w:r w:rsidR="00FF705A" w:rsidRPr="00997F36">
              <w:rPr>
                <w:rFonts w:ascii="Arial" w:hAnsi="Arial" w:cs="Arial"/>
                <w:b/>
                <w:bCs/>
                <w:i/>
                <w:iCs/>
                <w:sz w:val="18"/>
                <w:szCs w:val="18"/>
              </w:rPr>
              <w:t xml:space="preserve">please raise with CMT as input from a finance colleague will be required. </w:t>
            </w:r>
          </w:p>
          <w:p w14:paraId="598A4AD4" w14:textId="4DD5423F" w:rsidR="00415917" w:rsidRPr="00997F36" w:rsidRDefault="00415917" w:rsidP="00415917">
            <w:pPr>
              <w:numPr>
                <w:ilvl w:val="0"/>
                <w:numId w:val="15"/>
              </w:numPr>
              <w:rPr>
                <w:rFonts w:ascii="Arial" w:hAnsi="Arial" w:cs="Arial"/>
                <w:b/>
                <w:bCs/>
                <w:i/>
                <w:iCs/>
                <w:sz w:val="18"/>
                <w:szCs w:val="18"/>
              </w:rPr>
            </w:pPr>
            <w:r w:rsidRPr="00997F36">
              <w:rPr>
                <w:rFonts w:ascii="Arial" w:hAnsi="Arial" w:cs="Arial"/>
                <w:i/>
                <w:iCs/>
                <w:sz w:val="18"/>
                <w:szCs w:val="18"/>
              </w:rPr>
              <w:t>The provider’s technical and professional ability. The relevant authority may impose requirements ensuring that a provider possesses the necessary human and technical resources and experience to perform the contract to an appropriate quality standard</w:t>
            </w:r>
            <w:r w:rsidR="003C3EBB" w:rsidRPr="00997F36">
              <w:rPr>
                <w:rFonts w:ascii="Arial" w:hAnsi="Arial" w:cs="Arial"/>
                <w:i/>
                <w:iCs/>
                <w:sz w:val="18"/>
                <w:szCs w:val="18"/>
              </w:rPr>
              <w:t xml:space="preserve">; </w:t>
            </w:r>
            <w:r w:rsidR="003C3EBB" w:rsidRPr="00997F36">
              <w:rPr>
                <w:rFonts w:ascii="Arial" w:hAnsi="Arial" w:cs="Arial"/>
                <w:b/>
                <w:bCs/>
                <w:i/>
                <w:iCs/>
                <w:sz w:val="18"/>
                <w:szCs w:val="18"/>
              </w:rPr>
              <w:t xml:space="preserve">this </w:t>
            </w:r>
            <w:r w:rsidR="007C18AE" w:rsidRPr="00997F36">
              <w:rPr>
                <w:rFonts w:ascii="Arial" w:hAnsi="Arial" w:cs="Arial"/>
                <w:b/>
                <w:bCs/>
                <w:i/>
                <w:iCs/>
                <w:sz w:val="18"/>
                <w:szCs w:val="18"/>
              </w:rPr>
              <w:t>will have been assessed when the original contract was awarded</w:t>
            </w:r>
            <w:r w:rsidR="00FB36B1" w:rsidRPr="00997F36">
              <w:rPr>
                <w:rFonts w:ascii="Arial" w:hAnsi="Arial" w:cs="Arial"/>
                <w:b/>
                <w:bCs/>
                <w:i/>
                <w:iCs/>
                <w:sz w:val="18"/>
                <w:szCs w:val="18"/>
              </w:rPr>
              <w:t xml:space="preserve"> and should be continually monitored via </w:t>
            </w:r>
            <w:r w:rsidR="00AB7E59" w:rsidRPr="00997F36">
              <w:rPr>
                <w:rFonts w:ascii="Arial" w:hAnsi="Arial" w:cs="Arial"/>
                <w:b/>
                <w:bCs/>
                <w:i/>
                <w:iCs/>
                <w:sz w:val="18"/>
                <w:szCs w:val="18"/>
              </w:rPr>
              <w:t>ongoing contract management.</w:t>
            </w:r>
            <w:r w:rsidR="00EF1DFE" w:rsidRPr="00997F36">
              <w:rPr>
                <w:rFonts w:ascii="Arial" w:hAnsi="Arial" w:cs="Arial"/>
                <w:b/>
                <w:bCs/>
                <w:i/>
                <w:iCs/>
                <w:sz w:val="18"/>
                <w:szCs w:val="18"/>
              </w:rPr>
              <w:t xml:space="preserve"> </w:t>
            </w:r>
            <w:r w:rsidR="00AB7E59" w:rsidRPr="00997F36">
              <w:rPr>
                <w:rFonts w:ascii="Arial" w:hAnsi="Arial" w:cs="Arial"/>
                <w:b/>
                <w:bCs/>
                <w:i/>
                <w:iCs/>
                <w:sz w:val="18"/>
                <w:szCs w:val="18"/>
              </w:rPr>
              <w:t>I</w:t>
            </w:r>
            <w:r w:rsidR="00EF1DFE" w:rsidRPr="00997F36">
              <w:rPr>
                <w:rFonts w:ascii="Arial" w:hAnsi="Arial" w:cs="Arial"/>
                <w:b/>
                <w:bCs/>
                <w:i/>
                <w:iCs/>
                <w:sz w:val="18"/>
                <w:szCs w:val="18"/>
              </w:rPr>
              <w:t xml:space="preserve">f there are any </w:t>
            </w:r>
            <w:r w:rsidR="00AB7E59" w:rsidRPr="00997F36">
              <w:rPr>
                <w:rFonts w:ascii="Arial" w:hAnsi="Arial" w:cs="Arial"/>
                <w:b/>
                <w:bCs/>
                <w:i/>
                <w:iCs/>
                <w:sz w:val="18"/>
                <w:szCs w:val="18"/>
              </w:rPr>
              <w:t xml:space="preserve">new </w:t>
            </w:r>
            <w:r w:rsidR="00EF1DFE" w:rsidRPr="00997F36">
              <w:rPr>
                <w:rFonts w:ascii="Arial" w:hAnsi="Arial" w:cs="Arial"/>
                <w:b/>
                <w:bCs/>
                <w:i/>
                <w:iCs/>
                <w:sz w:val="18"/>
                <w:szCs w:val="18"/>
              </w:rPr>
              <w:t>concerns with the provider’s technical and professional ability</w:t>
            </w:r>
            <w:r w:rsidR="0080113E" w:rsidRPr="00997F36">
              <w:rPr>
                <w:rFonts w:ascii="Arial" w:hAnsi="Arial" w:cs="Arial"/>
                <w:b/>
                <w:bCs/>
                <w:i/>
                <w:iCs/>
                <w:sz w:val="18"/>
                <w:szCs w:val="18"/>
              </w:rPr>
              <w:t xml:space="preserve"> to perform the contract, please raise with CMT </w:t>
            </w:r>
            <w:r w:rsidR="00A90A3C" w:rsidRPr="00997F36">
              <w:rPr>
                <w:rFonts w:ascii="Arial" w:hAnsi="Arial" w:cs="Arial"/>
                <w:b/>
                <w:bCs/>
                <w:i/>
                <w:iCs/>
                <w:sz w:val="18"/>
                <w:szCs w:val="18"/>
              </w:rPr>
              <w:t xml:space="preserve">for this to be looked into. </w:t>
            </w:r>
            <w:r w:rsidR="0080113E" w:rsidRPr="00997F36">
              <w:rPr>
                <w:rFonts w:ascii="Arial" w:hAnsi="Arial" w:cs="Arial"/>
                <w:b/>
                <w:bCs/>
                <w:i/>
                <w:iCs/>
                <w:sz w:val="18"/>
                <w:szCs w:val="18"/>
              </w:rPr>
              <w:t xml:space="preserve"> </w:t>
            </w:r>
          </w:p>
          <w:p w14:paraId="77B5DF46" w14:textId="77777777" w:rsidR="00E2425C" w:rsidRPr="00997F36" w:rsidRDefault="00E2425C" w:rsidP="00E2425C">
            <w:pPr>
              <w:rPr>
                <w:rFonts w:ascii="Arial" w:hAnsi="Arial" w:cs="Arial"/>
                <w:sz w:val="20"/>
                <w:szCs w:val="20"/>
              </w:rPr>
            </w:pPr>
          </w:p>
          <w:p w14:paraId="3792F0CE" w14:textId="77777777" w:rsidR="00997F36" w:rsidRDefault="00997F36" w:rsidP="00E2425C">
            <w:pPr>
              <w:rPr>
                <w:rFonts w:ascii="Arial" w:hAnsi="Arial" w:cs="Arial"/>
                <w:sz w:val="20"/>
                <w:szCs w:val="20"/>
              </w:rPr>
            </w:pPr>
          </w:p>
          <w:p w14:paraId="762C51D4" w14:textId="077BE87E" w:rsidR="00E2425C" w:rsidRPr="00997F36" w:rsidRDefault="00E2425C" w:rsidP="00E2425C">
            <w:pPr>
              <w:rPr>
                <w:rFonts w:ascii="Arial" w:hAnsi="Arial" w:cs="Arial"/>
                <w:sz w:val="20"/>
                <w:szCs w:val="20"/>
              </w:rPr>
            </w:pPr>
            <w:r w:rsidRPr="00997F36">
              <w:rPr>
                <w:rFonts w:ascii="Arial" w:hAnsi="Arial" w:cs="Arial"/>
                <w:sz w:val="20"/>
                <w:szCs w:val="20"/>
              </w:rPr>
              <w:lastRenderedPageBreak/>
              <w:t>The ICB must be satisfied that the Provider meets the basic selection criteria and that the ICB have had no concerns in terms of the delivery of the contract, or the financial standing of the Provider. The ICB are assured that the Provider has the technical and professional ability to continue to deliver the service.</w:t>
            </w:r>
          </w:p>
          <w:p w14:paraId="4C766217" w14:textId="43A738AF" w:rsidR="00415917" w:rsidRPr="00F021D6" w:rsidRDefault="00415917" w:rsidP="00F021D6">
            <w:pPr>
              <w:rPr>
                <w:rFonts w:ascii="Arial" w:hAnsi="Arial" w:cs="Arial"/>
                <w:i/>
                <w:iCs/>
                <w:sz w:val="18"/>
                <w:szCs w:val="18"/>
              </w:rPr>
            </w:pPr>
          </w:p>
        </w:tc>
      </w:tr>
      <w:tr w:rsidR="00F021D6" w:rsidRPr="00B4399F" w14:paraId="3192BFDB" w14:textId="77777777">
        <w:trPr>
          <w:trHeight w:val="70"/>
          <w:jc w:val="center"/>
        </w:trPr>
        <w:tc>
          <w:tcPr>
            <w:tcW w:w="5000" w:type="pct"/>
          </w:tcPr>
          <w:p w14:paraId="2FCFD2C2" w14:textId="77777777" w:rsidR="0023616C" w:rsidRDefault="0023616C" w:rsidP="00E2425C">
            <w:pPr>
              <w:rPr>
                <w:rFonts w:ascii="Arial" w:hAnsi="Arial" w:cs="Arial"/>
                <w:sz w:val="18"/>
                <w:szCs w:val="18"/>
              </w:rPr>
            </w:pPr>
          </w:p>
          <w:p w14:paraId="587D7400" w14:textId="77777777" w:rsidR="00720CB2" w:rsidRDefault="00720CB2" w:rsidP="00E2425C">
            <w:pPr>
              <w:rPr>
                <w:rFonts w:ascii="Arial" w:hAnsi="Arial" w:cs="Arial"/>
                <w:sz w:val="18"/>
                <w:szCs w:val="18"/>
              </w:rPr>
            </w:pPr>
          </w:p>
          <w:p w14:paraId="6B803C35" w14:textId="5C7DE117" w:rsidR="00720CB2" w:rsidRPr="0096001C" w:rsidRDefault="00720CB2" w:rsidP="00E2425C">
            <w:pPr>
              <w:rPr>
                <w:rFonts w:ascii="Arial" w:hAnsi="Arial" w:cs="Arial"/>
                <w:sz w:val="18"/>
                <w:szCs w:val="18"/>
              </w:rPr>
            </w:pPr>
          </w:p>
        </w:tc>
      </w:tr>
    </w:tbl>
    <w:p w14:paraId="75CF6D22" w14:textId="77777777" w:rsidR="00BB2C4A" w:rsidRPr="0096001C" w:rsidRDefault="00BB2C4A" w:rsidP="0096001C">
      <w:pPr>
        <w:rPr>
          <w:rFonts w:ascii="Arial" w:hAnsi="Arial" w:cs="Arial"/>
          <w:b/>
          <w:bCs/>
          <w:sz w:val="2"/>
          <w:szCs w:val="2"/>
        </w:rPr>
      </w:pPr>
    </w:p>
    <w:sectPr w:rsidR="00BB2C4A" w:rsidRPr="0096001C" w:rsidSect="005721BD">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67A53" w14:textId="77777777" w:rsidR="008550A1" w:rsidRDefault="008550A1" w:rsidP="002667FB">
      <w:pPr>
        <w:spacing w:after="0" w:line="240" w:lineRule="auto"/>
      </w:pPr>
      <w:r>
        <w:separator/>
      </w:r>
    </w:p>
  </w:endnote>
  <w:endnote w:type="continuationSeparator" w:id="0">
    <w:p w14:paraId="3CBEC81D" w14:textId="77777777" w:rsidR="008550A1" w:rsidRDefault="008550A1" w:rsidP="002667FB">
      <w:pPr>
        <w:spacing w:after="0" w:line="240" w:lineRule="auto"/>
      </w:pPr>
      <w:r>
        <w:continuationSeparator/>
      </w:r>
    </w:p>
  </w:endnote>
  <w:endnote w:type="continuationNotice" w:id="1">
    <w:p w14:paraId="3DB88EE6" w14:textId="77777777" w:rsidR="008550A1" w:rsidRDefault="00855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4A558" w14:textId="77777777" w:rsidR="008550A1" w:rsidRDefault="008550A1" w:rsidP="002667FB">
      <w:pPr>
        <w:spacing w:after="0" w:line="240" w:lineRule="auto"/>
      </w:pPr>
      <w:r>
        <w:separator/>
      </w:r>
    </w:p>
  </w:footnote>
  <w:footnote w:type="continuationSeparator" w:id="0">
    <w:p w14:paraId="14C04E95" w14:textId="77777777" w:rsidR="008550A1" w:rsidRDefault="008550A1" w:rsidP="002667FB">
      <w:pPr>
        <w:spacing w:after="0" w:line="240" w:lineRule="auto"/>
      </w:pPr>
      <w:r>
        <w:continuationSeparator/>
      </w:r>
    </w:p>
  </w:footnote>
  <w:footnote w:type="continuationNotice" w:id="1">
    <w:p w14:paraId="234974A7" w14:textId="77777777" w:rsidR="008550A1" w:rsidRDefault="008550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598"/>
    <w:multiLevelType w:val="multilevel"/>
    <w:tmpl w:val="F7FE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E3C06"/>
    <w:multiLevelType w:val="hybridMultilevel"/>
    <w:tmpl w:val="9EF81EE2"/>
    <w:lvl w:ilvl="0" w:tplc="CD20B864">
      <w:numFmt w:val="bullet"/>
      <w:lvlText w:val="•"/>
      <w:lvlJc w:val="left"/>
      <w:pPr>
        <w:ind w:left="360" w:hanging="360"/>
      </w:pPr>
      <w:rPr>
        <w:rFonts w:ascii="Arial" w:eastAsiaTheme="minorHAnsi" w:hAnsi="Arial" w:cs="Arial" w:hint="default"/>
      </w:rPr>
    </w:lvl>
    <w:lvl w:ilvl="1" w:tplc="FFFFFFFF">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C900A0"/>
    <w:multiLevelType w:val="hybridMultilevel"/>
    <w:tmpl w:val="5A0E3928"/>
    <w:lvl w:ilvl="0" w:tplc="08090001">
      <w:start w:val="1"/>
      <w:numFmt w:val="bullet"/>
      <w:lvlText w:val=""/>
      <w:lvlJc w:val="left"/>
      <w:pPr>
        <w:ind w:left="360" w:hanging="360"/>
      </w:pPr>
      <w:rPr>
        <w:rFonts w:ascii="Symbol" w:hAnsi="Symbol" w:hint="default"/>
      </w:rPr>
    </w:lvl>
    <w:lvl w:ilvl="1" w:tplc="CD20B864">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DE58B3"/>
    <w:multiLevelType w:val="hybridMultilevel"/>
    <w:tmpl w:val="115A11D0"/>
    <w:lvl w:ilvl="0" w:tplc="CD20B864">
      <w:numFmt w:val="bullet"/>
      <w:lvlText w:val="•"/>
      <w:lvlJc w:val="left"/>
      <w:pPr>
        <w:ind w:left="360" w:hanging="360"/>
      </w:pPr>
      <w:rPr>
        <w:rFonts w:ascii="Arial" w:eastAsiaTheme="minorHAnsi" w:hAnsi="Arial" w:cs="Arial" w:hint="default"/>
      </w:rPr>
    </w:lvl>
    <w:lvl w:ilvl="1" w:tplc="FFFFFFFF">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B682711"/>
    <w:multiLevelType w:val="hybridMultilevel"/>
    <w:tmpl w:val="CAF4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927BB"/>
    <w:multiLevelType w:val="hybridMultilevel"/>
    <w:tmpl w:val="B3008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715EA3"/>
    <w:multiLevelType w:val="hybridMultilevel"/>
    <w:tmpl w:val="488A6052"/>
    <w:lvl w:ilvl="0" w:tplc="13E8268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142A4F"/>
    <w:multiLevelType w:val="hybridMultilevel"/>
    <w:tmpl w:val="E1CE28A8"/>
    <w:lvl w:ilvl="0" w:tplc="8DA446F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803827"/>
    <w:multiLevelType w:val="hybridMultilevel"/>
    <w:tmpl w:val="F9968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1B7192"/>
    <w:multiLevelType w:val="hybridMultilevel"/>
    <w:tmpl w:val="7BB44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C05B78"/>
    <w:multiLevelType w:val="multilevel"/>
    <w:tmpl w:val="A1C6A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3F58A8"/>
    <w:multiLevelType w:val="multilevel"/>
    <w:tmpl w:val="FA2C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071C55"/>
    <w:multiLevelType w:val="hybridMultilevel"/>
    <w:tmpl w:val="4F0A9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1B732D"/>
    <w:multiLevelType w:val="hybridMultilevel"/>
    <w:tmpl w:val="B9A0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4A15C8"/>
    <w:multiLevelType w:val="hybridMultilevel"/>
    <w:tmpl w:val="89D2B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1046D90"/>
    <w:multiLevelType w:val="hybridMultilevel"/>
    <w:tmpl w:val="E50CAD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8D26AA"/>
    <w:multiLevelType w:val="hybridMultilevel"/>
    <w:tmpl w:val="BC967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71544006">
    <w:abstractNumId w:val="4"/>
  </w:num>
  <w:num w:numId="2" w16cid:durableId="257493721">
    <w:abstractNumId w:val="7"/>
  </w:num>
  <w:num w:numId="3" w16cid:durableId="1833519286">
    <w:abstractNumId w:val="8"/>
  </w:num>
  <w:num w:numId="4" w16cid:durableId="830220233">
    <w:abstractNumId w:val="6"/>
  </w:num>
  <w:num w:numId="5" w16cid:durableId="1412048641">
    <w:abstractNumId w:val="2"/>
  </w:num>
  <w:num w:numId="6" w16cid:durableId="456605712">
    <w:abstractNumId w:val="12"/>
  </w:num>
  <w:num w:numId="7" w16cid:durableId="580144241">
    <w:abstractNumId w:val="9"/>
  </w:num>
  <w:num w:numId="8" w16cid:durableId="1504395602">
    <w:abstractNumId w:val="5"/>
  </w:num>
  <w:num w:numId="9" w16cid:durableId="343869760">
    <w:abstractNumId w:val="3"/>
  </w:num>
  <w:num w:numId="10" w16cid:durableId="1631354646">
    <w:abstractNumId w:val="1"/>
  </w:num>
  <w:num w:numId="11" w16cid:durableId="1853301546">
    <w:abstractNumId w:val="0"/>
  </w:num>
  <w:num w:numId="12" w16cid:durableId="1347749973">
    <w:abstractNumId w:val="13"/>
  </w:num>
  <w:num w:numId="13" w16cid:durableId="1498301620">
    <w:abstractNumId w:val="10"/>
  </w:num>
  <w:num w:numId="14" w16cid:durableId="1368796124">
    <w:abstractNumId w:val="16"/>
  </w:num>
  <w:num w:numId="15" w16cid:durableId="1021975310">
    <w:abstractNumId w:val="11"/>
  </w:num>
  <w:num w:numId="16" w16cid:durableId="1106778513">
    <w:abstractNumId w:val="15"/>
  </w:num>
  <w:num w:numId="17" w16cid:durableId="184250717">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E6"/>
    <w:rsid w:val="00015D89"/>
    <w:rsid w:val="00020537"/>
    <w:rsid w:val="000206D1"/>
    <w:rsid w:val="00020741"/>
    <w:rsid w:val="00021F97"/>
    <w:rsid w:val="00026367"/>
    <w:rsid w:val="00032F47"/>
    <w:rsid w:val="00035C41"/>
    <w:rsid w:val="0003693D"/>
    <w:rsid w:val="00052135"/>
    <w:rsid w:val="000559E9"/>
    <w:rsid w:val="00061E83"/>
    <w:rsid w:val="00062386"/>
    <w:rsid w:val="00077115"/>
    <w:rsid w:val="00081095"/>
    <w:rsid w:val="00081829"/>
    <w:rsid w:val="00097730"/>
    <w:rsid w:val="000A6383"/>
    <w:rsid w:val="000B29EE"/>
    <w:rsid w:val="000C105C"/>
    <w:rsid w:val="000C49A2"/>
    <w:rsid w:val="000C4D2D"/>
    <w:rsid w:val="000C7413"/>
    <w:rsid w:val="000D0D82"/>
    <w:rsid w:val="000D39D6"/>
    <w:rsid w:val="000E4B96"/>
    <w:rsid w:val="000E547B"/>
    <w:rsid w:val="000E7BEC"/>
    <w:rsid w:val="000F0263"/>
    <w:rsid w:val="000F1E49"/>
    <w:rsid w:val="0010331C"/>
    <w:rsid w:val="001066CE"/>
    <w:rsid w:val="001117A3"/>
    <w:rsid w:val="0011185A"/>
    <w:rsid w:val="00116F91"/>
    <w:rsid w:val="00117256"/>
    <w:rsid w:val="00117B2C"/>
    <w:rsid w:val="00120CE3"/>
    <w:rsid w:val="001222DF"/>
    <w:rsid w:val="00124764"/>
    <w:rsid w:val="00124C6C"/>
    <w:rsid w:val="001308FF"/>
    <w:rsid w:val="001329FE"/>
    <w:rsid w:val="00137398"/>
    <w:rsid w:val="0013796A"/>
    <w:rsid w:val="001503E3"/>
    <w:rsid w:val="00150B7F"/>
    <w:rsid w:val="00160283"/>
    <w:rsid w:val="00165B49"/>
    <w:rsid w:val="0016621A"/>
    <w:rsid w:val="0017043C"/>
    <w:rsid w:val="00175DA6"/>
    <w:rsid w:val="00175E24"/>
    <w:rsid w:val="00182D5D"/>
    <w:rsid w:val="00183350"/>
    <w:rsid w:val="0019561E"/>
    <w:rsid w:val="001B17A2"/>
    <w:rsid w:val="001B24F1"/>
    <w:rsid w:val="001B59F1"/>
    <w:rsid w:val="001B648F"/>
    <w:rsid w:val="001B6897"/>
    <w:rsid w:val="001C1E17"/>
    <w:rsid w:val="001D399C"/>
    <w:rsid w:val="001D3BCC"/>
    <w:rsid w:val="001D5DB4"/>
    <w:rsid w:val="001D5ECF"/>
    <w:rsid w:val="001D5FA2"/>
    <w:rsid w:val="001E1F32"/>
    <w:rsid w:val="001E31E4"/>
    <w:rsid w:val="001E4670"/>
    <w:rsid w:val="001E5C12"/>
    <w:rsid w:val="001F4BE3"/>
    <w:rsid w:val="001F5D10"/>
    <w:rsid w:val="001F7F58"/>
    <w:rsid w:val="00205539"/>
    <w:rsid w:val="002058C8"/>
    <w:rsid w:val="00206C97"/>
    <w:rsid w:val="00207014"/>
    <w:rsid w:val="00213C83"/>
    <w:rsid w:val="00222C50"/>
    <w:rsid w:val="00225CED"/>
    <w:rsid w:val="00235190"/>
    <w:rsid w:val="0023616C"/>
    <w:rsid w:val="00242DFA"/>
    <w:rsid w:val="00243CB1"/>
    <w:rsid w:val="002447ED"/>
    <w:rsid w:val="00250707"/>
    <w:rsid w:val="00253020"/>
    <w:rsid w:val="00254B16"/>
    <w:rsid w:val="00257696"/>
    <w:rsid w:val="002645CC"/>
    <w:rsid w:val="002667FB"/>
    <w:rsid w:val="0026753F"/>
    <w:rsid w:val="00272C08"/>
    <w:rsid w:val="002758D5"/>
    <w:rsid w:val="00281BA1"/>
    <w:rsid w:val="00290D55"/>
    <w:rsid w:val="00294BCF"/>
    <w:rsid w:val="002A0261"/>
    <w:rsid w:val="002A2181"/>
    <w:rsid w:val="002A3507"/>
    <w:rsid w:val="002B1053"/>
    <w:rsid w:val="002B68A9"/>
    <w:rsid w:val="002B7B73"/>
    <w:rsid w:val="002C39D0"/>
    <w:rsid w:val="002C7507"/>
    <w:rsid w:val="002D063A"/>
    <w:rsid w:val="002D5CCA"/>
    <w:rsid w:val="002E2834"/>
    <w:rsid w:val="002E2F8D"/>
    <w:rsid w:val="002E56CA"/>
    <w:rsid w:val="002F06B4"/>
    <w:rsid w:val="002F4515"/>
    <w:rsid w:val="003031AF"/>
    <w:rsid w:val="00305396"/>
    <w:rsid w:val="003054DC"/>
    <w:rsid w:val="00320491"/>
    <w:rsid w:val="0032118C"/>
    <w:rsid w:val="00322073"/>
    <w:rsid w:val="00322648"/>
    <w:rsid w:val="00323E50"/>
    <w:rsid w:val="00325ADC"/>
    <w:rsid w:val="003307D0"/>
    <w:rsid w:val="00332F94"/>
    <w:rsid w:val="0033393D"/>
    <w:rsid w:val="003340E8"/>
    <w:rsid w:val="00334F12"/>
    <w:rsid w:val="003366CE"/>
    <w:rsid w:val="003370C9"/>
    <w:rsid w:val="00346A8B"/>
    <w:rsid w:val="00347570"/>
    <w:rsid w:val="0035447C"/>
    <w:rsid w:val="00354C76"/>
    <w:rsid w:val="003610CB"/>
    <w:rsid w:val="003625A3"/>
    <w:rsid w:val="00363974"/>
    <w:rsid w:val="003645B6"/>
    <w:rsid w:val="00371161"/>
    <w:rsid w:val="00374A7A"/>
    <w:rsid w:val="00376367"/>
    <w:rsid w:val="00380B8A"/>
    <w:rsid w:val="0038319E"/>
    <w:rsid w:val="003874EB"/>
    <w:rsid w:val="0039235B"/>
    <w:rsid w:val="00393086"/>
    <w:rsid w:val="003945E6"/>
    <w:rsid w:val="003A1E27"/>
    <w:rsid w:val="003B3E05"/>
    <w:rsid w:val="003C3EBB"/>
    <w:rsid w:val="003C44C4"/>
    <w:rsid w:val="003C4904"/>
    <w:rsid w:val="003D06BE"/>
    <w:rsid w:val="003D4014"/>
    <w:rsid w:val="003D4E39"/>
    <w:rsid w:val="003D7C0D"/>
    <w:rsid w:val="003E1CD7"/>
    <w:rsid w:val="003E79E7"/>
    <w:rsid w:val="003F250A"/>
    <w:rsid w:val="003F6799"/>
    <w:rsid w:val="003F7CBB"/>
    <w:rsid w:val="00407B63"/>
    <w:rsid w:val="00415917"/>
    <w:rsid w:val="00416212"/>
    <w:rsid w:val="00420E30"/>
    <w:rsid w:val="00421ECF"/>
    <w:rsid w:val="00430D54"/>
    <w:rsid w:val="00431BC4"/>
    <w:rsid w:val="00432959"/>
    <w:rsid w:val="00433FE3"/>
    <w:rsid w:val="00434B1F"/>
    <w:rsid w:val="004477C2"/>
    <w:rsid w:val="00447E53"/>
    <w:rsid w:val="00453A0E"/>
    <w:rsid w:val="00455D0E"/>
    <w:rsid w:val="0046389D"/>
    <w:rsid w:val="004646B7"/>
    <w:rsid w:val="00465B6F"/>
    <w:rsid w:val="00470FCB"/>
    <w:rsid w:val="00474DA4"/>
    <w:rsid w:val="00475C3D"/>
    <w:rsid w:val="00477E9B"/>
    <w:rsid w:val="00481A97"/>
    <w:rsid w:val="00481F5A"/>
    <w:rsid w:val="0048607F"/>
    <w:rsid w:val="004922FD"/>
    <w:rsid w:val="0049581A"/>
    <w:rsid w:val="004A7A79"/>
    <w:rsid w:val="004B15CB"/>
    <w:rsid w:val="004B401C"/>
    <w:rsid w:val="004B75FC"/>
    <w:rsid w:val="004C006F"/>
    <w:rsid w:val="004C0CF4"/>
    <w:rsid w:val="004C1ED9"/>
    <w:rsid w:val="004E03FE"/>
    <w:rsid w:val="004E2832"/>
    <w:rsid w:val="004E2D88"/>
    <w:rsid w:val="004E2FA1"/>
    <w:rsid w:val="004E4831"/>
    <w:rsid w:val="004F268B"/>
    <w:rsid w:val="004F2E99"/>
    <w:rsid w:val="004F39C3"/>
    <w:rsid w:val="004F5B51"/>
    <w:rsid w:val="004F5D2E"/>
    <w:rsid w:val="004F7C02"/>
    <w:rsid w:val="00501529"/>
    <w:rsid w:val="00503E4B"/>
    <w:rsid w:val="00510360"/>
    <w:rsid w:val="00513F75"/>
    <w:rsid w:val="00514EEB"/>
    <w:rsid w:val="00522A69"/>
    <w:rsid w:val="00522E62"/>
    <w:rsid w:val="00527B5D"/>
    <w:rsid w:val="0053026B"/>
    <w:rsid w:val="005346AA"/>
    <w:rsid w:val="005373E9"/>
    <w:rsid w:val="00543097"/>
    <w:rsid w:val="00543FF6"/>
    <w:rsid w:val="00547F28"/>
    <w:rsid w:val="00550BC4"/>
    <w:rsid w:val="005553A8"/>
    <w:rsid w:val="0055799A"/>
    <w:rsid w:val="00557D91"/>
    <w:rsid w:val="0056282D"/>
    <w:rsid w:val="00564EF1"/>
    <w:rsid w:val="00564FB4"/>
    <w:rsid w:val="00567073"/>
    <w:rsid w:val="00567EC4"/>
    <w:rsid w:val="005713D9"/>
    <w:rsid w:val="005721BD"/>
    <w:rsid w:val="0057372C"/>
    <w:rsid w:val="0057377A"/>
    <w:rsid w:val="005740AC"/>
    <w:rsid w:val="0057467D"/>
    <w:rsid w:val="005778FE"/>
    <w:rsid w:val="0058054A"/>
    <w:rsid w:val="00586443"/>
    <w:rsid w:val="005914CB"/>
    <w:rsid w:val="00591FA1"/>
    <w:rsid w:val="00597137"/>
    <w:rsid w:val="005A46BA"/>
    <w:rsid w:val="005A5703"/>
    <w:rsid w:val="005C1FF4"/>
    <w:rsid w:val="005D6691"/>
    <w:rsid w:val="005E59B0"/>
    <w:rsid w:val="005E616B"/>
    <w:rsid w:val="005E701E"/>
    <w:rsid w:val="005F5EEC"/>
    <w:rsid w:val="005F644E"/>
    <w:rsid w:val="00602360"/>
    <w:rsid w:val="0060592C"/>
    <w:rsid w:val="00605DBB"/>
    <w:rsid w:val="00630201"/>
    <w:rsid w:val="006343A7"/>
    <w:rsid w:val="00636519"/>
    <w:rsid w:val="00636678"/>
    <w:rsid w:val="00640898"/>
    <w:rsid w:val="00643FBF"/>
    <w:rsid w:val="006614CA"/>
    <w:rsid w:val="00680D8A"/>
    <w:rsid w:val="0068514E"/>
    <w:rsid w:val="006908F1"/>
    <w:rsid w:val="006915A3"/>
    <w:rsid w:val="00693F0E"/>
    <w:rsid w:val="00696A73"/>
    <w:rsid w:val="006A59E4"/>
    <w:rsid w:val="006A5B18"/>
    <w:rsid w:val="006B02E1"/>
    <w:rsid w:val="006B4543"/>
    <w:rsid w:val="006B59CB"/>
    <w:rsid w:val="006C0242"/>
    <w:rsid w:val="006C33D7"/>
    <w:rsid w:val="006D4AA3"/>
    <w:rsid w:val="006D6CE0"/>
    <w:rsid w:val="006E52C0"/>
    <w:rsid w:val="006E6A6A"/>
    <w:rsid w:val="006F0432"/>
    <w:rsid w:val="006F1094"/>
    <w:rsid w:val="006F7D7E"/>
    <w:rsid w:val="00701628"/>
    <w:rsid w:val="00705446"/>
    <w:rsid w:val="00707000"/>
    <w:rsid w:val="00707B2A"/>
    <w:rsid w:val="00714C20"/>
    <w:rsid w:val="007207A8"/>
    <w:rsid w:val="00720CB2"/>
    <w:rsid w:val="0072183F"/>
    <w:rsid w:val="007247F3"/>
    <w:rsid w:val="00727B09"/>
    <w:rsid w:val="00732CA1"/>
    <w:rsid w:val="007462AC"/>
    <w:rsid w:val="00747276"/>
    <w:rsid w:val="0075387C"/>
    <w:rsid w:val="00754BD3"/>
    <w:rsid w:val="007700D8"/>
    <w:rsid w:val="00790B72"/>
    <w:rsid w:val="007A239E"/>
    <w:rsid w:val="007B5829"/>
    <w:rsid w:val="007B727D"/>
    <w:rsid w:val="007C159B"/>
    <w:rsid w:val="007C15AB"/>
    <w:rsid w:val="007C18AE"/>
    <w:rsid w:val="007C7A94"/>
    <w:rsid w:val="007D03E9"/>
    <w:rsid w:val="007D08F9"/>
    <w:rsid w:val="007D5778"/>
    <w:rsid w:val="007D68C0"/>
    <w:rsid w:val="007D6AD9"/>
    <w:rsid w:val="007E328C"/>
    <w:rsid w:val="007E71D6"/>
    <w:rsid w:val="007F0D44"/>
    <w:rsid w:val="007F18D2"/>
    <w:rsid w:val="007F19A6"/>
    <w:rsid w:val="007F642D"/>
    <w:rsid w:val="0080086C"/>
    <w:rsid w:val="0080113E"/>
    <w:rsid w:val="00813B20"/>
    <w:rsid w:val="0081656A"/>
    <w:rsid w:val="008165A3"/>
    <w:rsid w:val="0081799E"/>
    <w:rsid w:val="008201BD"/>
    <w:rsid w:val="00823291"/>
    <w:rsid w:val="00827092"/>
    <w:rsid w:val="008354C2"/>
    <w:rsid w:val="0084727A"/>
    <w:rsid w:val="008510EB"/>
    <w:rsid w:val="008550A1"/>
    <w:rsid w:val="00855B8C"/>
    <w:rsid w:val="00864F6C"/>
    <w:rsid w:val="00866003"/>
    <w:rsid w:val="00874513"/>
    <w:rsid w:val="00875EB1"/>
    <w:rsid w:val="008831E6"/>
    <w:rsid w:val="0088758C"/>
    <w:rsid w:val="008909A2"/>
    <w:rsid w:val="00891F5C"/>
    <w:rsid w:val="00892A6D"/>
    <w:rsid w:val="00894FCD"/>
    <w:rsid w:val="008A1C7D"/>
    <w:rsid w:val="008A3B30"/>
    <w:rsid w:val="008A7442"/>
    <w:rsid w:val="008B1538"/>
    <w:rsid w:val="008B6C9C"/>
    <w:rsid w:val="008B7173"/>
    <w:rsid w:val="008C0D39"/>
    <w:rsid w:val="008C13DB"/>
    <w:rsid w:val="008E1400"/>
    <w:rsid w:val="008E15B1"/>
    <w:rsid w:val="008E2FA5"/>
    <w:rsid w:val="008E53C4"/>
    <w:rsid w:val="008F0A86"/>
    <w:rsid w:val="008F3E1B"/>
    <w:rsid w:val="008F5792"/>
    <w:rsid w:val="008F5B55"/>
    <w:rsid w:val="00913509"/>
    <w:rsid w:val="009147EB"/>
    <w:rsid w:val="009177B3"/>
    <w:rsid w:val="009313D6"/>
    <w:rsid w:val="00931804"/>
    <w:rsid w:val="00931CE8"/>
    <w:rsid w:val="009405E2"/>
    <w:rsid w:val="009411FA"/>
    <w:rsid w:val="00945DBC"/>
    <w:rsid w:val="00954990"/>
    <w:rsid w:val="0096001C"/>
    <w:rsid w:val="0096409A"/>
    <w:rsid w:val="00974B1B"/>
    <w:rsid w:val="00986E54"/>
    <w:rsid w:val="00991E4A"/>
    <w:rsid w:val="009971A9"/>
    <w:rsid w:val="00997F36"/>
    <w:rsid w:val="009A34E8"/>
    <w:rsid w:val="009A38F9"/>
    <w:rsid w:val="009A4923"/>
    <w:rsid w:val="009B0192"/>
    <w:rsid w:val="009B5C12"/>
    <w:rsid w:val="009B754B"/>
    <w:rsid w:val="009D1EFA"/>
    <w:rsid w:val="009D43BE"/>
    <w:rsid w:val="009D4D3F"/>
    <w:rsid w:val="009D64F0"/>
    <w:rsid w:val="009D79AA"/>
    <w:rsid w:val="009F1A0A"/>
    <w:rsid w:val="009F230B"/>
    <w:rsid w:val="009F7C5A"/>
    <w:rsid w:val="00A0742C"/>
    <w:rsid w:val="00A16369"/>
    <w:rsid w:val="00A20209"/>
    <w:rsid w:val="00A3025B"/>
    <w:rsid w:val="00A33790"/>
    <w:rsid w:val="00A3787B"/>
    <w:rsid w:val="00A4137F"/>
    <w:rsid w:val="00A44B8E"/>
    <w:rsid w:val="00A46AE9"/>
    <w:rsid w:val="00A50518"/>
    <w:rsid w:val="00A54897"/>
    <w:rsid w:val="00A7177A"/>
    <w:rsid w:val="00A7356C"/>
    <w:rsid w:val="00A7758F"/>
    <w:rsid w:val="00A7778F"/>
    <w:rsid w:val="00A8057B"/>
    <w:rsid w:val="00A85A42"/>
    <w:rsid w:val="00A90A3C"/>
    <w:rsid w:val="00AA13F5"/>
    <w:rsid w:val="00AA413C"/>
    <w:rsid w:val="00AA45C5"/>
    <w:rsid w:val="00AA489D"/>
    <w:rsid w:val="00AA5CA7"/>
    <w:rsid w:val="00AB4716"/>
    <w:rsid w:val="00AB7E59"/>
    <w:rsid w:val="00AC07DF"/>
    <w:rsid w:val="00AC08FC"/>
    <w:rsid w:val="00AC61EF"/>
    <w:rsid w:val="00AC7F6E"/>
    <w:rsid w:val="00AD349D"/>
    <w:rsid w:val="00AD6D4C"/>
    <w:rsid w:val="00AD6F33"/>
    <w:rsid w:val="00AE0431"/>
    <w:rsid w:val="00AE18DF"/>
    <w:rsid w:val="00AE40FA"/>
    <w:rsid w:val="00AE6D4C"/>
    <w:rsid w:val="00AF6071"/>
    <w:rsid w:val="00B0291E"/>
    <w:rsid w:val="00B07313"/>
    <w:rsid w:val="00B07338"/>
    <w:rsid w:val="00B07657"/>
    <w:rsid w:val="00B211E0"/>
    <w:rsid w:val="00B21268"/>
    <w:rsid w:val="00B22746"/>
    <w:rsid w:val="00B23975"/>
    <w:rsid w:val="00B25757"/>
    <w:rsid w:val="00B326D2"/>
    <w:rsid w:val="00B42F81"/>
    <w:rsid w:val="00B42FC6"/>
    <w:rsid w:val="00B4399F"/>
    <w:rsid w:val="00B46FD6"/>
    <w:rsid w:val="00B56242"/>
    <w:rsid w:val="00B5798C"/>
    <w:rsid w:val="00B626C9"/>
    <w:rsid w:val="00B63343"/>
    <w:rsid w:val="00B64EF5"/>
    <w:rsid w:val="00B70DFB"/>
    <w:rsid w:val="00B71D5F"/>
    <w:rsid w:val="00B72930"/>
    <w:rsid w:val="00B74B73"/>
    <w:rsid w:val="00B75589"/>
    <w:rsid w:val="00B760C5"/>
    <w:rsid w:val="00B77982"/>
    <w:rsid w:val="00B932A9"/>
    <w:rsid w:val="00B9662B"/>
    <w:rsid w:val="00BA4FB2"/>
    <w:rsid w:val="00BA54CB"/>
    <w:rsid w:val="00BA7658"/>
    <w:rsid w:val="00BB0121"/>
    <w:rsid w:val="00BB0AFA"/>
    <w:rsid w:val="00BB2089"/>
    <w:rsid w:val="00BB2C4A"/>
    <w:rsid w:val="00BB3571"/>
    <w:rsid w:val="00BB4401"/>
    <w:rsid w:val="00BC0C74"/>
    <w:rsid w:val="00BC26F4"/>
    <w:rsid w:val="00BE5121"/>
    <w:rsid w:val="00BE7536"/>
    <w:rsid w:val="00BF0D9C"/>
    <w:rsid w:val="00BF33FF"/>
    <w:rsid w:val="00C0151E"/>
    <w:rsid w:val="00C05FEC"/>
    <w:rsid w:val="00C07B58"/>
    <w:rsid w:val="00C119B5"/>
    <w:rsid w:val="00C140DC"/>
    <w:rsid w:val="00C27DF1"/>
    <w:rsid w:val="00C34B36"/>
    <w:rsid w:val="00C549F4"/>
    <w:rsid w:val="00C62913"/>
    <w:rsid w:val="00C64F54"/>
    <w:rsid w:val="00C70EDF"/>
    <w:rsid w:val="00C8054D"/>
    <w:rsid w:val="00C97A7E"/>
    <w:rsid w:val="00CA3AEB"/>
    <w:rsid w:val="00CA7471"/>
    <w:rsid w:val="00CB3687"/>
    <w:rsid w:val="00CB3BC3"/>
    <w:rsid w:val="00CB771B"/>
    <w:rsid w:val="00CC230B"/>
    <w:rsid w:val="00CC3239"/>
    <w:rsid w:val="00CC3EA0"/>
    <w:rsid w:val="00CD381E"/>
    <w:rsid w:val="00CD5F38"/>
    <w:rsid w:val="00CE09D0"/>
    <w:rsid w:val="00CF43CF"/>
    <w:rsid w:val="00D05D73"/>
    <w:rsid w:val="00D07738"/>
    <w:rsid w:val="00D126F9"/>
    <w:rsid w:val="00D15B3C"/>
    <w:rsid w:val="00D23C40"/>
    <w:rsid w:val="00D24624"/>
    <w:rsid w:val="00D34904"/>
    <w:rsid w:val="00D40FB1"/>
    <w:rsid w:val="00D43C6A"/>
    <w:rsid w:val="00D442D5"/>
    <w:rsid w:val="00D46BFF"/>
    <w:rsid w:val="00D5154F"/>
    <w:rsid w:val="00D51DEC"/>
    <w:rsid w:val="00D535A5"/>
    <w:rsid w:val="00D54C69"/>
    <w:rsid w:val="00D555B5"/>
    <w:rsid w:val="00D56D73"/>
    <w:rsid w:val="00D62370"/>
    <w:rsid w:val="00D62C40"/>
    <w:rsid w:val="00D703A0"/>
    <w:rsid w:val="00D71E6A"/>
    <w:rsid w:val="00D7288A"/>
    <w:rsid w:val="00D72DF2"/>
    <w:rsid w:val="00D75859"/>
    <w:rsid w:val="00D75ADF"/>
    <w:rsid w:val="00D76A1F"/>
    <w:rsid w:val="00D82EB9"/>
    <w:rsid w:val="00D842F3"/>
    <w:rsid w:val="00D8724B"/>
    <w:rsid w:val="00D9465B"/>
    <w:rsid w:val="00DB38E6"/>
    <w:rsid w:val="00DC2EDC"/>
    <w:rsid w:val="00DC4B4F"/>
    <w:rsid w:val="00DD7C2E"/>
    <w:rsid w:val="00DE30E0"/>
    <w:rsid w:val="00DE3880"/>
    <w:rsid w:val="00DF3190"/>
    <w:rsid w:val="00DF50F3"/>
    <w:rsid w:val="00E05D55"/>
    <w:rsid w:val="00E11DB7"/>
    <w:rsid w:val="00E127FF"/>
    <w:rsid w:val="00E13B1C"/>
    <w:rsid w:val="00E145B5"/>
    <w:rsid w:val="00E22344"/>
    <w:rsid w:val="00E22553"/>
    <w:rsid w:val="00E22874"/>
    <w:rsid w:val="00E2425C"/>
    <w:rsid w:val="00E2718A"/>
    <w:rsid w:val="00E36257"/>
    <w:rsid w:val="00E36E00"/>
    <w:rsid w:val="00E52789"/>
    <w:rsid w:val="00E5357E"/>
    <w:rsid w:val="00E55F30"/>
    <w:rsid w:val="00E57D9F"/>
    <w:rsid w:val="00E57F7A"/>
    <w:rsid w:val="00E615E5"/>
    <w:rsid w:val="00E64EB0"/>
    <w:rsid w:val="00E72E1E"/>
    <w:rsid w:val="00E752F8"/>
    <w:rsid w:val="00E774E5"/>
    <w:rsid w:val="00E8599A"/>
    <w:rsid w:val="00E86E25"/>
    <w:rsid w:val="00E87239"/>
    <w:rsid w:val="00EA3B9F"/>
    <w:rsid w:val="00EA5622"/>
    <w:rsid w:val="00EA7917"/>
    <w:rsid w:val="00EA7BA6"/>
    <w:rsid w:val="00EB57EA"/>
    <w:rsid w:val="00EB6765"/>
    <w:rsid w:val="00EC30EC"/>
    <w:rsid w:val="00EC7ABE"/>
    <w:rsid w:val="00ED354C"/>
    <w:rsid w:val="00ED4214"/>
    <w:rsid w:val="00ED46CB"/>
    <w:rsid w:val="00ED5561"/>
    <w:rsid w:val="00ED6A3A"/>
    <w:rsid w:val="00EE534A"/>
    <w:rsid w:val="00EE7089"/>
    <w:rsid w:val="00EF1DFE"/>
    <w:rsid w:val="00EF26DE"/>
    <w:rsid w:val="00EF390B"/>
    <w:rsid w:val="00F021D6"/>
    <w:rsid w:val="00F032A7"/>
    <w:rsid w:val="00F0365D"/>
    <w:rsid w:val="00F0642C"/>
    <w:rsid w:val="00F1270C"/>
    <w:rsid w:val="00F155BF"/>
    <w:rsid w:val="00F17965"/>
    <w:rsid w:val="00F17B23"/>
    <w:rsid w:val="00F21CF9"/>
    <w:rsid w:val="00F21FC6"/>
    <w:rsid w:val="00F22962"/>
    <w:rsid w:val="00F259AC"/>
    <w:rsid w:val="00F26E01"/>
    <w:rsid w:val="00F32AA8"/>
    <w:rsid w:val="00F374A7"/>
    <w:rsid w:val="00F41DD5"/>
    <w:rsid w:val="00F45590"/>
    <w:rsid w:val="00F47755"/>
    <w:rsid w:val="00F539BD"/>
    <w:rsid w:val="00F66D1C"/>
    <w:rsid w:val="00F67980"/>
    <w:rsid w:val="00F71125"/>
    <w:rsid w:val="00F924B5"/>
    <w:rsid w:val="00FA29EE"/>
    <w:rsid w:val="00FA46BC"/>
    <w:rsid w:val="00FA7569"/>
    <w:rsid w:val="00FB0C2C"/>
    <w:rsid w:val="00FB36B1"/>
    <w:rsid w:val="00FB57CE"/>
    <w:rsid w:val="00FD3F64"/>
    <w:rsid w:val="00FD4465"/>
    <w:rsid w:val="00FD6831"/>
    <w:rsid w:val="00FD71BC"/>
    <w:rsid w:val="00FE3AEA"/>
    <w:rsid w:val="00FE66AA"/>
    <w:rsid w:val="00FE7914"/>
    <w:rsid w:val="00FF705A"/>
    <w:rsid w:val="00FF7F5A"/>
    <w:rsid w:val="356F837E"/>
    <w:rsid w:val="36B682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6F28"/>
  <w15:chartTrackingRefBased/>
  <w15:docId w15:val="{5157B1A1-64E1-4282-B9A1-3751D06E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5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5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5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5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5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5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5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5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5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5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5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5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5E6"/>
    <w:rPr>
      <w:rFonts w:eastAsiaTheme="majorEastAsia" w:cstheme="majorBidi"/>
      <w:color w:val="272727" w:themeColor="text1" w:themeTint="D8"/>
    </w:rPr>
  </w:style>
  <w:style w:type="paragraph" w:styleId="Title">
    <w:name w:val="Title"/>
    <w:basedOn w:val="Normal"/>
    <w:next w:val="Normal"/>
    <w:link w:val="TitleChar"/>
    <w:uiPriority w:val="10"/>
    <w:qFormat/>
    <w:rsid w:val="00394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5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5E6"/>
    <w:pPr>
      <w:spacing w:before="160"/>
      <w:jc w:val="center"/>
    </w:pPr>
    <w:rPr>
      <w:i/>
      <w:iCs/>
      <w:color w:val="404040" w:themeColor="text1" w:themeTint="BF"/>
    </w:rPr>
  </w:style>
  <w:style w:type="character" w:customStyle="1" w:styleId="QuoteChar">
    <w:name w:val="Quote Char"/>
    <w:basedOn w:val="DefaultParagraphFont"/>
    <w:link w:val="Quote"/>
    <w:uiPriority w:val="29"/>
    <w:rsid w:val="003945E6"/>
    <w:rPr>
      <w:i/>
      <w:iCs/>
      <w:color w:val="404040" w:themeColor="text1" w:themeTint="BF"/>
    </w:rPr>
  </w:style>
  <w:style w:type="paragraph" w:styleId="ListParagraph">
    <w:name w:val="List Paragraph"/>
    <w:basedOn w:val="Normal"/>
    <w:uiPriority w:val="34"/>
    <w:qFormat/>
    <w:rsid w:val="003945E6"/>
    <w:pPr>
      <w:ind w:left="720"/>
      <w:contextualSpacing/>
    </w:pPr>
  </w:style>
  <w:style w:type="character" w:styleId="IntenseEmphasis">
    <w:name w:val="Intense Emphasis"/>
    <w:basedOn w:val="DefaultParagraphFont"/>
    <w:uiPriority w:val="21"/>
    <w:qFormat/>
    <w:rsid w:val="003945E6"/>
    <w:rPr>
      <w:i/>
      <w:iCs/>
      <w:color w:val="0F4761" w:themeColor="accent1" w:themeShade="BF"/>
    </w:rPr>
  </w:style>
  <w:style w:type="paragraph" w:styleId="IntenseQuote">
    <w:name w:val="Intense Quote"/>
    <w:basedOn w:val="Normal"/>
    <w:next w:val="Normal"/>
    <w:link w:val="IntenseQuoteChar"/>
    <w:uiPriority w:val="30"/>
    <w:qFormat/>
    <w:rsid w:val="00394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5E6"/>
    <w:rPr>
      <w:i/>
      <w:iCs/>
      <w:color w:val="0F4761" w:themeColor="accent1" w:themeShade="BF"/>
    </w:rPr>
  </w:style>
  <w:style w:type="character" w:styleId="IntenseReference">
    <w:name w:val="Intense Reference"/>
    <w:basedOn w:val="DefaultParagraphFont"/>
    <w:uiPriority w:val="32"/>
    <w:qFormat/>
    <w:rsid w:val="003945E6"/>
    <w:rPr>
      <w:b/>
      <w:bCs/>
      <w:smallCaps/>
      <w:color w:val="0F4761" w:themeColor="accent1" w:themeShade="BF"/>
      <w:spacing w:val="5"/>
    </w:rPr>
  </w:style>
  <w:style w:type="table" w:styleId="TableGrid">
    <w:name w:val="Table Grid"/>
    <w:basedOn w:val="TableNormal"/>
    <w:uiPriority w:val="39"/>
    <w:rsid w:val="0039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5EEC"/>
    <w:rPr>
      <w:color w:val="467886" w:themeColor="hyperlink"/>
      <w:u w:val="single"/>
    </w:rPr>
  </w:style>
  <w:style w:type="character" w:styleId="UnresolvedMention">
    <w:name w:val="Unresolved Mention"/>
    <w:basedOn w:val="DefaultParagraphFont"/>
    <w:uiPriority w:val="99"/>
    <w:semiHidden/>
    <w:unhideWhenUsed/>
    <w:rsid w:val="005F5EEC"/>
    <w:rPr>
      <w:color w:val="605E5C"/>
      <w:shd w:val="clear" w:color="auto" w:fill="E1DFDD"/>
    </w:rPr>
  </w:style>
  <w:style w:type="character" w:styleId="PlaceholderText">
    <w:name w:val="Placeholder Text"/>
    <w:basedOn w:val="DefaultParagraphFont"/>
    <w:uiPriority w:val="99"/>
    <w:semiHidden/>
    <w:rsid w:val="007A239E"/>
    <w:rPr>
      <w:color w:val="666666"/>
    </w:rPr>
  </w:style>
  <w:style w:type="character" w:styleId="FollowedHyperlink">
    <w:name w:val="FollowedHyperlink"/>
    <w:basedOn w:val="DefaultParagraphFont"/>
    <w:uiPriority w:val="99"/>
    <w:semiHidden/>
    <w:unhideWhenUsed/>
    <w:rsid w:val="00020741"/>
    <w:rPr>
      <w:color w:val="96607D" w:themeColor="followedHyperlink"/>
      <w:u w:val="single"/>
    </w:rPr>
  </w:style>
  <w:style w:type="paragraph" w:styleId="Header">
    <w:name w:val="header"/>
    <w:basedOn w:val="Normal"/>
    <w:link w:val="HeaderChar"/>
    <w:uiPriority w:val="99"/>
    <w:unhideWhenUsed/>
    <w:rsid w:val="002667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7FB"/>
  </w:style>
  <w:style w:type="paragraph" w:styleId="Footer">
    <w:name w:val="footer"/>
    <w:basedOn w:val="Normal"/>
    <w:link w:val="FooterChar"/>
    <w:uiPriority w:val="99"/>
    <w:unhideWhenUsed/>
    <w:rsid w:val="002667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7FB"/>
  </w:style>
  <w:style w:type="paragraph" w:styleId="NormalWeb">
    <w:name w:val="Normal (Web)"/>
    <w:basedOn w:val="Normal"/>
    <w:uiPriority w:val="99"/>
    <w:semiHidden/>
    <w:unhideWhenUsed/>
    <w:rsid w:val="00D82EB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43898">
      <w:bodyDiv w:val="1"/>
      <w:marLeft w:val="0"/>
      <w:marRight w:val="0"/>
      <w:marTop w:val="0"/>
      <w:marBottom w:val="0"/>
      <w:divBdr>
        <w:top w:val="none" w:sz="0" w:space="0" w:color="auto"/>
        <w:left w:val="none" w:sz="0" w:space="0" w:color="auto"/>
        <w:bottom w:val="none" w:sz="0" w:space="0" w:color="auto"/>
        <w:right w:val="none" w:sz="0" w:space="0" w:color="auto"/>
      </w:divBdr>
    </w:div>
    <w:div w:id="1286354647">
      <w:bodyDiv w:val="1"/>
      <w:marLeft w:val="0"/>
      <w:marRight w:val="0"/>
      <w:marTop w:val="0"/>
      <w:marBottom w:val="0"/>
      <w:divBdr>
        <w:top w:val="none" w:sz="0" w:space="0" w:color="auto"/>
        <w:left w:val="none" w:sz="0" w:space="0" w:color="auto"/>
        <w:bottom w:val="none" w:sz="0" w:space="0" w:color="auto"/>
        <w:right w:val="none" w:sz="0" w:space="0" w:color="auto"/>
      </w:divBdr>
    </w:div>
    <w:div w:id="1392073291">
      <w:bodyDiv w:val="1"/>
      <w:marLeft w:val="0"/>
      <w:marRight w:val="0"/>
      <w:marTop w:val="0"/>
      <w:marBottom w:val="0"/>
      <w:divBdr>
        <w:top w:val="none" w:sz="0" w:space="0" w:color="auto"/>
        <w:left w:val="none" w:sz="0" w:space="0" w:color="auto"/>
        <w:bottom w:val="none" w:sz="0" w:space="0" w:color="auto"/>
        <w:right w:val="none" w:sz="0" w:space="0" w:color="auto"/>
      </w:divBdr>
    </w:div>
    <w:div w:id="1530797064">
      <w:bodyDiv w:val="1"/>
      <w:marLeft w:val="0"/>
      <w:marRight w:val="0"/>
      <w:marTop w:val="0"/>
      <w:marBottom w:val="0"/>
      <w:divBdr>
        <w:top w:val="none" w:sz="0" w:space="0" w:color="auto"/>
        <w:left w:val="none" w:sz="0" w:space="0" w:color="auto"/>
        <w:bottom w:val="none" w:sz="0" w:space="0" w:color="auto"/>
        <w:right w:val="none" w:sz="0" w:space="0" w:color="auto"/>
      </w:divBdr>
    </w:div>
    <w:div w:id="174660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ngland.nhs.uk/long-read/the-provider-selection-regime-statutory-guidanc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ngland.nhs.uk/long-read/the-provider-selection-regime-statutory-guid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si/2023/1348/regulation/20/ma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long-read/the-provider-selection-regime-statutory-guidance/" TargetMode="External"/><Relationship Id="rId5" Type="http://schemas.openxmlformats.org/officeDocument/2006/relationships/styles" Target="styles.xml"/><Relationship Id="rId15" Type="http://schemas.openxmlformats.org/officeDocument/2006/relationships/hyperlink" Target="https://www.england.nhs.uk/long-read/the-provider-selection-regime-statutory-guidance/"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si/2023/1348/regulation/21/ma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ECFAA394-91A9-445B-B718-46B9D350C00F}"/>
      </w:docPartPr>
      <w:docPartBody>
        <w:p w:rsidR="00B917C0" w:rsidRDefault="00892A6D">
          <w:r w:rsidRPr="008E13CE">
            <w:rPr>
              <w:rStyle w:val="PlaceholderText"/>
            </w:rPr>
            <w:t>Choose an item.</w:t>
          </w:r>
        </w:p>
      </w:docPartBody>
    </w:docPart>
    <w:docPart>
      <w:docPartPr>
        <w:name w:val="D432936FD4D3470F8A0CB3DC5488F9C8"/>
        <w:category>
          <w:name w:val="General"/>
          <w:gallery w:val="placeholder"/>
        </w:category>
        <w:types>
          <w:type w:val="bbPlcHdr"/>
        </w:types>
        <w:behaviors>
          <w:behavior w:val="content"/>
        </w:behaviors>
        <w:guid w:val="{B2A2A643-C3B4-44DE-840B-9FFDC9DA37A6}"/>
      </w:docPartPr>
      <w:docPartBody>
        <w:p w:rsidR="00B917C0" w:rsidRDefault="00892A6D" w:rsidP="00892A6D">
          <w:pPr>
            <w:pStyle w:val="D432936FD4D3470F8A0CB3DC5488F9C8"/>
          </w:pPr>
          <w:r w:rsidRPr="008E13C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6D"/>
    <w:rsid w:val="001A1825"/>
    <w:rsid w:val="00223773"/>
    <w:rsid w:val="002D62BE"/>
    <w:rsid w:val="003645B6"/>
    <w:rsid w:val="00470FCB"/>
    <w:rsid w:val="004868BF"/>
    <w:rsid w:val="004C0CF4"/>
    <w:rsid w:val="004D273B"/>
    <w:rsid w:val="004F5D2E"/>
    <w:rsid w:val="00524314"/>
    <w:rsid w:val="005636DB"/>
    <w:rsid w:val="006A59E4"/>
    <w:rsid w:val="00725C3D"/>
    <w:rsid w:val="00790B72"/>
    <w:rsid w:val="007F19A6"/>
    <w:rsid w:val="00892A6D"/>
    <w:rsid w:val="008A373D"/>
    <w:rsid w:val="00B0229D"/>
    <w:rsid w:val="00B21268"/>
    <w:rsid w:val="00B917C0"/>
    <w:rsid w:val="00FA75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C3D"/>
    <w:rPr>
      <w:color w:val="666666"/>
    </w:rPr>
  </w:style>
  <w:style w:type="paragraph" w:customStyle="1" w:styleId="D432936FD4D3470F8A0CB3DC5488F9C8">
    <w:name w:val="D432936FD4D3470F8A0CB3DC5488F9C8"/>
    <w:rsid w:val="00892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D6B83B4635A49A316482072E0D62F" ma:contentTypeVersion="19" ma:contentTypeDescription="Create a new document." ma:contentTypeScope="" ma:versionID="0432bf9c2721ea8c82d7b6660009ddd8">
  <xsd:schema xmlns:xsd="http://www.w3.org/2001/XMLSchema" xmlns:xs="http://www.w3.org/2001/XMLSchema" xmlns:p="http://schemas.microsoft.com/office/2006/metadata/properties" xmlns:ns1="http://schemas.microsoft.com/sharepoint/v3" xmlns:ns2="c693007a-bb8d-4ce9-89de-60eabf3d9b07" xmlns:ns3="c8ad5906-4413-43d0-8fb7-34dbc7e5daa8" targetNamespace="http://schemas.microsoft.com/office/2006/metadata/properties" ma:root="true" ma:fieldsID="bca7d0020f5ce3cba99b83a2d88e8f23" ns1:_="" ns2:_="" ns3:_="">
    <xsd:import namespace="http://schemas.microsoft.com/sharepoint/v3"/>
    <xsd:import namespace="c693007a-bb8d-4ce9-89de-60eabf3d9b07"/>
    <xsd:import namespace="c8ad5906-4413-43d0-8fb7-34dbc7e5d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3007a-bb8d-4ce9-89de-60eabf3d9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d5906-4413-43d0-8fb7-34dbc7e5da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df218d-6d80-4b36-8f76-5d3e98fe07e6}" ma:internalName="TaxCatchAll" ma:showField="CatchAllData" ma:web="c8ad5906-4413-43d0-8fb7-34dbc7e5d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8ad5906-4413-43d0-8fb7-34dbc7e5daa8" xsi:nil="true"/>
    <lcf76f155ced4ddcb4097134ff3c332f xmlns="c693007a-bb8d-4ce9-89de-60eabf3d9b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77CF77-9866-4136-B090-866F0323E532}"/>
</file>

<file path=customXml/itemProps2.xml><?xml version="1.0" encoding="utf-8"?>
<ds:datastoreItem xmlns:ds="http://schemas.openxmlformats.org/officeDocument/2006/customXml" ds:itemID="{C98CA823-B3CC-44E6-911D-2A5C9E108DAD}">
  <ds:schemaRefs>
    <ds:schemaRef ds:uri="http://schemas.microsoft.com/sharepoint/v3/contenttype/forms"/>
  </ds:schemaRefs>
</ds:datastoreItem>
</file>

<file path=customXml/itemProps3.xml><?xml version="1.0" encoding="utf-8"?>
<ds:datastoreItem xmlns:ds="http://schemas.openxmlformats.org/officeDocument/2006/customXml" ds:itemID="{95E5273E-2316-41E2-9ADA-EBC91DB64D9B}">
  <ds:schemaRefs>
    <ds:schemaRef ds:uri="http://schemas.microsoft.com/office/2006/metadata/properties"/>
    <ds:schemaRef ds:uri="http://schemas.microsoft.com/office/infopath/2007/PartnerControls"/>
    <ds:schemaRef ds:uri="http://schemas.microsoft.com/sharepoint/v3"/>
    <ds:schemaRef ds:uri="b09ce0db-30b5-499e-ab86-bcb34d15f13b"/>
    <ds:schemaRef ds:uri="aab6905b-a05e-4ebe-9ece-b7670f742d2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1292</TotalTime>
  <Pages>6</Pages>
  <Words>2120</Words>
  <Characters>12087</Characters>
  <Application>Microsoft Office Word</Application>
  <DocSecurity>0</DocSecurity>
  <Lines>100</Lines>
  <Paragraphs>28</Paragraphs>
  <ScaleCrop>false</ScaleCrop>
  <Company/>
  <LinksUpToDate>false</LinksUpToDate>
  <CharactersWithSpaces>14179</CharactersWithSpaces>
  <SharedDoc>false</SharedDoc>
  <HLinks>
    <vt:vector size="24" baseType="variant">
      <vt:variant>
        <vt:i4>5242910</vt:i4>
      </vt:variant>
      <vt:variant>
        <vt:i4>9</vt:i4>
      </vt:variant>
      <vt:variant>
        <vt:i4>0</vt:i4>
      </vt:variant>
      <vt:variant>
        <vt:i4>5</vt:i4>
      </vt:variant>
      <vt:variant>
        <vt:lpwstr>https://www.england.nhs.uk/long-read/the-provider-selection-regime-statutory-guidance/</vt:lpwstr>
      </vt:variant>
      <vt:variant>
        <vt:lpwstr>applying-the-regime</vt:lpwstr>
      </vt:variant>
      <vt:variant>
        <vt:i4>5242910</vt:i4>
      </vt:variant>
      <vt:variant>
        <vt:i4>6</vt:i4>
      </vt:variant>
      <vt:variant>
        <vt:i4>0</vt:i4>
      </vt:variant>
      <vt:variant>
        <vt:i4>5</vt:i4>
      </vt:variant>
      <vt:variant>
        <vt:lpwstr>https://www.england.nhs.uk/long-read/the-provider-selection-regime-statutory-guidance/</vt:lpwstr>
      </vt:variant>
      <vt:variant>
        <vt:lpwstr>applying-the-regime</vt:lpwstr>
      </vt:variant>
      <vt:variant>
        <vt:i4>4259866</vt:i4>
      </vt:variant>
      <vt:variant>
        <vt:i4>3</vt:i4>
      </vt:variant>
      <vt:variant>
        <vt:i4>0</vt:i4>
      </vt:variant>
      <vt:variant>
        <vt:i4>5</vt:i4>
      </vt:variant>
      <vt:variant>
        <vt:lpwstr>https://www.england.nhs.uk/long-read/the-provider-selection-regime-statutory-guidance/</vt:lpwstr>
      </vt:variant>
      <vt:variant>
        <vt:lpwstr>annex-a-common-procurement-vocabulary-cpv-codes</vt:lpwstr>
      </vt:variant>
      <vt:variant>
        <vt:i4>2818172</vt:i4>
      </vt:variant>
      <vt:variant>
        <vt:i4>0</vt:i4>
      </vt:variant>
      <vt:variant>
        <vt:i4>0</vt:i4>
      </vt:variant>
      <vt:variant>
        <vt:i4>5</vt:i4>
      </vt:variant>
      <vt:variant>
        <vt:lpwstr>https://www.england.nhs.uk/long-read/the-provider-selection-regime-statutory-guidance/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Buckley (ML)</dc:creator>
  <cp:keywords/>
  <dc:description/>
  <cp:lastModifiedBy>SHERBORNE, Joanne (NHS LANCASHIRE AND SOUTH CUMBRIA INTEGRATED CARE BOARD)</cp:lastModifiedBy>
  <cp:revision>119</cp:revision>
  <dcterms:created xsi:type="dcterms:W3CDTF">2024-11-07T09:56:00Z</dcterms:created>
  <dcterms:modified xsi:type="dcterms:W3CDTF">2024-11-12T17:17:00Z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0x010100D9CD6B83B4635A49A316482072E0D62F</vt:lpwstr>
  </property>
  <property fmtid="{D5CDD505-2E9C-101B-9397-08002B2CF9AE}" pid="3" name="MediaServiceImageTags">
    <vt:lpwstr/>
  </property>
</Properties>
</file>